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0B9FB" w14:textId="43F488EB" w:rsidR="009D189E" w:rsidRPr="009D189E" w:rsidRDefault="009D189E" w:rsidP="009D189E">
      <w:pPr>
        <w:pStyle w:val="Heading1"/>
      </w:pPr>
      <w:r w:rsidRPr="009D189E">
        <w:t xml:space="preserve">Loting Aanbesteding Brandverzekering Regionaal Opleidingen Centrum Nijmegen en Omstreken </w:t>
      </w:r>
      <w:r w:rsidR="009F6753">
        <w:t>(</w:t>
      </w:r>
      <w:r w:rsidR="00AB2226">
        <w:t>Na</w:t>
      </w:r>
      <w:r w:rsidR="009F6753">
        <w:t xml:space="preserve"> bekendmaking loting)</w:t>
      </w:r>
    </w:p>
    <w:p w14:paraId="73AF327E" w14:textId="1AB0169F" w:rsidR="009D189E" w:rsidRPr="009D189E" w:rsidRDefault="009D189E" w:rsidP="009D189E">
      <w:pPr>
        <w:rPr>
          <w:b/>
          <w:bCs/>
        </w:rPr>
      </w:pPr>
      <w:r w:rsidRPr="009D189E">
        <w:rPr>
          <w:b/>
          <w:bCs/>
        </w:rPr>
        <w:t>TenderNed- Kenmerk 370794</w:t>
      </w:r>
    </w:p>
    <w:p w14:paraId="70608B9B" w14:textId="4BC52CDE" w:rsidR="009D189E" w:rsidRDefault="009D189E" w:rsidP="009D189E">
      <w:pPr>
        <w:pStyle w:val="ReportBodyText"/>
        <w:rPr>
          <w:b/>
          <w:bCs/>
        </w:rPr>
      </w:pPr>
    </w:p>
    <w:p w14:paraId="5C9D5421" w14:textId="7088EABE" w:rsidR="009D189E" w:rsidRDefault="009D189E" w:rsidP="009D189E">
      <w:pPr>
        <w:autoSpaceDE w:val="0"/>
        <w:autoSpaceDN w:val="0"/>
        <w:adjustRightInd w:val="0"/>
        <w:rPr>
          <w:rFonts w:asciiTheme="majorHAnsi" w:hAnsiTheme="majorHAnsi" w:cstheme="majorHAnsi"/>
          <w:sz w:val="20"/>
          <w:szCs w:val="20"/>
          <w:lang w:eastAsia="nl-NL"/>
        </w:rPr>
      </w:pPr>
      <w:r w:rsidRPr="009D189E">
        <w:rPr>
          <w:rFonts w:asciiTheme="majorHAnsi" w:hAnsiTheme="majorHAnsi" w:cstheme="majorHAnsi"/>
          <w:sz w:val="20"/>
          <w:szCs w:val="20"/>
          <w:lang w:eastAsia="nl-NL"/>
        </w:rPr>
        <w:t>De afgelopen periode zijn de ontvangen inschrijvingen in het kader van de aanbesteding van de brandverzekering grondig beoordeeld volgens de beoordelingswijze, zoals beschreven in het bestek.</w:t>
      </w:r>
    </w:p>
    <w:p w14:paraId="4FA27202" w14:textId="765B0B46" w:rsidR="009D189E" w:rsidRPr="009D189E" w:rsidRDefault="009D189E" w:rsidP="009D189E">
      <w:pPr>
        <w:autoSpaceDE w:val="0"/>
        <w:autoSpaceDN w:val="0"/>
        <w:adjustRightInd w:val="0"/>
        <w:rPr>
          <w:rFonts w:asciiTheme="majorHAnsi" w:hAnsiTheme="majorHAnsi" w:cstheme="majorHAnsi"/>
          <w:sz w:val="20"/>
          <w:szCs w:val="20"/>
          <w:lang w:eastAsia="nl-NL"/>
        </w:rPr>
      </w:pPr>
      <w:r>
        <w:rPr>
          <w:rFonts w:asciiTheme="majorHAnsi" w:hAnsiTheme="majorHAnsi" w:cstheme="majorHAnsi"/>
          <w:sz w:val="20"/>
          <w:szCs w:val="20"/>
          <w:lang w:eastAsia="nl-NL"/>
        </w:rPr>
        <w:t>Na de beoordeling is geconstateerd dat de ingeschreven partijen Nationale Nederlanden Schadeverzekeringen N.V. en MS Amlin Insurance SE een identieke score hebben behaald. Het volgende staat beschreven in het bestek, wanneer inschrijvers een gelijke score hebben behaald:</w:t>
      </w:r>
    </w:p>
    <w:p w14:paraId="21DFAC34" w14:textId="77777777" w:rsidR="009D189E" w:rsidRDefault="009D189E" w:rsidP="009D189E">
      <w:pPr>
        <w:pStyle w:val="ReportBodyText"/>
        <w:rPr>
          <w:szCs w:val="22"/>
          <w:lang w:eastAsia="nl-NL"/>
        </w:rPr>
      </w:pPr>
    </w:p>
    <w:p w14:paraId="4A7A610A" w14:textId="1AB160EA" w:rsidR="009D189E" w:rsidRDefault="009D189E" w:rsidP="009D189E">
      <w:pPr>
        <w:pStyle w:val="ReportBodyText"/>
        <w:rPr>
          <w:b/>
          <w:bCs/>
        </w:rPr>
      </w:pPr>
      <w:r>
        <w:rPr>
          <w:b/>
          <w:bCs/>
        </w:rPr>
        <w:t>Procedure bij gelijke score</w:t>
      </w:r>
    </w:p>
    <w:p w14:paraId="53E9A6E1" w14:textId="77777777" w:rsidR="009D189E" w:rsidRDefault="009D189E" w:rsidP="009D189E">
      <w:pPr>
        <w:pStyle w:val="Default"/>
        <w:rPr>
          <w:sz w:val="20"/>
          <w:szCs w:val="20"/>
        </w:rPr>
      </w:pPr>
    </w:p>
    <w:p w14:paraId="45B3F54E" w14:textId="77777777" w:rsidR="009D189E" w:rsidRDefault="009D189E" w:rsidP="009D189E">
      <w:pPr>
        <w:pStyle w:val="Default"/>
        <w:rPr>
          <w:sz w:val="20"/>
          <w:szCs w:val="20"/>
          <w:u w:val="single"/>
        </w:rPr>
      </w:pPr>
      <w:r>
        <w:rPr>
          <w:sz w:val="20"/>
          <w:szCs w:val="20"/>
          <w:u w:val="single"/>
        </w:rPr>
        <w:t>Leidende Verzekeraar</w:t>
      </w:r>
    </w:p>
    <w:p w14:paraId="23D69CEF" w14:textId="77777777" w:rsidR="009D189E" w:rsidRDefault="009D189E" w:rsidP="009D189E">
      <w:pPr>
        <w:pStyle w:val="Default"/>
        <w:rPr>
          <w:sz w:val="20"/>
          <w:szCs w:val="20"/>
        </w:rPr>
      </w:pPr>
      <w:r>
        <w:rPr>
          <w:sz w:val="20"/>
          <w:szCs w:val="20"/>
        </w:rPr>
        <w:t>Indien twee of meerdere Inschrijvers een gelijk aantal punten scoren wordt de leidende Verzekeraar achtereenvolgens bepaald aan de hand van:</w:t>
      </w:r>
    </w:p>
    <w:p w14:paraId="7B4F505E" w14:textId="77777777" w:rsidR="009D189E" w:rsidRDefault="009D189E" w:rsidP="009D189E">
      <w:pPr>
        <w:pStyle w:val="Default"/>
        <w:rPr>
          <w:sz w:val="20"/>
          <w:szCs w:val="20"/>
        </w:rPr>
      </w:pPr>
    </w:p>
    <w:p w14:paraId="2CCB144B" w14:textId="77777777" w:rsidR="009D189E" w:rsidRDefault="009D189E" w:rsidP="009D189E">
      <w:pPr>
        <w:pStyle w:val="Default"/>
        <w:ind w:left="360"/>
        <w:rPr>
          <w:sz w:val="20"/>
          <w:szCs w:val="20"/>
        </w:rPr>
      </w:pPr>
      <w:r>
        <w:rPr>
          <w:sz w:val="20"/>
          <w:szCs w:val="20"/>
        </w:rPr>
        <w:t>1    de Inschrijving die bij het gunningscriterium 2.1 "risicomanagement" het hoogste scoort.</w:t>
      </w:r>
    </w:p>
    <w:p w14:paraId="05D65BB0" w14:textId="77777777" w:rsidR="009D189E" w:rsidRDefault="009D189E" w:rsidP="009D189E">
      <w:pPr>
        <w:pStyle w:val="Default"/>
        <w:ind w:left="360"/>
        <w:rPr>
          <w:sz w:val="20"/>
          <w:szCs w:val="20"/>
        </w:rPr>
      </w:pPr>
      <w:r>
        <w:rPr>
          <w:sz w:val="20"/>
          <w:szCs w:val="20"/>
        </w:rPr>
        <w:t>2    de Inschrijving die bij het gunningscriterium 2.2 "schadebehandeling" het hoogste scoort.</w:t>
      </w:r>
    </w:p>
    <w:p w14:paraId="0B882BA2" w14:textId="77777777" w:rsidR="009D189E" w:rsidRDefault="009D189E" w:rsidP="009D189E">
      <w:pPr>
        <w:pStyle w:val="Default"/>
        <w:ind w:left="360"/>
        <w:rPr>
          <w:sz w:val="20"/>
          <w:szCs w:val="20"/>
        </w:rPr>
      </w:pPr>
      <w:r>
        <w:rPr>
          <w:sz w:val="20"/>
          <w:szCs w:val="20"/>
        </w:rPr>
        <w:t>3    de Inschrijving met de laagste premie.</w:t>
      </w:r>
    </w:p>
    <w:p w14:paraId="01FE9E47" w14:textId="77777777" w:rsidR="009D189E" w:rsidRDefault="009D189E" w:rsidP="009D189E">
      <w:pPr>
        <w:pStyle w:val="Default"/>
        <w:ind w:left="360"/>
        <w:rPr>
          <w:sz w:val="20"/>
          <w:szCs w:val="20"/>
        </w:rPr>
      </w:pPr>
      <w:r>
        <w:rPr>
          <w:sz w:val="20"/>
          <w:szCs w:val="20"/>
        </w:rPr>
        <w:t>4    de Inschrijver die de meeste capaciteit (het grootste aandeel) heeft aangeboden.</w:t>
      </w:r>
    </w:p>
    <w:p w14:paraId="200AB4A7" w14:textId="77777777" w:rsidR="009D189E" w:rsidRDefault="009D189E" w:rsidP="009D189E">
      <w:pPr>
        <w:pStyle w:val="Default"/>
        <w:ind w:left="360"/>
        <w:rPr>
          <w:sz w:val="20"/>
          <w:szCs w:val="20"/>
        </w:rPr>
      </w:pPr>
    </w:p>
    <w:p w14:paraId="55C1409D" w14:textId="77777777" w:rsidR="009D189E" w:rsidRDefault="009D189E" w:rsidP="009D189E">
      <w:pPr>
        <w:pStyle w:val="Default"/>
        <w:rPr>
          <w:sz w:val="20"/>
          <w:szCs w:val="20"/>
        </w:rPr>
      </w:pPr>
      <w:r>
        <w:rPr>
          <w:sz w:val="20"/>
          <w:szCs w:val="20"/>
        </w:rPr>
        <w:t>De bovengenoemde puntentoekenning wordt per afzonderlijk onderdeel gedaan. Zodra bij het betreffende onderdeel, beginnende bij punt 1, één van de Inschrijvers hoger scoort dan de andere Inschrijver(s), dan wordt deze als leidende Verzekeraar aangemerkt.</w:t>
      </w:r>
    </w:p>
    <w:p w14:paraId="71D89EA0" w14:textId="77777777" w:rsidR="009D189E" w:rsidRDefault="009D189E" w:rsidP="009D189E">
      <w:pPr>
        <w:pStyle w:val="Default"/>
        <w:rPr>
          <w:sz w:val="20"/>
          <w:szCs w:val="20"/>
        </w:rPr>
      </w:pPr>
    </w:p>
    <w:p w14:paraId="1E4A46EE" w14:textId="77777777" w:rsidR="009D189E" w:rsidRDefault="009D189E" w:rsidP="009D189E">
      <w:pPr>
        <w:pStyle w:val="Default"/>
        <w:rPr>
          <w:sz w:val="20"/>
          <w:szCs w:val="20"/>
        </w:rPr>
      </w:pPr>
      <w:r>
        <w:rPr>
          <w:sz w:val="20"/>
          <w:szCs w:val="20"/>
        </w:rPr>
        <w:t>Indien na het bovenstaande blijkt dat het aantal punten nog gelijk is dan zal via loting worden</w:t>
      </w:r>
    </w:p>
    <w:p w14:paraId="228FD408" w14:textId="77777777" w:rsidR="009D189E" w:rsidRDefault="009D189E" w:rsidP="009D189E">
      <w:pPr>
        <w:pStyle w:val="Default"/>
        <w:rPr>
          <w:sz w:val="20"/>
          <w:szCs w:val="20"/>
        </w:rPr>
      </w:pPr>
      <w:r>
        <w:rPr>
          <w:sz w:val="20"/>
          <w:szCs w:val="20"/>
        </w:rPr>
        <w:t>bepaald welke Inschrijver als leidende Verzekeraar wordt aangemerkt.</w:t>
      </w:r>
    </w:p>
    <w:p w14:paraId="02C5F9E5" w14:textId="77777777" w:rsidR="009D189E" w:rsidRDefault="009D189E" w:rsidP="009D189E">
      <w:pPr>
        <w:pStyle w:val="Default"/>
        <w:rPr>
          <w:sz w:val="20"/>
          <w:szCs w:val="20"/>
        </w:rPr>
      </w:pPr>
    </w:p>
    <w:p w14:paraId="00108882" w14:textId="77777777" w:rsidR="009D189E" w:rsidRDefault="009D189E" w:rsidP="009D189E">
      <w:pPr>
        <w:pStyle w:val="Default"/>
        <w:rPr>
          <w:sz w:val="20"/>
          <w:szCs w:val="20"/>
          <w:u w:val="single"/>
        </w:rPr>
      </w:pPr>
      <w:r>
        <w:rPr>
          <w:sz w:val="20"/>
          <w:szCs w:val="20"/>
          <w:u w:val="single"/>
        </w:rPr>
        <w:t>Volgverzekeraar</w:t>
      </w:r>
    </w:p>
    <w:p w14:paraId="15518D31" w14:textId="77777777" w:rsidR="009D189E" w:rsidRDefault="009D189E" w:rsidP="009D189E">
      <w:pPr>
        <w:pStyle w:val="Default"/>
        <w:rPr>
          <w:sz w:val="20"/>
          <w:szCs w:val="20"/>
        </w:rPr>
      </w:pPr>
      <w:r>
        <w:rPr>
          <w:sz w:val="20"/>
          <w:szCs w:val="20"/>
        </w:rPr>
        <w:t>Indien twee of meerdere Inschrijvers een gelijk aantal punten scoren wordt de volgorde van volginschrijvers achtereenvolgens bepaald aan de hand van:</w:t>
      </w:r>
    </w:p>
    <w:p w14:paraId="42A74FF7" w14:textId="77777777" w:rsidR="001A54CF" w:rsidRDefault="001A54CF" w:rsidP="009D189E">
      <w:pPr>
        <w:pStyle w:val="Default"/>
        <w:ind w:left="360"/>
        <w:rPr>
          <w:sz w:val="20"/>
          <w:szCs w:val="20"/>
        </w:rPr>
      </w:pPr>
    </w:p>
    <w:p w14:paraId="38282F6B" w14:textId="3047D0FF" w:rsidR="009D189E" w:rsidRDefault="001A54CF" w:rsidP="009D189E">
      <w:pPr>
        <w:pStyle w:val="Default"/>
        <w:ind w:left="360"/>
        <w:rPr>
          <w:sz w:val="20"/>
          <w:szCs w:val="20"/>
        </w:rPr>
      </w:pPr>
      <w:r>
        <w:rPr>
          <w:sz w:val="20"/>
          <w:szCs w:val="20"/>
        </w:rPr>
        <w:t>1</w:t>
      </w:r>
      <w:r w:rsidR="009D189E">
        <w:rPr>
          <w:sz w:val="20"/>
          <w:szCs w:val="20"/>
        </w:rPr>
        <w:t>.   de Inschrijver met de laagste premie;</w:t>
      </w:r>
    </w:p>
    <w:p w14:paraId="78AFF196" w14:textId="29CE0A3B" w:rsidR="009D189E" w:rsidRDefault="001A54CF" w:rsidP="009D189E">
      <w:pPr>
        <w:pStyle w:val="Default"/>
        <w:ind w:left="360"/>
        <w:rPr>
          <w:sz w:val="20"/>
          <w:szCs w:val="20"/>
        </w:rPr>
      </w:pPr>
      <w:r>
        <w:rPr>
          <w:sz w:val="20"/>
          <w:szCs w:val="20"/>
        </w:rPr>
        <w:t>2</w:t>
      </w:r>
      <w:r w:rsidR="009D189E">
        <w:rPr>
          <w:sz w:val="20"/>
          <w:szCs w:val="20"/>
        </w:rPr>
        <w:t>.   de Inschrijving die de meeste capaciteit (het grootste aandeel) heeft aangeboden.</w:t>
      </w:r>
    </w:p>
    <w:p w14:paraId="10D3FFE8" w14:textId="77777777" w:rsidR="009D189E" w:rsidRDefault="009D189E" w:rsidP="009D189E">
      <w:pPr>
        <w:pStyle w:val="Default"/>
      </w:pPr>
    </w:p>
    <w:p w14:paraId="300D16DD" w14:textId="77777777" w:rsidR="009D189E" w:rsidRDefault="009D189E" w:rsidP="009D189E">
      <w:pPr>
        <w:pStyle w:val="Default"/>
        <w:rPr>
          <w:sz w:val="20"/>
          <w:szCs w:val="20"/>
        </w:rPr>
      </w:pPr>
      <w:r>
        <w:rPr>
          <w:sz w:val="20"/>
          <w:szCs w:val="20"/>
        </w:rPr>
        <w:t xml:space="preserve">De bovengenoemde puntentoekenning wordt per afzonderlijk onderdeel gedaan. Zodra bij het betreffende onderdeel, beginnende bij punt 1, één van de Inschrijvers hoger scoort dan de </w:t>
      </w:r>
    </w:p>
    <w:p w14:paraId="0132DCE1" w14:textId="77777777" w:rsidR="009D189E" w:rsidRDefault="009D189E" w:rsidP="009D189E">
      <w:pPr>
        <w:pStyle w:val="Default"/>
        <w:rPr>
          <w:sz w:val="20"/>
          <w:szCs w:val="20"/>
        </w:rPr>
      </w:pPr>
      <w:r>
        <w:rPr>
          <w:sz w:val="20"/>
          <w:szCs w:val="20"/>
        </w:rPr>
        <w:t xml:space="preserve">andere Inschrijver(s), dan wordt deze Inschrijver aangemerkt als de Inschrijver met de hoogste </w:t>
      </w:r>
    </w:p>
    <w:p w14:paraId="175046E2" w14:textId="77777777" w:rsidR="009D189E" w:rsidRDefault="009D189E" w:rsidP="009D189E">
      <w:pPr>
        <w:pStyle w:val="Default"/>
        <w:rPr>
          <w:sz w:val="20"/>
          <w:szCs w:val="20"/>
        </w:rPr>
      </w:pPr>
      <w:r>
        <w:rPr>
          <w:sz w:val="20"/>
          <w:szCs w:val="20"/>
        </w:rPr>
        <w:t>punten.</w:t>
      </w:r>
    </w:p>
    <w:p w14:paraId="7DBC06D8" w14:textId="77777777" w:rsidR="009D189E" w:rsidRDefault="009D189E" w:rsidP="009D189E">
      <w:pPr>
        <w:pStyle w:val="Default"/>
        <w:rPr>
          <w:sz w:val="20"/>
          <w:szCs w:val="20"/>
        </w:rPr>
      </w:pPr>
    </w:p>
    <w:p w14:paraId="315F8165" w14:textId="77777777" w:rsidR="009D189E" w:rsidRDefault="009D189E" w:rsidP="009D189E">
      <w:pPr>
        <w:pStyle w:val="Default"/>
        <w:rPr>
          <w:sz w:val="20"/>
          <w:szCs w:val="20"/>
        </w:rPr>
      </w:pPr>
      <w:r>
        <w:rPr>
          <w:sz w:val="20"/>
          <w:szCs w:val="20"/>
        </w:rPr>
        <w:t>Indien na het bovenstaande blijkt dat het aantal punten nog gelijk is dan zal via loting worden</w:t>
      </w:r>
    </w:p>
    <w:p w14:paraId="37F3D7BC" w14:textId="606B5572" w:rsidR="009D189E" w:rsidRDefault="009D189E" w:rsidP="009D189E">
      <w:pPr>
        <w:pStyle w:val="Default"/>
        <w:rPr>
          <w:sz w:val="20"/>
          <w:szCs w:val="20"/>
        </w:rPr>
      </w:pPr>
      <w:r>
        <w:rPr>
          <w:sz w:val="20"/>
          <w:szCs w:val="20"/>
        </w:rPr>
        <w:t>bepaald welke Inschrijver(s) als volgverzekeraar word(t)en aangemerkt.</w:t>
      </w:r>
    </w:p>
    <w:p w14:paraId="10B9D25B" w14:textId="43C79BAA" w:rsidR="001A54CF" w:rsidRDefault="001A54CF" w:rsidP="009D189E">
      <w:pPr>
        <w:pStyle w:val="Default"/>
        <w:rPr>
          <w:sz w:val="20"/>
          <w:szCs w:val="20"/>
        </w:rPr>
      </w:pPr>
    </w:p>
    <w:p w14:paraId="5BABA1D9" w14:textId="626CDA8C" w:rsidR="001A54CF" w:rsidRDefault="001A54CF" w:rsidP="009D189E">
      <w:pPr>
        <w:pStyle w:val="Default"/>
        <w:rPr>
          <w:sz w:val="20"/>
          <w:szCs w:val="20"/>
        </w:rPr>
      </w:pPr>
    </w:p>
    <w:p w14:paraId="0509091A" w14:textId="46AECE90" w:rsidR="001A54CF" w:rsidRDefault="001A54CF" w:rsidP="009D189E">
      <w:pPr>
        <w:pStyle w:val="Default"/>
        <w:rPr>
          <w:sz w:val="20"/>
          <w:szCs w:val="20"/>
        </w:rPr>
      </w:pPr>
    </w:p>
    <w:p w14:paraId="3B3732EB" w14:textId="4FA93B96" w:rsidR="001A54CF" w:rsidRDefault="001A54CF" w:rsidP="009D189E">
      <w:pPr>
        <w:pStyle w:val="Default"/>
        <w:rPr>
          <w:sz w:val="20"/>
          <w:szCs w:val="20"/>
        </w:rPr>
      </w:pPr>
    </w:p>
    <w:p w14:paraId="2A5FB7A5" w14:textId="3514F9BA" w:rsidR="001A54CF" w:rsidRDefault="001A54CF" w:rsidP="009D189E">
      <w:pPr>
        <w:pStyle w:val="Default"/>
        <w:rPr>
          <w:sz w:val="20"/>
          <w:szCs w:val="20"/>
        </w:rPr>
      </w:pPr>
    </w:p>
    <w:p w14:paraId="00BD24AC" w14:textId="733494A0" w:rsidR="001A54CF" w:rsidRDefault="001A54CF" w:rsidP="009D189E">
      <w:pPr>
        <w:pStyle w:val="Default"/>
        <w:rPr>
          <w:sz w:val="20"/>
          <w:szCs w:val="20"/>
        </w:rPr>
      </w:pPr>
    </w:p>
    <w:p w14:paraId="4336BC88" w14:textId="25EB7CE8" w:rsidR="001A54CF" w:rsidRDefault="001A54CF" w:rsidP="009D189E">
      <w:pPr>
        <w:pStyle w:val="Default"/>
        <w:rPr>
          <w:sz w:val="20"/>
          <w:szCs w:val="20"/>
        </w:rPr>
      </w:pPr>
    </w:p>
    <w:p w14:paraId="56239F68" w14:textId="2FA72B6E" w:rsidR="001A54CF" w:rsidRDefault="001A54CF" w:rsidP="009D189E">
      <w:pPr>
        <w:pStyle w:val="Default"/>
        <w:rPr>
          <w:sz w:val="20"/>
          <w:szCs w:val="20"/>
        </w:rPr>
      </w:pPr>
    </w:p>
    <w:p w14:paraId="3B39DBD9" w14:textId="35B3F936" w:rsidR="001A54CF" w:rsidRDefault="001A54CF" w:rsidP="009D189E">
      <w:pPr>
        <w:pStyle w:val="Default"/>
        <w:rPr>
          <w:sz w:val="20"/>
          <w:szCs w:val="20"/>
        </w:rPr>
      </w:pPr>
    </w:p>
    <w:p w14:paraId="546C5D3D" w14:textId="5C41D815" w:rsidR="001A54CF" w:rsidRDefault="001A54CF" w:rsidP="009D189E">
      <w:pPr>
        <w:pStyle w:val="Default"/>
        <w:rPr>
          <w:sz w:val="20"/>
          <w:szCs w:val="20"/>
        </w:rPr>
      </w:pPr>
    </w:p>
    <w:p w14:paraId="650B7F2F" w14:textId="051B1AF3" w:rsidR="001A54CF" w:rsidRDefault="001A54CF" w:rsidP="009D189E">
      <w:pPr>
        <w:pStyle w:val="Default"/>
        <w:rPr>
          <w:sz w:val="20"/>
          <w:szCs w:val="20"/>
        </w:rPr>
      </w:pPr>
    </w:p>
    <w:p w14:paraId="7BE58CD4" w14:textId="305895D5" w:rsidR="001A54CF" w:rsidRDefault="001A54CF" w:rsidP="009D189E">
      <w:pPr>
        <w:pStyle w:val="Default"/>
        <w:rPr>
          <w:sz w:val="20"/>
          <w:szCs w:val="20"/>
        </w:rPr>
      </w:pPr>
    </w:p>
    <w:p w14:paraId="5178C6BF" w14:textId="216D7A56" w:rsidR="001A54CF" w:rsidRDefault="001A54CF" w:rsidP="009D189E">
      <w:pPr>
        <w:pStyle w:val="Default"/>
        <w:rPr>
          <w:sz w:val="20"/>
          <w:szCs w:val="20"/>
        </w:rPr>
      </w:pPr>
    </w:p>
    <w:p w14:paraId="7FFAECC3" w14:textId="5859E588" w:rsidR="001A54CF" w:rsidRDefault="001A54CF" w:rsidP="009D189E">
      <w:pPr>
        <w:pStyle w:val="Default"/>
        <w:rPr>
          <w:sz w:val="20"/>
          <w:szCs w:val="20"/>
        </w:rPr>
      </w:pPr>
    </w:p>
    <w:p w14:paraId="760F296D" w14:textId="3EB52F90" w:rsidR="001A54CF" w:rsidRDefault="001A54CF" w:rsidP="009D189E">
      <w:pPr>
        <w:pStyle w:val="Default"/>
        <w:rPr>
          <w:sz w:val="20"/>
          <w:szCs w:val="20"/>
        </w:rPr>
      </w:pPr>
    </w:p>
    <w:p w14:paraId="4170A423" w14:textId="77777777" w:rsidR="00D56F8C" w:rsidRDefault="00D56F8C" w:rsidP="00D56F8C">
      <w:pPr>
        <w:pStyle w:val="Default"/>
        <w:rPr>
          <w:sz w:val="20"/>
          <w:szCs w:val="20"/>
        </w:rPr>
      </w:pPr>
      <w:r>
        <w:rPr>
          <w:sz w:val="20"/>
          <w:szCs w:val="20"/>
        </w:rPr>
        <w:t>Aangezien beide inschrijvers een gelijke premie en aandeel hebben geoffreerd, zal er geloot gaan worden welke partij het geoffreerde aandeel gegund krijgt en welke partij zal worden afgewezen.</w:t>
      </w:r>
    </w:p>
    <w:p w14:paraId="52C09E75" w14:textId="428BC499" w:rsidR="001A54CF" w:rsidRDefault="001A54CF" w:rsidP="009D189E">
      <w:pPr>
        <w:pStyle w:val="Default"/>
        <w:rPr>
          <w:sz w:val="20"/>
          <w:szCs w:val="20"/>
        </w:rPr>
      </w:pPr>
    </w:p>
    <w:p w14:paraId="7AEBD3E5" w14:textId="3220376E" w:rsidR="00286A2B" w:rsidRDefault="001A54CF" w:rsidP="009D189E">
      <w:pPr>
        <w:pStyle w:val="Default"/>
        <w:rPr>
          <w:sz w:val="20"/>
          <w:szCs w:val="20"/>
        </w:rPr>
      </w:pPr>
      <w:r>
        <w:rPr>
          <w:sz w:val="20"/>
          <w:szCs w:val="20"/>
        </w:rPr>
        <w:t xml:space="preserve">De loting zal het trekken van een getal tussen de 1 en 6 betreffen en zal op </w:t>
      </w:r>
      <w:r w:rsidR="00126647">
        <w:rPr>
          <w:sz w:val="20"/>
          <w:szCs w:val="20"/>
        </w:rPr>
        <w:t>21</w:t>
      </w:r>
      <w:r>
        <w:rPr>
          <w:sz w:val="20"/>
          <w:szCs w:val="20"/>
        </w:rPr>
        <w:t xml:space="preserve"> december 2022 plaatsvinden via TenderNed.</w:t>
      </w:r>
      <w:r w:rsidR="00286A2B">
        <w:rPr>
          <w:sz w:val="20"/>
          <w:szCs w:val="20"/>
        </w:rPr>
        <w:t xml:space="preserve"> </w:t>
      </w:r>
    </w:p>
    <w:p w14:paraId="0CCEE608" w14:textId="77777777" w:rsidR="00286A2B" w:rsidRDefault="00286A2B" w:rsidP="009D189E">
      <w:pPr>
        <w:pStyle w:val="Default"/>
        <w:rPr>
          <w:sz w:val="20"/>
          <w:szCs w:val="20"/>
        </w:rPr>
      </w:pPr>
    </w:p>
    <w:p w14:paraId="6388FF92" w14:textId="6911E836" w:rsidR="00672A27" w:rsidRDefault="00AB2226" w:rsidP="009D189E">
      <w:pPr>
        <w:pStyle w:val="Default"/>
        <w:rPr>
          <w:sz w:val="20"/>
          <w:szCs w:val="20"/>
        </w:rPr>
      </w:pPr>
      <w:r>
        <w:rPr>
          <w:sz w:val="20"/>
          <w:szCs w:val="20"/>
        </w:rPr>
        <w:t xml:space="preserve">Het cijfer waar om geloot gaat worden is </w:t>
      </w:r>
      <w:r w:rsidRPr="00D56F8C">
        <w:rPr>
          <w:b/>
          <w:bCs/>
          <w:sz w:val="20"/>
          <w:szCs w:val="20"/>
        </w:rPr>
        <w:t>4</w:t>
      </w:r>
      <w:r>
        <w:rPr>
          <w:sz w:val="20"/>
          <w:szCs w:val="20"/>
        </w:rPr>
        <w:t xml:space="preserve">. </w:t>
      </w:r>
      <w:r w:rsidR="00286A2B">
        <w:rPr>
          <w:sz w:val="20"/>
          <w:szCs w:val="20"/>
        </w:rPr>
        <w:t xml:space="preserve">De inschrijvers zullen via de berichtenmodule van TenderNed het gekozen cijfer van hen indienen. De inschrijvers hebben hiervoor tot </w:t>
      </w:r>
      <w:r w:rsidR="00126647">
        <w:rPr>
          <w:sz w:val="20"/>
          <w:szCs w:val="20"/>
        </w:rPr>
        <w:t>22</w:t>
      </w:r>
      <w:r w:rsidR="00286A2B">
        <w:rPr>
          <w:sz w:val="20"/>
          <w:szCs w:val="20"/>
        </w:rPr>
        <w:t xml:space="preserve"> december 12:00 uur de tijd. </w:t>
      </w:r>
    </w:p>
    <w:p w14:paraId="0F1EBE0E" w14:textId="77777777" w:rsidR="002A622D" w:rsidRDefault="002A622D" w:rsidP="009D189E">
      <w:pPr>
        <w:pStyle w:val="Default"/>
        <w:rPr>
          <w:sz w:val="20"/>
          <w:szCs w:val="20"/>
        </w:rPr>
      </w:pPr>
    </w:p>
    <w:p w14:paraId="06DC6160" w14:textId="4A36831E" w:rsidR="00672A27" w:rsidRDefault="002A622D" w:rsidP="009D189E">
      <w:pPr>
        <w:pStyle w:val="Default"/>
        <w:rPr>
          <w:sz w:val="20"/>
          <w:szCs w:val="20"/>
        </w:rPr>
      </w:pPr>
      <w:r w:rsidRPr="002A622D">
        <w:rPr>
          <w:sz w:val="20"/>
          <w:szCs w:val="20"/>
        </w:rPr>
        <w:t>Wanneer er door beide inschrijvers hetzelfde getal is genoemd, wordt het aandeel toegekend aan de inschrijver die het getal als eerste in TenderNed heeft geüpload. Komt het tijdstip bij beide overeen dan zal er tot een nieuwe loting worden overgegaan. Dit zal worden herhaald totdat er een “winnaar” bekend is.</w:t>
      </w:r>
    </w:p>
    <w:p w14:paraId="1DD8F569" w14:textId="77777777" w:rsidR="001A54CF" w:rsidRDefault="001A54CF" w:rsidP="009D189E">
      <w:pPr>
        <w:rPr>
          <w:sz w:val="20"/>
          <w:szCs w:val="20"/>
        </w:rPr>
      </w:pPr>
    </w:p>
    <w:p w14:paraId="6AEB3458" w14:textId="77777777" w:rsidR="000F150B" w:rsidRPr="008335BD" w:rsidRDefault="000F150B" w:rsidP="00903B68"/>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89E"/>
    <w:rsid w:val="000F150B"/>
    <w:rsid w:val="00126647"/>
    <w:rsid w:val="001A54CF"/>
    <w:rsid w:val="00230988"/>
    <w:rsid w:val="00286A2B"/>
    <w:rsid w:val="002A622D"/>
    <w:rsid w:val="0059535D"/>
    <w:rsid w:val="00672A27"/>
    <w:rsid w:val="008335BD"/>
    <w:rsid w:val="00903B68"/>
    <w:rsid w:val="009D189E"/>
    <w:rsid w:val="009F6753"/>
    <w:rsid w:val="00AB2226"/>
    <w:rsid w:val="00D56F8C"/>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508E9"/>
  <w15:chartTrackingRefBased/>
  <w15:docId w15:val="{3F68E2E0-A761-432B-A118-DC2646DD9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89E"/>
    <w:rPr>
      <w:rFonts w:ascii="Calibri" w:hAnsi="Calibri" w:cs="Calibri"/>
      <w:sz w:val="22"/>
      <w:szCs w:val="22"/>
      <w:lang w:val="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ReportBodyText">
    <w:name w:val="*Report Body Text"/>
    <w:basedOn w:val="Normal"/>
    <w:rsid w:val="009D189E"/>
    <w:pPr>
      <w:spacing w:line="264" w:lineRule="auto"/>
    </w:pPr>
    <w:rPr>
      <w:rFonts w:ascii="Arial" w:hAnsi="Arial" w:cs="Arial"/>
      <w:sz w:val="20"/>
      <w:szCs w:val="20"/>
    </w:rPr>
  </w:style>
  <w:style w:type="paragraph" w:customStyle="1" w:styleId="Default">
    <w:name w:val="Default"/>
    <w:basedOn w:val="Normal"/>
    <w:rsid w:val="009D189E"/>
    <w:pPr>
      <w:autoSpaceDE w:val="0"/>
      <w:autoSpaceDN w:val="0"/>
    </w:pPr>
    <w:rPr>
      <w:rFonts w:ascii="Arial"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833291">
      <w:bodyDiv w:val="1"/>
      <w:marLeft w:val="0"/>
      <w:marRight w:val="0"/>
      <w:marTop w:val="0"/>
      <w:marBottom w:val="0"/>
      <w:divBdr>
        <w:top w:val="none" w:sz="0" w:space="0" w:color="auto"/>
        <w:left w:val="none" w:sz="0" w:space="0" w:color="auto"/>
        <w:bottom w:val="none" w:sz="0" w:space="0" w:color="auto"/>
        <w:right w:val="none" w:sz="0" w:space="0" w:color="auto"/>
      </w:divBdr>
    </w:div>
    <w:div w:id="165209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483</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Elderhorst</dc:creator>
  <cp:keywords/>
  <dc:description/>
  <cp:lastModifiedBy>Enrico Elderhorst</cp:lastModifiedBy>
  <cp:revision>4</cp:revision>
  <dcterms:created xsi:type="dcterms:W3CDTF">2022-12-14T10:47:00Z</dcterms:created>
  <dcterms:modified xsi:type="dcterms:W3CDTF">2022-12-21T10:31:00Z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6e561945-fc94-4a3c-8c5a-c837fe0d2f67</vt:lpwstr>
  </property>
  <property fmtid="{D5CDD505-2E9C-101B-9397-08002B2CF9AE}" pid="3" name="AonClassification">
    <vt:lpwstr>ADC_class_200</vt:lpwstr>
  </property>
</Properties>
</file>