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8974"/>
      </w:tblGrid>
      <w:tr w:rsidR="009A57DE" w:rsidRPr="00DD3DFA" w14:paraId="3F54EB43" w14:textId="77777777" w:rsidTr="00841022">
        <w:trPr>
          <w:trHeight w:val="284"/>
        </w:trPr>
        <w:tc>
          <w:tcPr>
            <w:tcW w:w="7881" w:type="dxa"/>
            <w:shd w:val="clear" w:color="auto" w:fill="auto"/>
          </w:tcPr>
          <w:p w14:paraId="7A544EFA" w14:textId="506C6E24" w:rsidR="00CF7165" w:rsidRDefault="00CE5C36" w:rsidP="007C74F0">
            <w:pPr>
              <w:pStyle w:val="Tabelnormaal"/>
              <w:rPr>
                <w:rFonts w:ascii="Corbel" w:hAnsi="Corbel" w:cs="Times New Roman"/>
                <w:b/>
                <w:color w:val="auto"/>
                <w:sz w:val="36"/>
                <w:szCs w:val="36"/>
              </w:rPr>
            </w:pPr>
            <w:r>
              <w:rPr>
                <w:rFonts w:ascii="Corbel" w:hAnsi="Corbel" w:cs="Times New Roman"/>
                <w:b/>
                <w:color w:val="auto"/>
                <w:sz w:val="36"/>
                <w:szCs w:val="36"/>
              </w:rPr>
              <w:t>ZZP Broker</w:t>
            </w:r>
            <w:r w:rsidR="00220C6C">
              <w:rPr>
                <w:rFonts w:ascii="Corbel" w:hAnsi="Corbel" w:cs="Times New Roman"/>
                <w:b/>
                <w:color w:val="auto"/>
                <w:sz w:val="36"/>
                <w:szCs w:val="36"/>
              </w:rPr>
              <w:t xml:space="preserve"> </w:t>
            </w:r>
          </w:p>
          <w:p w14:paraId="3339A718" w14:textId="1396EB71" w:rsidR="009A57DE" w:rsidRPr="00DD3DFA" w:rsidRDefault="00106BC1" w:rsidP="00CF7165">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w:t>
            </w:r>
            <w:r w:rsidR="00040332">
              <w:rPr>
                <w:rFonts w:ascii="Corbel" w:hAnsi="Corbel" w:cs="Times New Roman"/>
                <w:b/>
                <w:color w:val="auto"/>
                <w:sz w:val="36"/>
                <w:szCs w:val="36"/>
              </w:rPr>
              <w:t>C</w:t>
            </w:r>
            <w:r w:rsidR="00CF7165">
              <w:rPr>
                <w:rFonts w:ascii="Corbel" w:hAnsi="Corbel" w:cs="Times New Roman"/>
                <w:b/>
                <w:color w:val="auto"/>
                <w:sz w:val="36"/>
                <w:szCs w:val="36"/>
              </w:rPr>
              <w:t xml:space="preserve"> C</w:t>
            </w:r>
            <w:r w:rsidR="007C74F0">
              <w:rPr>
                <w:rFonts w:ascii="Corbel" w:hAnsi="Corbel" w:cs="Times New Roman"/>
                <w:b/>
                <w:color w:val="auto"/>
                <w:sz w:val="36"/>
                <w:szCs w:val="36"/>
              </w:rPr>
              <w:t>onformiteitenlijst</w:t>
            </w:r>
            <w:r w:rsidR="00220C6C">
              <w:rPr>
                <w:rFonts w:ascii="Corbel" w:hAnsi="Corbel" w:cs="Times New Roman"/>
                <w:b/>
                <w:color w:val="auto"/>
                <w:sz w:val="36"/>
                <w:szCs w:val="36"/>
              </w:rPr>
              <w:t xml:space="preserve"> </w:t>
            </w:r>
            <w:r w:rsidR="007C74F0">
              <w:rPr>
                <w:rFonts w:ascii="Corbel" w:hAnsi="Corbel" w:cs="Times New Roman"/>
                <w:b/>
                <w:color w:val="auto"/>
                <w:sz w:val="36"/>
                <w:szCs w:val="36"/>
              </w:rPr>
              <w:t>Minimum</w:t>
            </w:r>
            <w:r w:rsidR="00647792">
              <w:rPr>
                <w:rFonts w:ascii="Corbel" w:hAnsi="Corbel" w:cs="Times New Roman"/>
                <w:b/>
                <w:color w:val="auto"/>
                <w:sz w:val="36"/>
                <w:szCs w:val="36"/>
              </w:rPr>
              <w:t>-e</w:t>
            </w:r>
            <w:r w:rsidR="007C74F0">
              <w:rPr>
                <w:rFonts w:ascii="Corbel" w:hAnsi="Corbel" w:cs="Times New Roman"/>
                <w:b/>
                <w:color w:val="auto"/>
                <w:sz w:val="36"/>
                <w:szCs w:val="36"/>
              </w:rPr>
              <w:t xml:space="preserve">isen </w:t>
            </w:r>
            <w:r w:rsidR="007C74F0" w:rsidRPr="007C74F0">
              <w:rPr>
                <w:rFonts w:ascii="Corbel" w:hAnsi="Corbel" w:cs="Times New Roman"/>
                <w:b/>
                <w:color w:val="auto"/>
                <w:sz w:val="36"/>
                <w:szCs w:val="36"/>
              </w:rPr>
              <w:t xml:space="preserve"> </w:t>
            </w:r>
          </w:p>
          <w:p w14:paraId="4293E8C0" w14:textId="32D726E3" w:rsidR="009A57DE" w:rsidRPr="00DD3DFA" w:rsidRDefault="00220C6C" w:rsidP="00841022">
            <w:pPr>
              <w:pStyle w:val="Tabelnormaal"/>
              <w:spacing w:after="0"/>
              <w:jc w:val="left"/>
              <w:rPr>
                <w:rFonts w:ascii="Corbel" w:hAnsi="Corbel" w:cs="Times New Roman"/>
                <w:b/>
                <w:color w:val="auto"/>
                <w:sz w:val="36"/>
                <w:szCs w:val="36"/>
              </w:rPr>
            </w:pPr>
            <w:r w:rsidRPr="00220C6C">
              <w:rPr>
                <w:rFonts w:ascii="Corbel" w:hAnsi="Corbel" w:cs="Times New Roman"/>
                <w:b/>
                <w:noProof/>
                <w:color w:val="auto"/>
                <w:sz w:val="36"/>
                <w:szCs w:val="36"/>
              </w:rPr>
              <w:drawing>
                <wp:anchor distT="0" distB="0" distL="114300" distR="114300" simplePos="0" relativeHeight="251659264" behindDoc="0" locked="0" layoutInCell="1" allowOverlap="1" wp14:anchorId="02FBB227" wp14:editId="0CEE33EC">
                  <wp:simplePos x="0" y="0"/>
                  <wp:positionH relativeFrom="margin">
                    <wp:posOffset>0</wp:posOffset>
                  </wp:positionH>
                  <wp:positionV relativeFrom="margin">
                    <wp:posOffset>914400</wp:posOffset>
                  </wp:positionV>
                  <wp:extent cx="1812925" cy="920750"/>
                  <wp:effectExtent l="0" t="0" r="0" b="0"/>
                  <wp:wrapSquare wrapText="bothSides"/>
                  <wp:docPr id="3" name="Afbeelding 3"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ROCvA tegen witte achtergro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2925" cy="920750"/>
                          </a:xfrm>
                          <a:prstGeom prst="rect">
                            <a:avLst/>
                          </a:prstGeom>
                          <a:noFill/>
                        </pic:spPr>
                      </pic:pic>
                    </a:graphicData>
                  </a:graphic>
                  <wp14:sizeRelH relativeFrom="page">
                    <wp14:pctWidth>0</wp14:pctWidth>
                  </wp14:sizeRelH>
                  <wp14:sizeRelV relativeFrom="page">
                    <wp14:pctHeight>0</wp14:pctHeight>
                  </wp14:sizeRelV>
                </wp:anchor>
              </w:drawing>
            </w:r>
            <w:r w:rsidRPr="00220C6C">
              <w:rPr>
                <w:rFonts w:ascii="Corbel" w:hAnsi="Corbel" w:cs="Times New Roman"/>
                <w:b/>
                <w:noProof/>
                <w:color w:val="auto"/>
                <w:sz w:val="36"/>
                <w:szCs w:val="36"/>
              </w:rPr>
              <w:drawing>
                <wp:anchor distT="0" distB="0" distL="114300" distR="114300" simplePos="0" relativeHeight="251660288" behindDoc="0" locked="0" layoutInCell="1" allowOverlap="1" wp14:anchorId="294AAF97" wp14:editId="313F0FEF">
                  <wp:simplePos x="0" y="0"/>
                  <wp:positionH relativeFrom="margin">
                    <wp:posOffset>1935480</wp:posOffset>
                  </wp:positionH>
                  <wp:positionV relativeFrom="margin">
                    <wp:posOffset>914400</wp:posOffset>
                  </wp:positionV>
                  <wp:extent cx="1894205" cy="921385"/>
                  <wp:effectExtent l="0" t="0" r="0" b="0"/>
                  <wp:wrapSquare wrapText="bothSides"/>
                  <wp:docPr id="2" name="Afbeelding 2"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ROCvF tegen witte achtergro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205" cy="921385"/>
                          </a:xfrm>
                          <a:prstGeom prst="rect">
                            <a:avLst/>
                          </a:prstGeom>
                          <a:noFill/>
                        </pic:spPr>
                      </pic:pic>
                    </a:graphicData>
                  </a:graphic>
                  <wp14:sizeRelH relativeFrom="page">
                    <wp14:pctWidth>0</wp14:pctWidth>
                  </wp14:sizeRelH>
                  <wp14:sizeRelV relativeFrom="page">
                    <wp14:pctHeight>0</wp14:pctHeight>
                  </wp14:sizeRelV>
                </wp:anchor>
              </w:drawing>
            </w:r>
            <w:r w:rsidRPr="00220C6C">
              <w:rPr>
                <w:rFonts w:ascii="Corbel" w:hAnsi="Corbel" w:cs="Times New Roman"/>
                <w:b/>
                <w:noProof/>
                <w:color w:val="auto"/>
                <w:sz w:val="36"/>
                <w:szCs w:val="36"/>
              </w:rPr>
              <w:drawing>
                <wp:anchor distT="0" distB="0" distL="114300" distR="114300" simplePos="0" relativeHeight="251661312" behindDoc="0" locked="0" layoutInCell="1" allowOverlap="1" wp14:anchorId="5B53177B" wp14:editId="1DB8AF1A">
                  <wp:simplePos x="0" y="0"/>
                  <wp:positionH relativeFrom="margin">
                    <wp:posOffset>3826510</wp:posOffset>
                  </wp:positionH>
                  <wp:positionV relativeFrom="margin">
                    <wp:posOffset>914400</wp:posOffset>
                  </wp:positionV>
                  <wp:extent cx="1871980" cy="930910"/>
                  <wp:effectExtent l="0" t="0" r="0" b="2540"/>
                  <wp:wrapSquare wrapText="bothSides"/>
                  <wp:docPr id="1" name="Afbeelding 1"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VOvA tegen witte achtergro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1980" cy="930910"/>
                          </a:xfrm>
                          <a:prstGeom prst="rect">
                            <a:avLst/>
                          </a:prstGeom>
                          <a:noFill/>
                        </pic:spPr>
                      </pic:pic>
                    </a:graphicData>
                  </a:graphic>
                  <wp14:sizeRelH relativeFrom="page">
                    <wp14:pctWidth>0</wp14:pctWidth>
                  </wp14:sizeRelH>
                  <wp14:sizeRelV relativeFrom="page">
                    <wp14:pctHeight>0</wp14:pctHeight>
                  </wp14:sizeRelV>
                </wp:anchor>
              </w:drawing>
            </w:r>
          </w:p>
        </w:tc>
      </w:tr>
      <w:tr w:rsidR="009A57DE" w:rsidRPr="00DD3DFA" w14:paraId="685F4679" w14:textId="77777777" w:rsidTr="00841022">
        <w:trPr>
          <w:trHeight w:val="567"/>
        </w:trPr>
        <w:tc>
          <w:tcPr>
            <w:tcW w:w="7881" w:type="dxa"/>
            <w:shd w:val="clear" w:color="auto" w:fill="auto"/>
            <w:vAlign w:val="bottom"/>
          </w:tcPr>
          <w:p w14:paraId="169C2214" w14:textId="77777777" w:rsidR="009A57DE" w:rsidRPr="00DD3DFA" w:rsidRDefault="009A57DE" w:rsidP="00841022">
            <w:pPr>
              <w:pStyle w:val="Tabelnormaal"/>
              <w:spacing w:after="0"/>
              <w:jc w:val="left"/>
              <w:rPr>
                <w:rFonts w:ascii="Corbel" w:hAnsi="Corbel" w:cs="Times New Roman"/>
                <w:b/>
                <w:color w:val="auto"/>
                <w:sz w:val="36"/>
                <w:szCs w:val="36"/>
              </w:rPr>
            </w:pPr>
          </w:p>
          <w:p w14:paraId="28FC5B0F" w14:textId="77777777" w:rsidR="009A57DE" w:rsidRPr="00DD3DFA" w:rsidRDefault="009A57DE" w:rsidP="00841022">
            <w:pPr>
              <w:pStyle w:val="Tabelnormaal"/>
              <w:spacing w:after="0"/>
              <w:jc w:val="left"/>
              <w:rPr>
                <w:rFonts w:ascii="Corbel" w:hAnsi="Corbel" w:cs="Times New Roman"/>
                <w:b/>
                <w:color w:val="auto"/>
                <w:sz w:val="36"/>
                <w:szCs w:val="36"/>
              </w:rPr>
            </w:pPr>
          </w:p>
          <w:p w14:paraId="743E0E36" w14:textId="77777777" w:rsidR="009A57DE" w:rsidRPr="00DD3DFA" w:rsidRDefault="009A57DE" w:rsidP="00841022">
            <w:pPr>
              <w:pStyle w:val="Tabelnormaal"/>
              <w:spacing w:after="0"/>
              <w:jc w:val="left"/>
              <w:rPr>
                <w:rFonts w:ascii="Corbel" w:hAnsi="Corbel" w:cs="Times New Roman"/>
                <w:b/>
                <w:color w:val="auto"/>
                <w:sz w:val="36"/>
                <w:szCs w:val="36"/>
              </w:rPr>
            </w:pPr>
          </w:p>
          <w:p w14:paraId="0BB41D90" w14:textId="77777777" w:rsidR="009A57DE" w:rsidRPr="00DD3DFA" w:rsidRDefault="009A57DE" w:rsidP="00841022">
            <w:pPr>
              <w:pStyle w:val="Tabelnormaal"/>
              <w:spacing w:after="0"/>
              <w:jc w:val="left"/>
              <w:rPr>
                <w:rFonts w:ascii="Corbel" w:hAnsi="Corbel" w:cs="Times New Roman"/>
                <w:b/>
                <w:color w:val="auto"/>
                <w:sz w:val="36"/>
                <w:szCs w:val="36"/>
              </w:rPr>
            </w:pPr>
          </w:p>
          <w:p w14:paraId="669F72D9"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0E05EF56" w14:textId="77777777" w:rsidR="007C74F0" w:rsidRPr="007C74F0" w:rsidRDefault="007C74F0" w:rsidP="007C74F0">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17DEDF2D" w14:textId="679E05A5" w:rsidR="009A57DE" w:rsidRPr="007C74F0" w:rsidRDefault="007C74F0" w:rsidP="007C74F0">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Minimum-eisen </w:t>
            </w:r>
          </w:p>
          <w:p w14:paraId="5C248E39" w14:textId="77777777" w:rsidR="009A57DE" w:rsidRPr="00DD3DFA" w:rsidRDefault="009A57DE" w:rsidP="00841022">
            <w:pPr>
              <w:pStyle w:val="Tabelnormaal"/>
              <w:spacing w:after="0"/>
              <w:jc w:val="left"/>
              <w:rPr>
                <w:rFonts w:ascii="Corbel" w:hAnsi="Corbel" w:cs="Times New Roman"/>
                <w:b/>
                <w:color w:val="auto"/>
                <w:sz w:val="36"/>
                <w:szCs w:val="36"/>
              </w:rPr>
            </w:pPr>
          </w:p>
          <w:p w14:paraId="0171087D" w14:textId="77777777" w:rsidR="009A57DE" w:rsidRPr="00DD3DFA" w:rsidRDefault="009A57DE" w:rsidP="00841022">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03EF5CFE" w14:textId="10CF3659" w:rsidR="009A57DE" w:rsidRDefault="009A57DE">
      <w:pPr>
        <w:rPr>
          <w:b/>
          <w:sz w:val="44"/>
          <w:szCs w:val="44"/>
        </w:rPr>
      </w:pPr>
    </w:p>
    <w:p w14:paraId="78649F0A" w14:textId="47363101" w:rsidR="009A57DE" w:rsidRDefault="009A57DE">
      <w:pPr>
        <w:rPr>
          <w:b/>
          <w:sz w:val="44"/>
          <w:szCs w:val="44"/>
        </w:rPr>
      </w:pPr>
    </w:p>
    <w:p w14:paraId="0502BC46" w14:textId="54FD72CA" w:rsidR="009A57DE" w:rsidRDefault="009A57DE">
      <w:pPr>
        <w:rPr>
          <w:b/>
          <w:sz w:val="44"/>
          <w:szCs w:val="44"/>
        </w:rPr>
      </w:pPr>
    </w:p>
    <w:p w14:paraId="1A29936A" w14:textId="48090FCA" w:rsidR="009A57DE" w:rsidRDefault="009A57DE">
      <w:pPr>
        <w:rPr>
          <w:b/>
          <w:sz w:val="44"/>
          <w:szCs w:val="44"/>
        </w:rPr>
      </w:pPr>
    </w:p>
    <w:p w14:paraId="662976E9" w14:textId="77777777" w:rsidR="00FC01B8" w:rsidRDefault="00FC01B8" w:rsidP="0035306C">
      <w:pPr>
        <w:rPr>
          <w:b/>
          <w:sz w:val="24"/>
          <w:szCs w:val="24"/>
        </w:rPr>
      </w:pPr>
    </w:p>
    <w:p w14:paraId="7358E6C7" w14:textId="77777777" w:rsidR="00106BC1" w:rsidRDefault="00106BC1" w:rsidP="0035306C">
      <w:pPr>
        <w:rPr>
          <w:b/>
          <w:sz w:val="24"/>
          <w:szCs w:val="24"/>
        </w:rPr>
      </w:pPr>
    </w:p>
    <w:p w14:paraId="6467765A" w14:textId="340582BF" w:rsidR="009A57DE" w:rsidRDefault="0035306C" w:rsidP="0035306C">
      <w:pPr>
        <w:rPr>
          <w:b/>
          <w:sz w:val="24"/>
          <w:szCs w:val="24"/>
        </w:rPr>
      </w:pPr>
      <w:r w:rsidRPr="0035306C">
        <w:rPr>
          <w:b/>
          <w:sz w:val="24"/>
          <w:szCs w:val="24"/>
        </w:rPr>
        <w:lastRenderedPageBreak/>
        <w:t xml:space="preserve">Minimum-eisen </w:t>
      </w:r>
      <w:r w:rsidR="00463553">
        <w:rPr>
          <w:b/>
          <w:sz w:val="24"/>
          <w:szCs w:val="24"/>
        </w:rPr>
        <w:t xml:space="preserve"> </w:t>
      </w:r>
    </w:p>
    <w:p w14:paraId="5275A849" w14:textId="045E580D" w:rsidR="00240FAC" w:rsidRDefault="00240FAC" w:rsidP="0035306C">
      <w:pPr>
        <w:rPr>
          <w:b/>
          <w:sz w:val="24"/>
          <w:szCs w:val="24"/>
        </w:rPr>
      </w:pPr>
    </w:p>
    <w:tbl>
      <w:tblPr>
        <w:tblStyle w:val="Tabelraster6"/>
        <w:tblW w:w="9209" w:type="dxa"/>
        <w:tblLayout w:type="fixed"/>
        <w:tblLook w:val="04A0" w:firstRow="1" w:lastRow="0" w:firstColumn="1" w:lastColumn="0" w:noHBand="0" w:noVBand="1"/>
      </w:tblPr>
      <w:tblGrid>
        <w:gridCol w:w="988"/>
        <w:gridCol w:w="7087"/>
        <w:gridCol w:w="1134"/>
      </w:tblGrid>
      <w:tr w:rsidR="00240FAC" w:rsidRPr="00240FAC" w14:paraId="73774874" w14:textId="7D189140" w:rsidTr="00240FAC">
        <w:tc>
          <w:tcPr>
            <w:tcW w:w="988" w:type="dxa"/>
            <w:shd w:val="clear" w:color="auto" w:fill="403152" w:themeFill="accent4" w:themeFillShade="80"/>
          </w:tcPr>
          <w:p w14:paraId="621603A0" w14:textId="77777777" w:rsidR="00240FAC" w:rsidRPr="00240FAC" w:rsidRDefault="00240FAC" w:rsidP="00240FAC">
            <w:pPr>
              <w:spacing w:line="288" w:lineRule="auto"/>
              <w:rPr>
                <w:rFonts w:ascii="Arial" w:hAnsi="Arial" w:cs="Arial"/>
                <w:b/>
                <w:sz w:val="20"/>
                <w:szCs w:val="20"/>
              </w:rPr>
            </w:pPr>
            <w:r w:rsidRPr="00240FAC">
              <w:rPr>
                <w:rFonts w:ascii="Arial" w:hAnsi="Arial" w:cs="Arial"/>
                <w:b/>
                <w:sz w:val="20"/>
                <w:szCs w:val="20"/>
              </w:rPr>
              <w:t>Nummer</w:t>
            </w:r>
          </w:p>
        </w:tc>
        <w:tc>
          <w:tcPr>
            <w:tcW w:w="7087" w:type="dxa"/>
            <w:shd w:val="clear" w:color="auto" w:fill="403152" w:themeFill="accent4" w:themeFillShade="80"/>
          </w:tcPr>
          <w:p w14:paraId="0196062B" w14:textId="77777777" w:rsidR="00240FAC" w:rsidRPr="00240FAC" w:rsidRDefault="00240FAC" w:rsidP="00240FAC">
            <w:pPr>
              <w:spacing w:line="288" w:lineRule="auto"/>
              <w:rPr>
                <w:rFonts w:ascii="Arial" w:hAnsi="Arial" w:cs="Arial"/>
                <w:b/>
                <w:sz w:val="20"/>
                <w:szCs w:val="20"/>
              </w:rPr>
            </w:pPr>
            <w:r w:rsidRPr="00240FAC">
              <w:rPr>
                <w:rFonts w:ascii="Arial" w:hAnsi="Arial" w:cs="Arial"/>
                <w:b/>
                <w:sz w:val="20"/>
                <w:szCs w:val="20"/>
              </w:rPr>
              <w:t>Eisen ten aanzien van het aanvraagproces</w:t>
            </w:r>
          </w:p>
        </w:tc>
        <w:tc>
          <w:tcPr>
            <w:tcW w:w="1134" w:type="dxa"/>
            <w:shd w:val="clear" w:color="auto" w:fill="403152" w:themeFill="accent4" w:themeFillShade="80"/>
          </w:tcPr>
          <w:p w14:paraId="32893B50" w14:textId="07636811" w:rsidR="00240FAC" w:rsidRPr="00240FAC" w:rsidRDefault="00240FAC" w:rsidP="00240FAC">
            <w:pPr>
              <w:spacing w:line="288" w:lineRule="auto"/>
              <w:rPr>
                <w:rFonts w:ascii="Arial" w:hAnsi="Arial" w:cs="Arial"/>
                <w:b/>
                <w:sz w:val="20"/>
                <w:szCs w:val="20"/>
              </w:rPr>
            </w:pPr>
            <w:r>
              <w:rPr>
                <w:rFonts w:ascii="Arial" w:hAnsi="Arial" w:cs="Arial"/>
                <w:b/>
                <w:sz w:val="20"/>
                <w:szCs w:val="20"/>
              </w:rPr>
              <w:t>Akkoord (ja/nee)</w:t>
            </w:r>
          </w:p>
        </w:tc>
      </w:tr>
      <w:tr w:rsidR="00240FAC" w:rsidRPr="00240FAC" w14:paraId="62678720" w14:textId="55B537AA" w:rsidTr="00240FAC">
        <w:tc>
          <w:tcPr>
            <w:tcW w:w="988" w:type="dxa"/>
          </w:tcPr>
          <w:p w14:paraId="42238A1F"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A1</w:t>
            </w:r>
          </w:p>
        </w:tc>
        <w:tc>
          <w:tcPr>
            <w:tcW w:w="7087" w:type="dxa"/>
          </w:tcPr>
          <w:p w14:paraId="68768F91"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In elke vraag om capaciteit staat ten minste vermeld:</w:t>
            </w:r>
          </w:p>
          <w:p w14:paraId="276E9262" w14:textId="77777777" w:rsidR="00240FAC" w:rsidRPr="00240FAC" w:rsidRDefault="00240FAC" w:rsidP="00240FAC">
            <w:pPr>
              <w:numPr>
                <w:ilvl w:val="0"/>
                <w:numId w:val="31"/>
              </w:numPr>
              <w:spacing w:line="288" w:lineRule="auto"/>
              <w:contextualSpacing/>
              <w:rPr>
                <w:rFonts w:ascii="Arial" w:hAnsi="Arial" w:cs="Arial"/>
                <w:sz w:val="20"/>
                <w:szCs w:val="20"/>
              </w:rPr>
            </w:pPr>
            <w:r w:rsidRPr="00240FAC">
              <w:rPr>
                <w:rFonts w:ascii="Arial" w:hAnsi="Arial" w:cs="Arial"/>
                <w:sz w:val="20"/>
                <w:szCs w:val="20"/>
              </w:rPr>
              <w:t xml:space="preserve">Aanvragende kostenplaats </w:t>
            </w:r>
          </w:p>
          <w:p w14:paraId="57F271DF" w14:textId="77777777" w:rsidR="00240FAC" w:rsidRPr="00240FAC" w:rsidRDefault="00240FAC" w:rsidP="00240FAC">
            <w:pPr>
              <w:numPr>
                <w:ilvl w:val="0"/>
                <w:numId w:val="31"/>
              </w:numPr>
              <w:spacing w:line="288" w:lineRule="auto"/>
              <w:contextualSpacing/>
              <w:rPr>
                <w:rFonts w:ascii="Arial" w:hAnsi="Arial" w:cs="Arial"/>
                <w:sz w:val="20"/>
                <w:szCs w:val="20"/>
              </w:rPr>
            </w:pPr>
            <w:r w:rsidRPr="00240FAC">
              <w:rPr>
                <w:rFonts w:ascii="Arial" w:hAnsi="Arial" w:cs="Arial"/>
                <w:sz w:val="20"/>
                <w:szCs w:val="20"/>
              </w:rPr>
              <w:t>Functie</w:t>
            </w:r>
          </w:p>
          <w:p w14:paraId="0B0761AA" w14:textId="77777777" w:rsidR="00240FAC" w:rsidRPr="00240FAC" w:rsidRDefault="00240FAC" w:rsidP="00240FAC">
            <w:pPr>
              <w:numPr>
                <w:ilvl w:val="0"/>
                <w:numId w:val="31"/>
              </w:numPr>
              <w:spacing w:line="288" w:lineRule="auto"/>
              <w:contextualSpacing/>
              <w:rPr>
                <w:rFonts w:ascii="Arial" w:hAnsi="Arial" w:cs="Arial"/>
                <w:sz w:val="20"/>
                <w:szCs w:val="20"/>
              </w:rPr>
            </w:pPr>
            <w:r w:rsidRPr="00240FAC">
              <w:rPr>
                <w:rFonts w:ascii="Arial" w:hAnsi="Arial" w:cs="Arial"/>
                <w:sz w:val="20"/>
                <w:szCs w:val="20"/>
              </w:rPr>
              <w:t xml:space="preserve">Functie eisen (opleiding en ervaring) </w:t>
            </w:r>
          </w:p>
          <w:p w14:paraId="353A6E95" w14:textId="77777777" w:rsidR="00240FAC" w:rsidRPr="00240FAC" w:rsidRDefault="00240FAC" w:rsidP="00240FAC">
            <w:pPr>
              <w:numPr>
                <w:ilvl w:val="0"/>
                <w:numId w:val="31"/>
              </w:numPr>
              <w:spacing w:line="288" w:lineRule="auto"/>
              <w:contextualSpacing/>
              <w:rPr>
                <w:rFonts w:ascii="Arial" w:hAnsi="Arial" w:cs="Arial"/>
                <w:sz w:val="20"/>
                <w:szCs w:val="20"/>
              </w:rPr>
            </w:pPr>
            <w:r w:rsidRPr="00240FAC">
              <w:rPr>
                <w:rFonts w:ascii="Arial" w:hAnsi="Arial" w:cs="Arial"/>
                <w:sz w:val="20"/>
                <w:szCs w:val="20"/>
              </w:rPr>
              <w:t xml:space="preserve">Reguliere plaatsing of vervanging </w:t>
            </w:r>
          </w:p>
          <w:p w14:paraId="1DB109F8" w14:textId="77777777" w:rsidR="00240FAC" w:rsidRPr="00240FAC" w:rsidRDefault="00240FAC" w:rsidP="00240FAC">
            <w:pPr>
              <w:numPr>
                <w:ilvl w:val="0"/>
                <w:numId w:val="31"/>
              </w:numPr>
              <w:spacing w:line="288" w:lineRule="auto"/>
              <w:contextualSpacing/>
              <w:rPr>
                <w:rFonts w:ascii="Arial" w:hAnsi="Arial" w:cs="Arial"/>
                <w:sz w:val="20"/>
                <w:szCs w:val="20"/>
              </w:rPr>
            </w:pPr>
            <w:r w:rsidRPr="00240FAC">
              <w:rPr>
                <w:rFonts w:ascii="Arial" w:hAnsi="Arial" w:cs="Arial"/>
                <w:sz w:val="20"/>
                <w:szCs w:val="20"/>
              </w:rPr>
              <w:t xml:space="preserve">Startdatum </w:t>
            </w:r>
          </w:p>
          <w:p w14:paraId="2BD83FA5" w14:textId="77777777" w:rsidR="00240FAC" w:rsidRPr="00240FAC" w:rsidRDefault="00240FAC" w:rsidP="00240FAC">
            <w:pPr>
              <w:numPr>
                <w:ilvl w:val="0"/>
                <w:numId w:val="31"/>
              </w:numPr>
              <w:spacing w:line="288" w:lineRule="auto"/>
              <w:contextualSpacing/>
              <w:rPr>
                <w:rFonts w:ascii="Arial" w:hAnsi="Arial" w:cs="Arial"/>
                <w:sz w:val="20"/>
                <w:szCs w:val="20"/>
              </w:rPr>
            </w:pPr>
            <w:r w:rsidRPr="00240FAC">
              <w:rPr>
                <w:rFonts w:ascii="Arial" w:hAnsi="Arial" w:cs="Arial"/>
                <w:sz w:val="20"/>
                <w:szCs w:val="20"/>
              </w:rPr>
              <w:t xml:space="preserve">Verwachte einddatum (indien bekend) </w:t>
            </w:r>
          </w:p>
          <w:p w14:paraId="220E5A89" w14:textId="77777777" w:rsidR="00240FAC" w:rsidRPr="00240FAC" w:rsidRDefault="00240FAC" w:rsidP="00240FAC">
            <w:pPr>
              <w:numPr>
                <w:ilvl w:val="0"/>
                <w:numId w:val="31"/>
              </w:numPr>
              <w:spacing w:line="288" w:lineRule="auto"/>
              <w:contextualSpacing/>
              <w:rPr>
                <w:rFonts w:ascii="Arial" w:hAnsi="Arial" w:cs="Arial"/>
                <w:sz w:val="20"/>
                <w:szCs w:val="20"/>
              </w:rPr>
            </w:pPr>
            <w:r w:rsidRPr="00240FAC">
              <w:rPr>
                <w:rFonts w:ascii="Arial" w:hAnsi="Arial" w:cs="Arial"/>
                <w:sz w:val="20"/>
                <w:szCs w:val="20"/>
              </w:rPr>
              <w:t xml:space="preserve">Inzet (uren per week) </w:t>
            </w:r>
          </w:p>
          <w:p w14:paraId="1BB3F916" w14:textId="77777777" w:rsidR="00240FAC" w:rsidRPr="00240FAC" w:rsidRDefault="00240FAC" w:rsidP="00240FAC">
            <w:pPr>
              <w:numPr>
                <w:ilvl w:val="0"/>
                <w:numId w:val="31"/>
              </w:numPr>
              <w:spacing w:line="288" w:lineRule="auto"/>
              <w:contextualSpacing/>
              <w:rPr>
                <w:rFonts w:ascii="Arial" w:hAnsi="Arial" w:cs="Arial"/>
                <w:sz w:val="20"/>
                <w:szCs w:val="20"/>
              </w:rPr>
            </w:pPr>
            <w:r w:rsidRPr="00240FAC">
              <w:rPr>
                <w:rFonts w:ascii="Arial" w:hAnsi="Arial" w:cs="Arial"/>
                <w:sz w:val="20"/>
                <w:szCs w:val="20"/>
              </w:rPr>
              <w:t>Locatie.</w:t>
            </w:r>
          </w:p>
        </w:tc>
        <w:tc>
          <w:tcPr>
            <w:tcW w:w="1134" w:type="dxa"/>
          </w:tcPr>
          <w:p w14:paraId="2425592A" w14:textId="77777777" w:rsidR="00240FAC" w:rsidRPr="00240FAC" w:rsidRDefault="00240FAC" w:rsidP="00240FAC">
            <w:pPr>
              <w:spacing w:line="288" w:lineRule="auto"/>
              <w:rPr>
                <w:rFonts w:ascii="Arial" w:hAnsi="Arial" w:cs="Arial"/>
                <w:sz w:val="20"/>
                <w:szCs w:val="20"/>
              </w:rPr>
            </w:pPr>
          </w:p>
        </w:tc>
      </w:tr>
      <w:tr w:rsidR="00240FAC" w:rsidRPr="00240FAC" w14:paraId="6952446E" w14:textId="47DA6305" w:rsidTr="00240FAC">
        <w:tc>
          <w:tcPr>
            <w:tcW w:w="988" w:type="dxa"/>
          </w:tcPr>
          <w:p w14:paraId="38B7B110"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A2</w:t>
            </w:r>
          </w:p>
        </w:tc>
        <w:tc>
          <w:tcPr>
            <w:tcW w:w="7087" w:type="dxa"/>
          </w:tcPr>
          <w:p w14:paraId="7A1095DD"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Opdrachtgever ontvangt binnen 5 werkdagen (40 werkuren) maximaal 2 cv`s van geschikte kandidaten per leverancier. In geval van spoed (als er geen 5 werkdagen beschikbaar zijn alvorens de vraag moet worden ingevuld) ontvangt aanbestedende dienst binnen 2 werkdagen (16 werkuren) een cv van een geschikte kandidaat. Een cv mag maximaal 3 pagina`s A4 omvatten.</w:t>
            </w:r>
          </w:p>
        </w:tc>
        <w:tc>
          <w:tcPr>
            <w:tcW w:w="1134" w:type="dxa"/>
          </w:tcPr>
          <w:p w14:paraId="20158A97" w14:textId="77777777" w:rsidR="00240FAC" w:rsidRPr="00240FAC" w:rsidRDefault="00240FAC" w:rsidP="00240FAC">
            <w:pPr>
              <w:spacing w:line="288" w:lineRule="auto"/>
              <w:rPr>
                <w:rFonts w:ascii="Arial" w:hAnsi="Arial" w:cs="Arial"/>
                <w:sz w:val="20"/>
                <w:szCs w:val="20"/>
              </w:rPr>
            </w:pPr>
          </w:p>
        </w:tc>
      </w:tr>
      <w:tr w:rsidR="00240FAC" w:rsidRPr="00240FAC" w14:paraId="1E5C3851" w14:textId="7572792D" w:rsidTr="00240FAC">
        <w:tc>
          <w:tcPr>
            <w:tcW w:w="988" w:type="dxa"/>
          </w:tcPr>
          <w:p w14:paraId="141827A0"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A3</w:t>
            </w:r>
          </w:p>
        </w:tc>
        <w:tc>
          <w:tcPr>
            <w:tcW w:w="7087" w:type="dxa"/>
          </w:tcPr>
          <w:p w14:paraId="7DB4DBAB"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Opdrachtnemer zorgt dat alle administratieve processen en de volledige documentatie in orde zijn, waaronder relevante diploma’s, CV, Verklaring Omtrent het Gedrag (VOG), werkvergunning, kopie identiteitsbewijs en alle documenten en toetsen die nodig zijn in het kader van naleving van relevante wet en regelgeving (zoals de huidige DBA). Opdrachtnemer zal geen kandidaat aanbieden waarvan de documentatie niet op orde is, en niet is getoond aan de Opdrachtnemer. Opdrachtnemer zal het identiteitsbewijs beoordelen op echtheid.</w:t>
            </w:r>
          </w:p>
        </w:tc>
        <w:tc>
          <w:tcPr>
            <w:tcW w:w="1134" w:type="dxa"/>
          </w:tcPr>
          <w:p w14:paraId="439FA7A3" w14:textId="77777777" w:rsidR="00240FAC" w:rsidRPr="00240FAC" w:rsidRDefault="00240FAC" w:rsidP="00240FAC">
            <w:pPr>
              <w:spacing w:line="288" w:lineRule="auto"/>
              <w:rPr>
                <w:rFonts w:ascii="Arial" w:hAnsi="Arial" w:cs="Arial"/>
                <w:sz w:val="20"/>
                <w:szCs w:val="20"/>
              </w:rPr>
            </w:pPr>
          </w:p>
        </w:tc>
      </w:tr>
      <w:tr w:rsidR="00240FAC" w:rsidRPr="00240FAC" w14:paraId="7B329AF0" w14:textId="5EEEEE75" w:rsidTr="00240FAC">
        <w:tc>
          <w:tcPr>
            <w:tcW w:w="988" w:type="dxa"/>
          </w:tcPr>
          <w:p w14:paraId="52E94561"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A4</w:t>
            </w:r>
          </w:p>
        </w:tc>
        <w:tc>
          <w:tcPr>
            <w:tcW w:w="7087" w:type="dxa"/>
          </w:tcPr>
          <w:p w14:paraId="5A177ECA"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Opdrachtnemer stelt alleen kandidaten voor die beschikken over een VOG met</w:t>
            </w:r>
          </w:p>
          <w:p w14:paraId="52680271"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Screeningsprofiel Onderwijs. Bij een eerste inzet voldoet een VOG die ziet op de inzet bij een andere onderwijsorganisatie, in afwachting van de VOG die specifiek voor het ROCvA wordt aangevraagd. Deze VOG mag maximaal zes maanden oud zijn. De kosten hiervan zijn voor Opdrachtnemer, dan wel de in te zetten zzp’er.</w:t>
            </w:r>
          </w:p>
        </w:tc>
        <w:tc>
          <w:tcPr>
            <w:tcW w:w="1134" w:type="dxa"/>
          </w:tcPr>
          <w:p w14:paraId="0F3EDAF8" w14:textId="77777777" w:rsidR="00240FAC" w:rsidRPr="00240FAC" w:rsidRDefault="00240FAC" w:rsidP="00240FAC">
            <w:pPr>
              <w:spacing w:line="288" w:lineRule="auto"/>
              <w:rPr>
                <w:rFonts w:ascii="Arial" w:hAnsi="Arial" w:cs="Arial"/>
                <w:sz w:val="20"/>
                <w:szCs w:val="20"/>
              </w:rPr>
            </w:pPr>
          </w:p>
        </w:tc>
      </w:tr>
      <w:tr w:rsidR="00240FAC" w:rsidRPr="00240FAC" w14:paraId="690B5B03" w14:textId="7963151C" w:rsidTr="00240FAC">
        <w:tc>
          <w:tcPr>
            <w:tcW w:w="988" w:type="dxa"/>
          </w:tcPr>
          <w:p w14:paraId="5F6EECFC"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A5</w:t>
            </w:r>
          </w:p>
        </w:tc>
        <w:tc>
          <w:tcPr>
            <w:tcW w:w="7087" w:type="dxa"/>
          </w:tcPr>
          <w:p w14:paraId="3D866CDE"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Opdrachtnemer houdt de aan het ROCvA voorgestelde kandidaat gedurende 24 werkuren beschikbaar voor inzet bij het ROCvA. Op initiatief van het ROCvA wordt een gesprek gepland tussen kandidaat en aanvrager.</w:t>
            </w:r>
          </w:p>
        </w:tc>
        <w:tc>
          <w:tcPr>
            <w:tcW w:w="1134" w:type="dxa"/>
          </w:tcPr>
          <w:p w14:paraId="692DDC23" w14:textId="77777777" w:rsidR="00240FAC" w:rsidRPr="00240FAC" w:rsidRDefault="00240FAC" w:rsidP="00240FAC">
            <w:pPr>
              <w:spacing w:line="288" w:lineRule="auto"/>
              <w:rPr>
                <w:rFonts w:ascii="Arial" w:hAnsi="Arial" w:cs="Arial"/>
                <w:sz w:val="20"/>
                <w:szCs w:val="20"/>
              </w:rPr>
            </w:pPr>
          </w:p>
        </w:tc>
      </w:tr>
      <w:tr w:rsidR="00240FAC" w:rsidRPr="00240FAC" w14:paraId="4A34D976" w14:textId="1F632C6B" w:rsidTr="00240FAC">
        <w:tc>
          <w:tcPr>
            <w:tcW w:w="988" w:type="dxa"/>
          </w:tcPr>
          <w:p w14:paraId="73AF5E2D"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A6</w:t>
            </w:r>
          </w:p>
        </w:tc>
        <w:tc>
          <w:tcPr>
            <w:tcW w:w="7087" w:type="dxa"/>
          </w:tcPr>
          <w:p w14:paraId="29BCC741"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Opdrachtnemer stelt alleen kandidaten voor die voldoen aan het uitgevraagde profiel, incl. functie eisen. In het geval van docenten geldt dat alle aangeboden docenten dienen te beschikken over een onderwijsbevoegdheid. In de functie eisen wordt tevens aangegeven op welk niveau (entree, niveau 2, 3 of 4) een docent zal worden ingezet. Alle aangeboden docenten dienen aantoonbaar te beschikken over de gevraagde vaardigheden en ervaring bij inzet op het opgegeven niveau.</w:t>
            </w:r>
          </w:p>
        </w:tc>
        <w:tc>
          <w:tcPr>
            <w:tcW w:w="1134" w:type="dxa"/>
          </w:tcPr>
          <w:p w14:paraId="3AABC875" w14:textId="77777777" w:rsidR="00240FAC" w:rsidRPr="00240FAC" w:rsidRDefault="00240FAC" w:rsidP="00240FAC">
            <w:pPr>
              <w:spacing w:line="288" w:lineRule="auto"/>
              <w:rPr>
                <w:rFonts w:ascii="Arial" w:hAnsi="Arial" w:cs="Arial"/>
                <w:sz w:val="20"/>
                <w:szCs w:val="20"/>
              </w:rPr>
            </w:pPr>
          </w:p>
        </w:tc>
      </w:tr>
      <w:tr w:rsidR="00240FAC" w:rsidRPr="00240FAC" w14:paraId="23F6AF89" w14:textId="6B360432" w:rsidTr="00240FAC">
        <w:tc>
          <w:tcPr>
            <w:tcW w:w="988" w:type="dxa"/>
          </w:tcPr>
          <w:p w14:paraId="68875D54"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lastRenderedPageBreak/>
              <w:t>Eis A7</w:t>
            </w:r>
          </w:p>
        </w:tc>
        <w:tc>
          <w:tcPr>
            <w:tcW w:w="7087" w:type="dxa"/>
          </w:tcPr>
          <w:p w14:paraId="2C145B13"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Kandidaten worden alleen ingezet na expliciete bevestiging door de aanvrager. De naar het oordeel van het ROCvA, beste aangeboden kandidaat zal worden ingezet. Eventuele andere aangeboden kandidaten worden daarbij gemotiveerd afgewezen.</w:t>
            </w:r>
          </w:p>
        </w:tc>
        <w:tc>
          <w:tcPr>
            <w:tcW w:w="1134" w:type="dxa"/>
          </w:tcPr>
          <w:p w14:paraId="124BEE40" w14:textId="77777777" w:rsidR="00240FAC" w:rsidRPr="00240FAC" w:rsidRDefault="00240FAC" w:rsidP="00240FAC">
            <w:pPr>
              <w:spacing w:line="288" w:lineRule="auto"/>
              <w:rPr>
                <w:rFonts w:ascii="Arial" w:hAnsi="Arial" w:cs="Arial"/>
                <w:sz w:val="20"/>
                <w:szCs w:val="20"/>
              </w:rPr>
            </w:pPr>
          </w:p>
        </w:tc>
      </w:tr>
      <w:tr w:rsidR="00240FAC" w:rsidRPr="00240FAC" w14:paraId="60CF7E26" w14:textId="05FFB8F0" w:rsidTr="00240FAC">
        <w:tc>
          <w:tcPr>
            <w:tcW w:w="988" w:type="dxa"/>
          </w:tcPr>
          <w:p w14:paraId="49B8E71F"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A8</w:t>
            </w:r>
          </w:p>
        </w:tc>
        <w:tc>
          <w:tcPr>
            <w:tcW w:w="7087" w:type="dxa"/>
          </w:tcPr>
          <w:p w14:paraId="55876D9F"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Na akkoord van Aanvrager wordt de inzet van kandidaat door Opdrachtnemer schriftelijk</w:t>
            </w:r>
          </w:p>
          <w:p w14:paraId="4785530A"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bevestigd, middels een orderbevestiging, waarbij vervolgens hetgeen overeengekomen is wordt vastgelegd in een Nadere Overeenkomst. In de Nadere Overeenkomst staan ten minste de start van de werkzaamheden, de inhoud van de werkzaamheden, het brutoloon en eventuele overige vergoedingen.</w:t>
            </w:r>
          </w:p>
        </w:tc>
        <w:tc>
          <w:tcPr>
            <w:tcW w:w="1134" w:type="dxa"/>
          </w:tcPr>
          <w:p w14:paraId="3E667EB1" w14:textId="77777777" w:rsidR="00240FAC" w:rsidRPr="00240FAC" w:rsidRDefault="00240FAC" w:rsidP="00240FAC">
            <w:pPr>
              <w:spacing w:line="288" w:lineRule="auto"/>
              <w:rPr>
                <w:rFonts w:ascii="Arial" w:hAnsi="Arial" w:cs="Arial"/>
                <w:sz w:val="20"/>
                <w:szCs w:val="20"/>
              </w:rPr>
            </w:pPr>
          </w:p>
        </w:tc>
      </w:tr>
      <w:tr w:rsidR="00240FAC" w:rsidRPr="00240FAC" w14:paraId="00168FAF" w14:textId="7D172C48" w:rsidTr="00240FAC">
        <w:tc>
          <w:tcPr>
            <w:tcW w:w="988" w:type="dxa"/>
          </w:tcPr>
          <w:p w14:paraId="132757A4"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A9</w:t>
            </w:r>
          </w:p>
        </w:tc>
        <w:tc>
          <w:tcPr>
            <w:tcW w:w="7087" w:type="dxa"/>
          </w:tcPr>
          <w:p w14:paraId="6759EE44"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Wanneer de aanbiedingen van de Opdrachtnemer niet voldoen aan de gestelde eisen of wanneer de aanbiedingen anderszins tekort schieten (bijvoorbeeld door een gebrek aan expertise), zal de Opdrachtgever andere partijen benaderen voor het uitbrengen van een offerte.</w:t>
            </w:r>
          </w:p>
        </w:tc>
        <w:tc>
          <w:tcPr>
            <w:tcW w:w="1134" w:type="dxa"/>
          </w:tcPr>
          <w:p w14:paraId="7D0ABA24" w14:textId="77777777" w:rsidR="00240FAC" w:rsidRPr="00240FAC" w:rsidRDefault="00240FAC" w:rsidP="00240FAC">
            <w:pPr>
              <w:spacing w:line="288" w:lineRule="auto"/>
              <w:rPr>
                <w:rFonts w:ascii="Arial" w:hAnsi="Arial" w:cs="Arial"/>
                <w:sz w:val="20"/>
                <w:szCs w:val="20"/>
              </w:rPr>
            </w:pPr>
          </w:p>
        </w:tc>
      </w:tr>
      <w:tr w:rsidR="00240FAC" w:rsidRPr="00240FAC" w14:paraId="7BD2ACFB" w14:textId="1F93FE2D" w:rsidTr="00240FAC">
        <w:tc>
          <w:tcPr>
            <w:tcW w:w="988" w:type="dxa"/>
            <w:shd w:val="clear" w:color="auto" w:fill="403152" w:themeFill="accent4" w:themeFillShade="80"/>
          </w:tcPr>
          <w:p w14:paraId="7C92CC0A" w14:textId="77777777" w:rsidR="00240FAC" w:rsidRPr="00240FAC" w:rsidRDefault="00240FAC" w:rsidP="00240FAC">
            <w:pPr>
              <w:spacing w:line="288" w:lineRule="auto"/>
              <w:rPr>
                <w:rFonts w:ascii="Arial" w:hAnsi="Arial" w:cs="Arial"/>
                <w:color w:val="FFFFFF" w:themeColor="background1"/>
                <w:sz w:val="20"/>
                <w:szCs w:val="20"/>
              </w:rPr>
            </w:pPr>
          </w:p>
        </w:tc>
        <w:tc>
          <w:tcPr>
            <w:tcW w:w="7087" w:type="dxa"/>
            <w:shd w:val="clear" w:color="auto" w:fill="403152" w:themeFill="accent4" w:themeFillShade="80"/>
          </w:tcPr>
          <w:p w14:paraId="26AAA6EE" w14:textId="77777777"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 xml:space="preserve">Eisen ten aanzien van beëindiging van de inzet van kandidaten </w:t>
            </w:r>
          </w:p>
        </w:tc>
        <w:tc>
          <w:tcPr>
            <w:tcW w:w="1134" w:type="dxa"/>
            <w:shd w:val="clear" w:color="auto" w:fill="403152" w:themeFill="accent4" w:themeFillShade="80"/>
          </w:tcPr>
          <w:p w14:paraId="0B8ACB02" w14:textId="18254A49"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Akkoord (ja/nee)</w:t>
            </w:r>
          </w:p>
        </w:tc>
      </w:tr>
      <w:tr w:rsidR="00240FAC" w:rsidRPr="00240FAC" w14:paraId="7C9A7A1F" w14:textId="669ACA37" w:rsidTr="00240FAC">
        <w:tc>
          <w:tcPr>
            <w:tcW w:w="988" w:type="dxa"/>
          </w:tcPr>
          <w:p w14:paraId="5C43260C"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B1</w:t>
            </w:r>
          </w:p>
        </w:tc>
        <w:tc>
          <w:tcPr>
            <w:tcW w:w="7087" w:type="dxa"/>
          </w:tcPr>
          <w:p w14:paraId="171786C9"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Het ROCvA houdt zich het recht voor de overeenkomst met de zzp’er zonder opgaaf van reden te kunnen beëindigen met inachtneming van een opzegtermijn van een maand.  </w:t>
            </w:r>
          </w:p>
        </w:tc>
        <w:tc>
          <w:tcPr>
            <w:tcW w:w="1134" w:type="dxa"/>
          </w:tcPr>
          <w:p w14:paraId="5B4C8C8D" w14:textId="77777777" w:rsidR="00240FAC" w:rsidRPr="00240FAC" w:rsidRDefault="00240FAC" w:rsidP="00240FAC">
            <w:pPr>
              <w:spacing w:line="288" w:lineRule="auto"/>
              <w:rPr>
                <w:rFonts w:ascii="Arial" w:hAnsi="Arial" w:cs="Arial"/>
                <w:sz w:val="20"/>
                <w:szCs w:val="20"/>
              </w:rPr>
            </w:pPr>
          </w:p>
        </w:tc>
      </w:tr>
      <w:tr w:rsidR="00240FAC" w:rsidRPr="00240FAC" w14:paraId="766936E8" w14:textId="22B8DEA2" w:rsidTr="00240FAC">
        <w:tc>
          <w:tcPr>
            <w:tcW w:w="988" w:type="dxa"/>
          </w:tcPr>
          <w:p w14:paraId="4D4C04CD"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B2</w:t>
            </w:r>
          </w:p>
        </w:tc>
        <w:tc>
          <w:tcPr>
            <w:tcW w:w="7087" w:type="dxa"/>
          </w:tcPr>
          <w:p w14:paraId="78610AF4"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Indien een ingezette zzp-er zich schuldig maakt aan plichtsverzuim is kan dat </w:t>
            </w:r>
          </w:p>
          <w:p w14:paraId="3DEE34B7"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reden voor onmiddellijke beëindiging van de inzet.</w:t>
            </w:r>
          </w:p>
        </w:tc>
        <w:tc>
          <w:tcPr>
            <w:tcW w:w="1134" w:type="dxa"/>
          </w:tcPr>
          <w:p w14:paraId="2941A56D" w14:textId="77777777" w:rsidR="00240FAC" w:rsidRPr="00240FAC" w:rsidRDefault="00240FAC" w:rsidP="00240FAC">
            <w:pPr>
              <w:spacing w:line="288" w:lineRule="auto"/>
              <w:rPr>
                <w:rFonts w:ascii="Arial" w:hAnsi="Arial" w:cs="Arial"/>
                <w:sz w:val="20"/>
                <w:szCs w:val="20"/>
              </w:rPr>
            </w:pPr>
          </w:p>
        </w:tc>
      </w:tr>
      <w:tr w:rsidR="00240FAC" w:rsidRPr="00240FAC" w14:paraId="32FB8102" w14:textId="5673FF64" w:rsidTr="00240FAC">
        <w:tc>
          <w:tcPr>
            <w:tcW w:w="988" w:type="dxa"/>
            <w:shd w:val="clear" w:color="auto" w:fill="403152" w:themeFill="accent4" w:themeFillShade="80"/>
          </w:tcPr>
          <w:p w14:paraId="3D6C47BC" w14:textId="77777777" w:rsidR="00240FAC" w:rsidRPr="00240FAC" w:rsidRDefault="00240FAC" w:rsidP="00240FAC">
            <w:pPr>
              <w:spacing w:line="288" w:lineRule="auto"/>
              <w:rPr>
                <w:rFonts w:ascii="Arial" w:hAnsi="Arial" w:cs="Arial"/>
                <w:color w:val="FFFFFF" w:themeColor="background1"/>
                <w:sz w:val="20"/>
                <w:szCs w:val="20"/>
              </w:rPr>
            </w:pPr>
          </w:p>
        </w:tc>
        <w:tc>
          <w:tcPr>
            <w:tcW w:w="7087" w:type="dxa"/>
            <w:shd w:val="clear" w:color="auto" w:fill="403152" w:themeFill="accent4" w:themeFillShade="80"/>
          </w:tcPr>
          <w:p w14:paraId="7E08CF09" w14:textId="77777777"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 xml:space="preserve">Eisen ten aanzien van overnameregeling </w:t>
            </w:r>
          </w:p>
        </w:tc>
        <w:tc>
          <w:tcPr>
            <w:tcW w:w="1134" w:type="dxa"/>
            <w:shd w:val="clear" w:color="auto" w:fill="403152" w:themeFill="accent4" w:themeFillShade="80"/>
          </w:tcPr>
          <w:p w14:paraId="3B199365" w14:textId="15AC0BFB"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Akkoord (ja/nee)</w:t>
            </w:r>
          </w:p>
        </w:tc>
      </w:tr>
      <w:tr w:rsidR="00240FAC" w:rsidRPr="00240FAC" w14:paraId="328166DF" w14:textId="5F384B07" w:rsidTr="00240FAC">
        <w:tc>
          <w:tcPr>
            <w:tcW w:w="988" w:type="dxa"/>
          </w:tcPr>
          <w:p w14:paraId="75910390"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O1</w:t>
            </w:r>
          </w:p>
        </w:tc>
        <w:tc>
          <w:tcPr>
            <w:tcW w:w="7087" w:type="dxa"/>
          </w:tcPr>
          <w:p w14:paraId="5742A359"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Het ROCvA kan ingezette kandidaat na een inzet van ten minste zes maanden naar aanleiding van één aanvraag of in een aaneengesloten periode op basis van meer dan één aanvraag, zonder kosten voor ROCvA, een rechtstreekse arbeidsovereenkomst aanbieden.</w:t>
            </w:r>
          </w:p>
        </w:tc>
        <w:tc>
          <w:tcPr>
            <w:tcW w:w="1134" w:type="dxa"/>
          </w:tcPr>
          <w:p w14:paraId="0DA3345F" w14:textId="77777777" w:rsidR="00240FAC" w:rsidRPr="00240FAC" w:rsidRDefault="00240FAC" w:rsidP="00240FAC">
            <w:pPr>
              <w:spacing w:line="288" w:lineRule="auto"/>
              <w:rPr>
                <w:rFonts w:ascii="Arial" w:hAnsi="Arial" w:cs="Arial"/>
                <w:sz w:val="20"/>
                <w:szCs w:val="20"/>
              </w:rPr>
            </w:pPr>
          </w:p>
        </w:tc>
      </w:tr>
      <w:tr w:rsidR="00240FAC" w:rsidRPr="00240FAC" w14:paraId="77615EA5" w14:textId="491CD868" w:rsidTr="00240FAC">
        <w:tc>
          <w:tcPr>
            <w:tcW w:w="988" w:type="dxa"/>
          </w:tcPr>
          <w:p w14:paraId="2954552D"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O2</w:t>
            </w:r>
          </w:p>
        </w:tc>
        <w:tc>
          <w:tcPr>
            <w:tcW w:w="7087" w:type="dxa"/>
          </w:tcPr>
          <w:p w14:paraId="235462DC"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Indien het ROCvA na inzet van minder dan zes maanden uren een kandidaat wil overnemen dan  geldt een afkoopsom.</w:t>
            </w:r>
          </w:p>
        </w:tc>
        <w:tc>
          <w:tcPr>
            <w:tcW w:w="1134" w:type="dxa"/>
          </w:tcPr>
          <w:p w14:paraId="72A6FAF3" w14:textId="77777777" w:rsidR="00240FAC" w:rsidRPr="00240FAC" w:rsidRDefault="00240FAC" w:rsidP="00240FAC">
            <w:pPr>
              <w:spacing w:line="288" w:lineRule="auto"/>
              <w:rPr>
                <w:rFonts w:ascii="Arial" w:hAnsi="Arial" w:cs="Arial"/>
                <w:sz w:val="20"/>
                <w:szCs w:val="20"/>
              </w:rPr>
            </w:pPr>
          </w:p>
        </w:tc>
      </w:tr>
      <w:tr w:rsidR="00240FAC" w:rsidRPr="00240FAC" w14:paraId="7BD5BADE" w14:textId="0AF62F12" w:rsidTr="00240FAC">
        <w:tc>
          <w:tcPr>
            <w:tcW w:w="988" w:type="dxa"/>
            <w:shd w:val="clear" w:color="auto" w:fill="403152" w:themeFill="accent4" w:themeFillShade="80"/>
          </w:tcPr>
          <w:p w14:paraId="6D78E024" w14:textId="77777777" w:rsidR="00240FAC" w:rsidRPr="00240FAC" w:rsidRDefault="00240FAC" w:rsidP="00240FAC">
            <w:pPr>
              <w:spacing w:line="288" w:lineRule="auto"/>
              <w:rPr>
                <w:rFonts w:ascii="Arial" w:hAnsi="Arial" w:cs="Arial"/>
                <w:color w:val="FFFFFF" w:themeColor="background1"/>
                <w:sz w:val="20"/>
                <w:szCs w:val="20"/>
              </w:rPr>
            </w:pPr>
            <w:bookmarkStart w:id="0" w:name="_Hlk37603687"/>
          </w:p>
        </w:tc>
        <w:tc>
          <w:tcPr>
            <w:tcW w:w="7087" w:type="dxa"/>
            <w:shd w:val="clear" w:color="auto" w:fill="403152" w:themeFill="accent4" w:themeFillShade="80"/>
          </w:tcPr>
          <w:p w14:paraId="513BBD30" w14:textId="77777777"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Eisen ten aanzien van overlegstructuur</w:t>
            </w:r>
          </w:p>
        </w:tc>
        <w:tc>
          <w:tcPr>
            <w:tcW w:w="1134" w:type="dxa"/>
            <w:shd w:val="clear" w:color="auto" w:fill="403152" w:themeFill="accent4" w:themeFillShade="80"/>
          </w:tcPr>
          <w:p w14:paraId="21788382" w14:textId="0FAFD07B"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Akkoord (ja/nee)</w:t>
            </w:r>
          </w:p>
        </w:tc>
      </w:tr>
      <w:tr w:rsidR="00240FAC" w:rsidRPr="00240FAC" w14:paraId="42F78A92" w14:textId="2759CE05" w:rsidTr="00240FAC">
        <w:tc>
          <w:tcPr>
            <w:tcW w:w="988" w:type="dxa"/>
          </w:tcPr>
          <w:p w14:paraId="516ECE15"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E1</w:t>
            </w:r>
          </w:p>
        </w:tc>
        <w:tc>
          <w:tcPr>
            <w:tcW w:w="7087" w:type="dxa"/>
          </w:tcPr>
          <w:p w14:paraId="22E4EA26"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Opdrachtnemer zorgt voor één vaste contactpersoon met een vaste vervanger. </w:t>
            </w:r>
          </w:p>
        </w:tc>
        <w:tc>
          <w:tcPr>
            <w:tcW w:w="1134" w:type="dxa"/>
          </w:tcPr>
          <w:p w14:paraId="3B416DB5" w14:textId="77777777" w:rsidR="00240FAC" w:rsidRPr="00240FAC" w:rsidRDefault="00240FAC" w:rsidP="00240FAC">
            <w:pPr>
              <w:spacing w:line="288" w:lineRule="auto"/>
              <w:rPr>
                <w:rFonts w:ascii="Arial" w:hAnsi="Arial" w:cs="Arial"/>
                <w:sz w:val="20"/>
                <w:szCs w:val="20"/>
              </w:rPr>
            </w:pPr>
          </w:p>
        </w:tc>
      </w:tr>
      <w:tr w:rsidR="00240FAC" w:rsidRPr="00240FAC" w14:paraId="55C9D75A" w14:textId="581A9510" w:rsidTr="00240FAC">
        <w:tc>
          <w:tcPr>
            <w:tcW w:w="988" w:type="dxa"/>
          </w:tcPr>
          <w:p w14:paraId="2D8BE9EB"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E2</w:t>
            </w:r>
          </w:p>
        </w:tc>
        <w:tc>
          <w:tcPr>
            <w:tcW w:w="7087" w:type="dxa"/>
          </w:tcPr>
          <w:p w14:paraId="6B999EE8"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Per kwartaal vindt er op Tactisch niveau een evaluatiegesprek plaats tussen de</w:t>
            </w:r>
          </w:p>
          <w:p w14:paraId="7F720F81"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verantwoordelijke(n) van het ROCvA en Opdrachtnemer. Opdrachtnemer stelt hiervan een gespreksverslag op en verzendt dit binnen tien (10) werkdagen na het evaluatiegesprek aan de contactpersonen van het ROCvA.</w:t>
            </w:r>
          </w:p>
        </w:tc>
        <w:tc>
          <w:tcPr>
            <w:tcW w:w="1134" w:type="dxa"/>
          </w:tcPr>
          <w:p w14:paraId="0ED57EA0" w14:textId="77777777" w:rsidR="00240FAC" w:rsidRPr="00240FAC" w:rsidRDefault="00240FAC" w:rsidP="00240FAC">
            <w:pPr>
              <w:spacing w:line="288" w:lineRule="auto"/>
              <w:rPr>
                <w:rFonts w:ascii="Arial" w:hAnsi="Arial" w:cs="Arial"/>
                <w:sz w:val="20"/>
                <w:szCs w:val="20"/>
              </w:rPr>
            </w:pPr>
          </w:p>
        </w:tc>
      </w:tr>
      <w:bookmarkEnd w:id="0"/>
      <w:tr w:rsidR="00240FAC" w:rsidRPr="00240FAC" w14:paraId="6884BF2F" w14:textId="2F67849C" w:rsidTr="00240FAC">
        <w:tc>
          <w:tcPr>
            <w:tcW w:w="988" w:type="dxa"/>
            <w:shd w:val="clear" w:color="auto" w:fill="403152" w:themeFill="accent4" w:themeFillShade="80"/>
          </w:tcPr>
          <w:p w14:paraId="3B576B8A" w14:textId="77777777" w:rsidR="00240FAC" w:rsidRPr="00240FAC" w:rsidRDefault="00240FAC" w:rsidP="00240FAC">
            <w:pPr>
              <w:spacing w:line="288" w:lineRule="auto"/>
              <w:rPr>
                <w:rFonts w:ascii="Arial" w:hAnsi="Arial" w:cs="Arial"/>
                <w:color w:val="FFFFFF" w:themeColor="background1"/>
                <w:sz w:val="20"/>
                <w:szCs w:val="20"/>
              </w:rPr>
            </w:pPr>
          </w:p>
        </w:tc>
        <w:tc>
          <w:tcPr>
            <w:tcW w:w="7087" w:type="dxa"/>
            <w:shd w:val="clear" w:color="auto" w:fill="403152" w:themeFill="accent4" w:themeFillShade="80"/>
          </w:tcPr>
          <w:p w14:paraId="23C570CA" w14:textId="77777777"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Eisen ten aanzien Wetgeving</w:t>
            </w:r>
          </w:p>
        </w:tc>
        <w:tc>
          <w:tcPr>
            <w:tcW w:w="1134" w:type="dxa"/>
            <w:shd w:val="clear" w:color="auto" w:fill="403152" w:themeFill="accent4" w:themeFillShade="80"/>
          </w:tcPr>
          <w:p w14:paraId="31572F43" w14:textId="1260B34F"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Akkoord (ja/nee)</w:t>
            </w:r>
          </w:p>
        </w:tc>
      </w:tr>
      <w:tr w:rsidR="00240FAC" w:rsidRPr="00240FAC" w14:paraId="56FAC78A" w14:textId="78BCE7F7" w:rsidTr="00240FAC">
        <w:tc>
          <w:tcPr>
            <w:tcW w:w="988" w:type="dxa"/>
          </w:tcPr>
          <w:p w14:paraId="47A76B0E"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Eis W1 </w:t>
            </w:r>
          </w:p>
        </w:tc>
        <w:tc>
          <w:tcPr>
            <w:tcW w:w="7087" w:type="dxa"/>
          </w:tcPr>
          <w:p w14:paraId="7CC2D106"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Opdrachtnemer is verantwoordelijk voor het voldoen aan alle wet- en regelgeving die</w:t>
            </w:r>
          </w:p>
          <w:p w14:paraId="58D9C452"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lastRenderedPageBreak/>
              <w:t>samenhangt met de uitvoering van de overeenkomst en logischerwijs of naar oordeel van</w:t>
            </w:r>
          </w:p>
          <w:p w14:paraId="354D626B"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het ROCvA de verantwoordelijkheid vormt voor Opdrachtnemer. Opdrachtnemer</w:t>
            </w:r>
          </w:p>
          <w:p w14:paraId="74C57A89"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vrijwaart het ROCvA van alle aanspraken op schade door het niet voldoen aan wet- en regelgeving die de verantwoordelijkheid vormt voor Opdrachtnemer.</w:t>
            </w:r>
          </w:p>
        </w:tc>
        <w:tc>
          <w:tcPr>
            <w:tcW w:w="1134" w:type="dxa"/>
          </w:tcPr>
          <w:p w14:paraId="021BEBA4" w14:textId="77777777" w:rsidR="00240FAC" w:rsidRPr="00240FAC" w:rsidRDefault="00240FAC" w:rsidP="00240FAC">
            <w:pPr>
              <w:spacing w:line="288" w:lineRule="auto"/>
              <w:rPr>
                <w:rFonts w:ascii="Arial" w:hAnsi="Arial" w:cs="Arial"/>
                <w:sz w:val="20"/>
                <w:szCs w:val="20"/>
              </w:rPr>
            </w:pPr>
          </w:p>
        </w:tc>
      </w:tr>
      <w:tr w:rsidR="00240FAC" w:rsidRPr="00240FAC" w14:paraId="1A8A5D7A" w14:textId="042B9E44" w:rsidTr="00240FAC">
        <w:tc>
          <w:tcPr>
            <w:tcW w:w="988" w:type="dxa"/>
          </w:tcPr>
          <w:p w14:paraId="6DC5D704"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W2</w:t>
            </w:r>
          </w:p>
        </w:tc>
        <w:tc>
          <w:tcPr>
            <w:tcW w:w="7087" w:type="dxa"/>
          </w:tcPr>
          <w:p w14:paraId="59D6A525"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In het kader van de Algemene Verordening Gegevensbescherming (AVG) geldt minimaal het volgende. Als onderdeel van de opdracht tekent Opdrachtnemer een Verwerkersovereenkomst. In de Verwerkersovereenkomst wordt nader omschreven welke diensten geleverd worden en welke persoonsgegevens hierbij verwerkt worden. Hierbij moet ook duidelijk worden aangegeven in welke gevallen Opdrachtnemer verwerkingsverantwoordelijke is.</w:t>
            </w:r>
          </w:p>
        </w:tc>
        <w:tc>
          <w:tcPr>
            <w:tcW w:w="1134" w:type="dxa"/>
          </w:tcPr>
          <w:p w14:paraId="18634636" w14:textId="77777777" w:rsidR="00240FAC" w:rsidRPr="00240FAC" w:rsidRDefault="00240FAC" w:rsidP="00240FAC">
            <w:pPr>
              <w:spacing w:line="288" w:lineRule="auto"/>
              <w:rPr>
                <w:rFonts w:ascii="Arial" w:hAnsi="Arial" w:cs="Arial"/>
                <w:sz w:val="20"/>
                <w:szCs w:val="20"/>
              </w:rPr>
            </w:pPr>
          </w:p>
        </w:tc>
      </w:tr>
      <w:tr w:rsidR="00240FAC" w:rsidRPr="00240FAC" w14:paraId="283F3E79" w14:textId="3389563B" w:rsidTr="00240FAC">
        <w:tc>
          <w:tcPr>
            <w:tcW w:w="988" w:type="dxa"/>
          </w:tcPr>
          <w:p w14:paraId="4930CD6A"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W3</w:t>
            </w:r>
          </w:p>
        </w:tc>
        <w:tc>
          <w:tcPr>
            <w:tcW w:w="7087" w:type="dxa"/>
          </w:tcPr>
          <w:p w14:paraId="704528E8"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Opdrachtnemer informeert en adviseert op proactieve wijze over eventuele veranderingen in wet- en regelgeving binnen haar vakgebied welke het ROCvA kunnen beïnvloeden.</w:t>
            </w:r>
          </w:p>
        </w:tc>
        <w:tc>
          <w:tcPr>
            <w:tcW w:w="1134" w:type="dxa"/>
          </w:tcPr>
          <w:p w14:paraId="36BDF11C" w14:textId="77777777" w:rsidR="00240FAC" w:rsidRPr="00240FAC" w:rsidRDefault="00240FAC" w:rsidP="00240FAC">
            <w:pPr>
              <w:spacing w:line="288" w:lineRule="auto"/>
              <w:rPr>
                <w:rFonts w:ascii="Arial" w:hAnsi="Arial" w:cs="Arial"/>
                <w:sz w:val="20"/>
                <w:szCs w:val="20"/>
              </w:rPr>
            </w:pPr>
          </w:p>
        </w:tc>
      </w:tr>
      <w:tr w:rsidR="00240FAC" w:rsidRPr="00240FAC" w14:paraId="04A0041C" w14:textId="2FD78EEF" w:rsidTr="00240FAC">
        <w:tc>
          <w:tcPr>
            <w:tcW w:w="988" w:type="dxa"/>
            <w:shd w:val="clear" w:color="auto" w:fill="403152" w:themeFill="accent4" w:themeFillShade="80"/>
          </w:tcPr>
          <w:p w14:paraId="1D4C7AE8" w14:textId="77777777" w:rsidR="00240FAC" w:rsidRPr="00240FAC" w:rsidRDefault="00240FAC" w:rsidP="00240FAC">
            <w:pPr>
              <w:spacing w:line="288" w:lineRule="auto"/>
              <w:rPr>
                <w:rFonts w:ascii="Arial" w:hAnsi="Arial" w:cs="Arial"/>
                <w:color w:val="FFFFFF" w:themeColor="background1"/>
                <w:sz w:val="20"/>
                <w:szCs w:val="20"/>
              </w:rPr>
            </w:pPr>
          </w:p>
        </w:tc>
        <w:tc>
          <w:tcPr>
            <w:tcW w:w="7087" w:type="dxa"/>
            <w:shd w:val="clear" w:color="auto" w:fill="403152" w:themeFill="accent4" w:themeFillShade="80"/>
          </w:tcPr>
          <w:p w14:paraId="1A13CCAF" w14:textId="77777777"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Eisen ten aanzien Administratieve afhandeling</w:t>
            </w:r>
          </w:p>
        </w:tc>
        <w:tc>
          <w:tcPr>
            <w:tcW w:w="1134" w:type="dxa"/>
            <w:shd w:val="clear" w:color="auto" w:fill="403152" w:themeFill="accent4" w:themeFillShade="80"/>
          </w:tcPr>
          <w:p w14:paraId="7B933B31" w14:textId="78C275F1"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Akkoord (ja/nee)</w:t>
            </w:r>
          </w:p>
        </w:tc>
      </w:tr>
      <w:tr w:rsidR="00240FAC" w:rsidRPr="00240FAC" w14:paraId="2C69E379" w14:textId="5A52B4DF" w:rsidTr="00240FAC">
        <w:tc>
          <w:tcPr>
            <w:tcW w:w="988" w:type="dxa"/>
          </w:tcPr>
          <w:p w14:paraId="09CA51EF"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Eis F1 </w:t>
            </w:r>
          </w:p>
        </w:tc>
        <w:tc>
          <w:tcPr>
            <w:tcW w:w="7087" w:type="dxa"/>
          </w:tcPr>
          <w:p w14:paraId="31B5F44C"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Opdrachtnemer verzorgt volledige administratieve afhandeling rondom de inzet van flexibele capaciteit, waaronder ten minste het opvragen, aanleveren en controleren van alle benodigde documenten. </w:t>
            </w:r>
          </w:p>
        </w:tc>
        <w:tc>
          <w:tcPr>
            <w:tcW w:w="1134" w:type="dxa"/>
          </w:tcPr>
          <w:p w14:paraId="31F1A268" w14:textId="77777777" w:rsidR="00240FAC" w:rsidRPr="00240FAC" w:rsidRDefault="00240FAC" w:rsidP="00240FAC">
            <w:pPr>
              <w:spacing w:line="288" w:lineRule="auto"/>
              <w:rPr>
                <w:rFonts w:ascii="Arial" w:hAnsi="Arial" w:cs="Arial"/>
                <w:sz w:val="20"/>
                <w:szCs w:val="20"/>
              </w:rPr>
            </w:pPr>
          </w:p>
        </w:tc>
      </w:tr>
      <w:tr w:rsidR="00240FAC" w:rsidRPr="00240FAC" w14:paraId="7B35F051" w14:textId="1DF04FFE" w:rsidTr="00240FAC">
        <w:tc>
          <w:tcPr>
            <w:tcW w:w="988" w:type="dxa"/>
          </w:tcPr>
          <w:p w14:paraId="754866F4"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Eis F4 </w:t>
            </w:r>
          </w:p>
        </w:tc>
        <w:tc>
          <w:tcPr>
            <w:tcW w:w="7087" w:type="dxa"/>
          </w:tcPr>
          <w:p w14:paraId="75A2A236"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Opdrachtnemer factureert achteraf per maand per aanvraag. Facturen worden onderbouwd met een door het ROCvA geaccordeerde urenverantwoording. Per aanvraag wordt een inkoopordernummer gecommuniceerd dat op de factuur vermeld dient te worden.</w:t>
            </w:r>
          </w:p>
        </w:tc>
        <w:tc>
          <w:tcPr>
            <w:tcW w:w="1134" w:type="dxa"/>
          </w:tcPr>
          <w:p w14:paraId="27397F71" w14:textId="77777777" w:rsidR="00240FAC" w:rsidRPr="00240FAC" w:rsidRDefault="00240FAC" w:rsidP="00240FAC">
            <w:pPr>
              <w:spacing w:line="288" w:lineRule="auto"/>
              <w:rPr>
                <w:rFonts w:ascii="Arial" w:hAnsi="Arial" w:cs="Arial"/>
                <w:sz w:val="20"/>
                <w:szCs w:val="20"/>
              </w:rPr>
            </w:pPr>
          </w:p>
        </w:tc>
      </w:tr>
      <w:tr w:rsidR="00240FAC" w:rsidRPr="00240FAC" w14:paraId="37900A69" w14:textId="63DAE66B" w:rsidTr="00240FAC">
        <w:tc>
          <w:tcPr>
            <w:tcW w:w="988" w:type="dxa"/>
            <w:shd w:val="clear" w:color="auto" w:fill="403152" w:themeFill="accent4" w:themeFillShade="80"/>
          </w:tcPr>
          <w:p w14:paraId="5F51599F" w14:textId="77777777" w:rsidR="00240FAC" w:rsidRPr="00240FAC" w:rsidRDefault="00240FAC" w:rsidP="00240FAC">
            <w:pPr>
              <w:spacing w:line="288" w:lineRule="auto"/>
              <w:rPr>
                <w:rFonts w:ascii="Arial" w:hAnsi="Arial" w:cs="Arial"/>
                <w:color w:val="FFFFFF" w:themeColor="background1"/>
                <w:sz w:val="20"/>
                <w:szCs w:val="20"/>
              </w:rPr>
            </w:pPr>
            <w:r w:rsidRPr="00240FAC">
              <w:rPr>
                <w:rFonts w:ascii="Arial" w:hAnsi="Arial" w:cs="Arial"/>
                <w:color w:val="FFFFFF" w:themeColor="background1"/>
                <w:sz w:val="20"/>
                <w:szCs w:val="20"/>
              </w:rPr>
              <w:t xml:space="preserve"> </w:t>
            </w:r>
          </w:p>
        </w:tc>
        <w:tc>
          <w:tcPr>
            <w:tcW w:w="7087" w:type="dxa"/>
            <w:shd w:val="clear" w:color="auto" w:fill="403152" w:themeFill="accent4" w:themeFillShade="80"/>
          </w:tcPr>
          <w:p w14:paraId="4EE80EE3" w14:textId="77777777"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Eisen ten aanzien Rapportages, KPI’s en verbeteracties</w:t>
            </w:r>
          </w:p>
        </w:tc>
        <w:tc>
          <w:tcPr>
            <w:tcW w:w="1134" w:type="dxa"/>
            <w:shd w:val="clear" w:color="auto" w:fill="403152" w:themeFill="accent4" w:themeFillShade="80"/>
          </w:tcPr>
          <w:p w14:paraId="5FC684F0" w14:textId="4880D41E" w:rsidR="00240FAC" w:rsidRPr="00240FAC" w:rsidRDefault="00240FAC" w:rsidP="00240FAC">
            <w:pPr>
              <w:spacing w:line="288" w:lineRule="auto"/>
              <w:rPr>
                <w:rFonts w:ascii="Arial" w:hAnsi="Arial" w:cs="Arial"/>
                <w:b/>
                <w:color w:val="FFFFFF" w:themeColor="background1"/>
                <w:sz w:val="20"/>
                <w:szCs w:val="20"/>
              </w:rPr>
            </w:pPr>
            <w:r w:rsidRPr="00240FAC">
              <w:rPr>
                <w:rFonts w:ascii="Arial" w:hAnsi="Arial" w:cs="Arial"/>
                <w:b/>
                <w:color w:val="FFFFFF" w:themeColor="background1"/>
                <w:sz w:val="20"/>
                <w:szCs w:val="20"/>
              </w:rPr>
              <w:t>Akkoord (ja/nee)</w:t>
            </w:r>
          </w:p>
        </w:tc>
      </w:tr>
      <w:tr w:rsidR="00240FAC" w:rsidRPr="00240FAC" w14:paraId="1E473B50" w14:textId="5DE6E4DF" w:rsidTr="00240FAC">
        <w:tc>
          <w:tcPr>
            <w:tcW w:w="988" w:type="dxa"/>
          </w:tcPr>
          <w:p w14:paraId="2BEC1FDC"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R1</w:t>
            </w:r>
          </w:p>
        </w:tc>
        <w:tc>
          <w:tcPr>
            <w:tcW w:w="7087" w:type="dxa"/>
          </w:tcPr>
          <w:p w14:paraId="1C8EF9DD" w14:textId="77777777" w:rsidR="00240FAC" w:rsidRPr="00240FAC" w:rsidRDefault="00240FAC" w:rsidP="00240FAC">
            <w:pPr>
              <w:spacing w:line="288" w:lineRule="auto"/>
              <w:rPr>
                <w:rFonts w:ascii="Arial" w:hAnsi="Arial" w:cs="Arial"/>
                <w:sz w:val="20"/>
                <w:szCs w:val="20"/>
              </w:rPr>
            </w:pPr>
            <w:bookmarkStart w:id="1" w:name="_Hlk48598869"/>
            <w:r w:rsidRPr="00240FAC">
              <w:rPr>
                <w:rFonts w:ascii="Arial" w:hAnsi="Arial" w:cs="Arial"/>
                <w:sz w:val="20"/>
                <w:szCs w:val="20"/>
              </w:rPr>
              <w:t>Per kwartaal achteraf en aan het einde van elk kalenderjaar cumulatief stelt Opdrachtnemer een managementrapportage online beschikbaar welke te exporteren is naar in ieder geval MS Excel op. In die rapportage zijn de volgende gegevens opgenomen:</w:t>
            </w:r>
          </w:p>
          <w:p w14:paraId="34145CF1"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Per aanvraag:</w:t>
            </w:r>
          </w:p>
          <w:p w14:paraId="0C3E523C"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Het college / de kostenplaats</w:t>
            </w:r>
          </w:p>
          <w:p w14:paraId="4DE5829D"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Naam kandidaat</w:t>
            </w:r>
          </w:p>
          <w:p w14:paraId="78D0B16D"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Functie</w:t>
            </w:r>
          </w:p>
          <w:p w14:paraId="79338E1E"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Geplande uren per week</w:t>
            </w:r>
          </w:p>
          <w:p w14:paraId="49E007EA"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Gewerkte uren</w:t>
            </w:r>
          </w:p>
          <w:p w14:paraId="329C6EF4"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Tarief per uur</w:t>
            </w:r>
          </w:p>
          <w:p w14:paraId="36596367"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De totale omzet in het afgelopen kwartaal of jaar</w:t>
            </w:r>
            <w:bookmarkEnd w:id="1"/>
          </w:p>
        </w:tc>
        <w:tc>
          <w:tcPr>
            <w:tcW w:w="1134" w:type="dxa"/>
          </w:tcPr>
          <w:p w14:paraId="7DE7183F" w14:textId="77777777" w:rsidR="00240FAC" w:rsidRPr="00240FAC" w:rsidRDefault="00240FAC" w:rsidP="00240FAC">
            <w:pPr>
              <w:spacing w:line="288" w:lineRule="auto"/>
              <w:rPr>
                <w:rFonts w:ascii="Arial" w:hAnsi="Arial" w:cs="Arial"/>
                <w:sz w:val="20"/>
                <w:szCs w:val="20"/>
              </w:rPr>
            </w:pPr>
          </w:p>
        </w:tc>
      </w:tr>
      <w:tr w:rsidR="00240FAC" w:rsidRPr="00240FAC" w14:paraId="4C7E5F82" w14:textId="259A35E7" w:rsidTr="00240FAC">
        <w:tc>
          <w:tcPr>
            <w:tcW w:w="988" w:type="dxa"/>
          </w:tcPr>
          <w:p w14:paraId="2DBB3E2F"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R2</w:t>
            </w:r>
          </w:p>
        </w:tc>
        <w:tc>
          <w:tcPr>
            <w:tcW w:w="7087" w:type="dxa"/>
          </w:tcPr>
          <w:p w14:paraId="034D6DEA"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Per kwartaal wordt gerapporteerd over de overeengekomen KPI`s, eventuele knelpunten en verbeteracties, en welke aanvragen tijdig, te laat of niet ingevuld zijn. </w:t>
            </w:r>
          </w:p>
        </w:tc>
        <w:tc>
          <w:tcPr>
            <w:tcW w:w="1134" w:type="dxa"/>
          </w:tcPr>
          <w:p w14:paraId="2812B310" w14:textId="77777777" w:rsidR="00240FAC" w:rsidRPr="00240FAC" w:rsidRDefault="00240FAC" w:rsidP="00240FAC">
            <w:pPr>
              <w:spacing w:line="288" w:lineRule="auto"/>
              <w:rPr>
                <w:rFonts w:ascii="Arial" w:hAnsi="Arial" w:cs="Arial"/>
                <w:sz w:val="20"/>
                <w:szCs w:val="20"/>
              </w:rPr>
            </w:pPr>
          </w:p>
        </w:tc>
      </w:tr>
      <w:tr w:rsidR="00240FAC" w:rsidRPr="00240FAC" w14:paraId="4760DCCB" w14:textId="706C45F9" w:rsidTr="00240FAC">
        <w:tc>
          <w:tcPr>
            <w:tcW w:w="988" w:type="dxa"/>
          </w:tcPr>
          <w:p w14:paraId="2722CC3B"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lastRenderedPageBreak/>
              <w:t>Eis R3</w:t>
            </w:r>
          </w:p>
        </w:tc>
        <w:tc>
          <w:tcPr>
            <w:tcW w:w="7087" w:type="dxa"/>
          </w:tcPr>
          <w:p w14:paraId="7D01C148"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Kwartaal en jaarrapportages worden uiterlijk 10 werkdagen na einde kwartaal digitaal beschikbaar gesteld aan de contactpersoon van het ROCvA. </w:t>
            </w:r>
          </w:p>
        </w:tc>
        <w:tc>
          <w:tcPr>
            <w:tcW w:w="1134" w:type="dxa"/>
          </w:tcPr>
          <w:p w14:paraId="04C56782" w14:textId="77777777" w:rsidR="00240FAC" w:rsidRPr="00240FAC" w:rsidRDefault="00240FAC" w:rsidP="00240FAC">
            <w:pPr>
              <w:spacing w:line="288" w:lineRule="auto"/>
              <w:rPr>
                <w:rFonts w:ascii="Arial" w:hAnsi="Arial" w:cs="Arial"/>
                <w:sz w:val="20"/>
                <w:szCs w:val="20"/>
              </w:rPr>
            </w:pPr>
          </w:p>
        </w:tc>
      </w:tr>
      <w:tr w:rsidR="00240FAC" w:rsidRPr="00240FAC" w14:paraId="7C2A4796" w14:textId="2420980E" w:rsidTr="00240FAC">
        <w:tc>
          <w:tcPr>
            <w:tcW w:w="988" w:type="dxa"/>
          </w:tcPr>
          <w:p w14:paraId="6A03387A"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R4</w:t>
            </w:r>
          </w:p>
        </w:tc>
        <w:tc>
          <w:tcPr>
            <w:tcW w:w="7087" w:type="dxa"/>
          </w:tcPr>
          <w:p w14:paraId="189A8D45"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Het dient mogelijk te zijn om in overleg met opdrachtnemer en naar redelijkheid en billijkheid verzoeken tot aanvullingen of aanpassingen in de aan te leveren management rapportages aan te brengen.</w:t>
            </w:r>
          </w:p>
        </w:tc>
        <w:tc>
          <w:tcPr>
            <w:tcW w:w="1134" w:type="dxa"/>
          </w:tcPr>
          <w:p w14:paraId="117622E9" w14:textId="77777777" w:rsidR="00240FAC" w:rsidRPr="00240FAC" w:rsidRDefault="00240FAC" w:rsidP="00240FAC">
            <w:pPr>
              <w:spacing w:line="288" w:lineRule="auto"/>
              <w:rPr>
                <w:rFonts w:ascii="Arial" w:hAnsi="Arial" w:cs="Arial"/>
                <w:sz w:val="20"/>
                <w:szCs w:val="20"/>
              </w:rPr>
            </w:pPr>
          </w:p>
        </w:tc>
      </w:tr>
      <w:tr w:rsidR="00240FAC" w:rsidRPr="00240FAC" w14:paraId="296F1057" w14:textId="7C26059B" w:rsidTr="00240FAC">
        <w:tc>
          <w:tcPr>
            <w:tcW w:w="988" w:type="dxa"/>
          </w:tcPr>
          <w:p w14:paraId="7D09362E"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R5</w:t>
            </w:r>
          </w:p>
        </w:tc>
        <w:tc>
          <w:tcPr>
            <w:tcW w:w="7087" w:type="dxa"/>
          </w:tcPr>
          <w:p w14:paraId="65708A1B"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Eens per kwartaal wordt ook een voortgangsgesprek gepland met de colleges om de inzet, de relevante KPI’s en ontwikkelingen besproken.</w:t>
            </w:r>
          </w:p>
        </w:tc>
        <w:tc>
          <w:tcPr>
            <w:tcW w:w="1134" w:type="dxa"/>
          </w:tcPr>
          <w:p w14:paraId="59B1F7A7" w14:textId="77777777" w:rsidR="00240FAC" w:rsidRPr="00240FAC" w:rsidRDefault="00240FAC" w:rsidP="00240FAC">
            <w:pPr>
              <w:spacing w:line="288" w:lineRule="auto"/>
              <w:rPr>
                <w:rFonts w:ascii="Arial" w:hAnsi="Arial" w:cs="Arial"/>
                <w:sz w:val="20"/>
                <w:szCs w:val="20"/>
              </w:rPr>
            </w:pPr>
          </w:p>
        </w:tc>
      </w:tr>
      <w:tr w:rsidR="00240FAC" w:rsidRPr="00240FAC" w14:paraId="77B8695C" w14:textId="1B76B4AF" w:rsidTr="00240FAC">
        <w:tc>
          <w:tcPr>
            <w:tcW w:w="988" w:type="dxa"/>
            <w:shd w:val="clear" w:color="auto" w:fill="403152" w:themeFill="accent4" w:themeFillShade="80"/>
          </w:tcPr>
          <w:p w14:paraId="24D2ADFA" w14:textId="77777777" w:rsidR="00240FAC" w:rsidRPr="00240FAC" w:rsidRDefault="00240FAC" w:rsidP="00240FAC">
            <w:pPr>
              <w:spacing w:line="288" w:lineRule="auto"/>
              <w:rPr>
                <w:rFonts w:ascii="Arial" w:hAnsi="Arial" w:cs="Arial"/>
                <w:color w:val="FFFFFF" w:themeColor="background1"/>
                <w:sz w:val="20"/>
                <w:szCs w:val="20"/>
              </w:rPr>
            </w:pPr>
          </w:p>
        </w:tc>
        <w:tc>
          <w:tcPr>
            <w:tcW w:w="7087" w:type="dxa"/>
            <w:shd w:val="clear" w:color="auto" w:fill="403152" w:themeFill="accent4" w:themeFillShade="80"/>
          </w:tcPr>
          <w:p w14:paraId="41691787" w14:textId="77777777" w:rsidR="00240FAC" w:rsidRPr="00240FAC" w:rsidRDefault="00240FAC" w:rsidP="00240FAC">
            <w:pPr>
              <w:spacing w:line="288" w:lineRule="auto"/>
              <w:rPr>
                <w:rFonts w:ascii="Arial" w:hAnsi="Arial" w:cs="Arial"/>
                <w:color w:val="FFFFFF" w:themeColor="background1"/>
                <w:sz w:val="20"/>
                <w:szCs w:val="20"/>
              </w:rPr>
            </w:pPr>
            <w:r w:rsidRPr="00240FAC">
              <w:rPr>
                <w:rFonts w:ascii="Arial" w:hAnsi="Arial" w:cs="Arial"/>
                <w:color w:val="FFFFFF" w:themeColor="background1"/>
                <w:sz w:val="20"/>
                <w:szCs w:val="20"/>
              </w:rPr>
              <w:t>Eisen ten aanzien Prijzen</w:t>
            </w:r>
          </w:p>
        </w:tc>
        <w:tc>
          <w:tcPr>
            <w:tcW w:w="1134" w:type="dxa"/>
            <w:shd w:val="clear" w:color="auto" w:fill="403152" w:themeFill="accent4" w:themeFillShade="80"/>
          </w:tcPr>
          <w:p w14:paraId="33FE7072" w14:textId="6A7BE333" w:rsidR="00240FAC" w:rsidRPr="00240FAC" w:rsidRDefault="00240FAC" w:rsidP="00240FAC">
            <w:pPr>
              <w:spacing w:line="288" w:lineRule="auto"/>
              <w:rPr>
                <w:rFonts w:ascii="Arial" w:hAnsi="Arial" w:cs="Arial"/>
                <w:color w:val="FFFFFF" w:themeColor="background1"/>
                <w:sz w:val="20"/>
                <w:szCs w:val="20"/>
              </w:rPr>
            </w:pPr>
            <w:r w:rsidRPr="00240FAC">
              <w:rPr>
                <w:rFonts w:ascii="Arial" w:hAnsi="Arial" w:cs="Arial"/>
                <w:color w:val="FFFFFF" w:themeColor="background1"/>
                <w:sz w:val="20"/>
                <w:szCs w:val="20"/>
              </w:rPr>
              <w:t>Akkoord (ja/nee)</w:t>
            </w:r>
          </w:p>
        </w:tc>
      </w:tr>
      <w:tr w:rsidR="00240FAC" w:rsidRPr="00240FAC" w14:paraId="74899951" w14:textId="432C9B35" w:rsidTr="00240FAC">
        <w:tc>
          <w:tcPr>
            <w:tcW w:w="988" w:type="dxa"/>
          </w:tcPr>
          <w:p w14:paraId="78AEEE06"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P1</w:t>
            </w:r>
          </w:p>
        </w:tc>
        <w:tc>
          <w:tcPr>
            <w:tcW w:w="7087" w:type="dxa"/>
          </w:tcPr>
          <w:p w14:paraId="69EE42E7"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De nominale opslag (zie Formulier F Prijzenblad) genereert een all-in tarief boven op het uurtarief en bevat derhalve alle kosten. Gedurende de looptijd van de Raamovereenkomst kunnen geen andere kosten in rekening worden gebracht dan die in de tabel zijn opgenomen. Facturering vindt plaats op basis van het aantal werkelijk gewerkte uren. Dit betekent dat in principe geen andere kosten, buiten het all-in uurtarief, aan het ROCvA worden doorberekend. </w:t>
            </w:r>
          </w:p>
        </w:tc>
        <w:tc>
          <w:tcPr>
            <w:tcW w:w="1134" w:type="dxa"/>
          </w:tcPr>
          <w:p w14:paraId="214B1945" w14:textId="77777777" w:rsidR="00240FAC" w:rsidRPr="00240FAC" w:rsidRDefault="00240FAC" w:rsidP="00240FAC">
            <w:pPr>
              <w:spacing w:line="288" w:lineRule="auto"/>
              <w:rPr>
                <w:rFonts w:ascii="Arial" w:hAnsi="Arial" w:cs="Arial"/>
                <w:sz w:val="20"/>
                <w:szCs w:val="20"/>
              </w:rPr>
            </w:pPr>
          </w:p>
        </w:tc>
      </w:tr>
      <w:tr w:rsidR="00240FAC" w:rsidRPr="00240FAC" w14:paraId="260D2F31" w14:textId="59153DD0" w:rsidTr="00240FAC">
        <w:tc>
          <w:tcPr>
            <w:tcW w:w="988" w:type="dxa"/>
          </w:tcPr>
          <w:p w14:paraId="5DCBACDD"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P2</w:t>
            </w:r>
          </w:p>
        </w:tc>
        <w:tc>
          <w:tcPr>
            <w:tcW w:w="7087" w:type="dxa"/>
          </w:tcPr>
          <w:p w14:paraId="69B37E9D"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Het is vanaf 1 januari 2022 toegestaan de nominale opslag te indexeren conform het CBS-indexcijfer.</w:t>
            </w:r>
          </w:p>
        </w:tc>
        <w:tc>
          <w:tcPr>
            <w:tcW w:w="1134" w:type="dxa"/>
          </w:tcPr>
          <w:p w14:paraId="1EF134EC" w14:textId="77777777" w:rsidR="00240FAC" w:rsidRPr="00240FAC" w:rsidRDefault="00240FAC" w:rsidP="00240FAC">
            <w:pPr>
              <w:spacing w:line="288" w:lineRule="auto"/>
              <w:rPr>
                <w:rFonts w:ascii="Arial" w:hAnsi="Arial" w:cs="Arial"/>
                <w:sz w:val="20"/>
                <w:szCs w:val="20"/>
              </w:rPr>
            </w:pPr>
          </w:p>
        </w:tc>
      </w:tr>
      <w:tr w:rsidR="00240FAC" w:rsidRPr="00240FAC" w14:paraId="5384C47B" w14:textId="26880BD7" w:rsidTr="00240FAC">
        <w:tc>
          <w:tcPr>
            <w:tcW w:w="988" w:type="dxa"/>
          </w:tcPr>
          <w:p w14:paraId="62D842B1"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P3</w:t>
            </w:r>
          </w:p>
        </w:tc>
        <w:tc>
          <w:tcPr>
            <w:tcW w:w="7087" w:type="dxa"/>
          </w:tcPr>
          <w:p w14:paraId="1D835C9D"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 xml:space="preserve">Opdrachtgever betaalt uitsluitend de gewerkte tijd. Alleen gewerkte uren worden gefactureerd, er wordt geen factuur gezonden als een medewerker ziek is of verlof heeft. </w:t>
            </w:r>
          </w:p>
        </w:tc>
        <w:tc>
          <w:tcPr>
            <w:tcW w:w="1134" w:type="dxa"/>
          </w:tcPr>
          <w:p w14:paraId="4C3B033B" w14:textId="77777777" w:rsidR="00240FAC" w:rsidRPr="00240FAC" w:rsidRDefault="00240FAC" w:rsidP="00240FAC">
            <w:pPr>
              <w:spacing w:line="288" w:lineRule="auto"/>
              <w:rPr>
                <w:rFonts w:ascii="Arial" w:hAnsi="Arial" w:cs="Arial"/>
                <w:sz w:val="20"/>
                <w:szCs w:val="20"/>
              </w:rPr>
            </w:pPr>
          </w:p>
        </w:tc>
      </w:tr>
      <w:tr w:rsidR="00240FAC" w:rsidRPr="00240FAC" w14:paraId="23112544" w14:textId="0EF7DD41" w:rsidTr="00240FAC">
        <w:tc>
          <w:tcPr>
            <w:tcW w:w="988" w:type="dxa"/>
          </w:tcPr>
          <w:p w14:paraId="27728D88"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P4</w:t>
            </w:r>
          </w:p>
        </w:tc>
        <w:tc>
          <w:tcPr>
            <w:tcW w:w="7087" w:type="dxa"/>
          </w:tcPr>
          <w:p w14:paraId="70AC74FE"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Docenten beroepsonderwijs die als zzp’er worden ingehuurd, ingeschreven staan in het Centraal Register Kort Beroepsonderwijs en vrijgesteld zijn van BTW, dienen zodanig gefactureerd te worden dat het BTW voordeel het ROCvA toekomt.</w:t>
            </w:r>
          </w:p>
        </w:tc>
        <w:tc>
          <w:tcPr>
            <w:tcW w:w="1134" w:type="dxa"/>
          </w:tcPr>
          <w:p w14:paraId="55EFD2E4" w14:textId="77777777" w:rsidR="00240FAC" w:rsidRPr="00240FAC" w:rsidRDefault="00240FAC" w:rsidP="00240FAC">
            <w:pPr>
              <w:spacing w:line="288" w:lineRule="auto"/>
              <w:rPr>
                <w:rFonts w:ascii="Arial" w:hAnsi="Arial" w:cs="Arial"/>
                <w:sz w:val="20"/>
                <w:szCs w:val="20"/>
              </w:rPr>
            </w:pPr>
          </w:p>
        </w:tc>
      </w:tr>
      <w:tr w:rsidR="00240FAC" w:rsidRPr="00240FAC" w14:paraId="518CF8D2" w14:textId="6C7A4B38" w:rsidTr="00240FAC">
        <w:tc>
          <w:tcPr>
            <w:tcW w:w="988" w:type="dxa"/>
          </w:tcPr>
          <w:p w14:paraId="63CF783E"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P5</w:t>
            </w:r>
          </w:p>
        </w:tc>
        <w:tc>
          <w:tcPr>
            <w:tcW w:w="7087" w:type="dxa"/>
          </w:tcPr>
          <w:p w14:paraId="2944DADC"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Voor de nominale opslag met werving en selectie geldt een maximum van 6 maanden  per kandidaat. Na de periode van 6 maanden en indien de inzet van de kandidaat wordt voorgezet, ontvangt opdrachtnemer de geoffreerde nominale opslag behorende bij de Brokerfunctie zonder werving en selectie.</w:t>
            </w:r>
          </w:p>
        </w:tc>
        <w:tc>
          <w:tcPr>
            <w:tcW w:w="1134" w:type="dxa"/>
          </w:tcPr>
          <w:p w14:paraId="2AA48DBE" w14:textId="77777777" w:rsidR="00240FAC" w:rsidRPr="00240FAC" w:rsidRDefault="00240FAC" w:rsidP="00240FAC">
            <w:pPr>
              <w:spacing w:line="288" w:lineRule="auto"/>
              <w:rPr>
                <w:rFonts w:ascii="Arial" w:hAnsi="Arial" w:cs="Arial"/>
                <w:sz w:val="20"/>
                <w:szCs w:val="20"/>
              </w:rPr>
            </w:pPr>
          </w:p>
        </w:tc>
      </w:tr>
      <w:tr w:rsidR="00240FAC" w:rsidRPr="00240FAC" w14:paraId="7511E8CD" w14:textId="05DE892B" w:rsidTr="00240FAC">
        <w:tc>
          <w:tcPr>
            <w:tcW w:w="988" w:type="dxa"/>
          </w:tcPr>
          <w:p w14:paraId="28327465"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Eis P6</w:t>
            </w:r>
          </w:p>
        </w:tc>
        <w:tc>
          <w:tcPr>
            <w:tcW w:w="7087" w:type="dxa"/>
          </w:tcPr>
          <w:p w14:paraId="32A813F2" w14:textId="77777777" w:rsidR="00240FAC" w:rsidRPr="00240FAC" w:rsidRDefault="00240FAC" w:rsidP="00240FAC">
            <w:pPr>
              <w:spacing w:line="288" w:lineRule="auto"/>
              <w:rPr>
                <w:rFonts w:ascii="Arial" w:hAnsi="Arial" w:cs="Arial"/>
                <w:sz w:val="20"/>
                <w:szCs w:val="20"/>
              </w:rPr>
            </w:pPr>
            <w:r w:rsidRPr="00240FAC">
              <w:rPr>
                <w:rFonts w:ascii="Arial" w:hAnsi="Arial" w:cs="Arial"/>
                <w:sz w:val="20"/>
                <w:szCs w:val="20"/>
              </w:rPr>
              <w:t>Inschrijver ontvangt zijn inkomsten uitsluitend op basis van de nominale opslag  behorende bij de Brokerfunctie. Het is Inschrijver bijvoorbeeld niet toegestaan het uurtarief van de kandidaat op te hogen.</w:t>
            </w:r>
          </w:p>
        </w:tc>
        <w:tc>
          <w:tcPr>
            <w:tcW w:w="1134" w:type="dxa"/>
          </w:tcPr>
          <w:p w14:paraId="4540F39D" w14:textId="77777777" w:rsidR="00240FAC" w:rsidRPr="00240FAC" w:rsidRDefault="00240FAC" w:rsidP="00240FAC">
            <w:pPr>
              <w:spacing w:line="288" w:lineRule="auto"/>
              <w:rPr>
                <w:rFonts w:ascii="Arial" w:hAnsi="Arial" w:cs="Arial"/>
                <w:sz w:val="20"/>
                <w:szCs w:val="20"/>
              </w:rPr>
            </w:pPr>
          </w:p>
        </w:tc>
      </w:tr>
    </w:tbl>
    <w:p w14:paraId="4B1D0206" w14:textId="77777777" w:rsidR="00240FAC" w:rsidRPr="00240FAC" w:rsidRDefault="00240FAC" w:rsidP="00240FAC">
      <w:pPr>
        <w:spacing w:line="288" w:lineRule="auto"/>
        <w:rPr>
          <w:rFonts w:ascii="Arial" w:eastAsiaTheme="minorHAnsi" w:hAnsi="Arial" w:cs="Arial"/>
          <w:color w:val="00B050"/>
          <w:sz w:val="20"/>
          <w:szCs w:val="20"/>
          <w:lang w:eastAsia="en-US"/>
        </w:rPr>
      </w:pPr>
    </w:p>
    <w:p w14:paraId="3264932F" w14:textId="0E5CAA8F" w:rsidR="00240FAC" w:rsidRDefault="00240FAC" w:rsidP="0035306C">
      <w:pPr>
        <w:rPr>
          <w:b/>
          <w:sz w:val="24"/>
          <w:szCs w:val="24"/>
        </w:rPr>
      </w:pPr>
    </w:p>
    <w:p w14:paraId="464EB475" w14:textId="77777777" w:rsidR="00BB2EB9" w:rsidRPr="004E5D5D" w:rsidRDefault="00BB2EB9" w:rsidP="00BB2EB9">
      <w:pPr>
        <w:rPr>
          <w:b/>
          <w:sz w:val="22"/>
          <w:szCs w:val="22"/>
        </w:rPr>
      </w:pPr>
      <w:bookmarkStart w:id="2" w:name="_GoBack"/>
      <w:bookmarkEnd w:id="2"/>
      <w:r w:rsidRPr="004E5D5D">
        <w:rPr>
          <w:b/>
          <w:sz w:val="22"/>
          <w:szCs w:val="22"/>
        </w:rPr>
        <w:t>Ondertekening:</w:t>
      </w:r>
    </w:p>
    <w:p w14:paraId="546DC2AC" w14:textId="77777777" w:rsidR="00BB2EB9" w:rsidRPr="004E5D5D" w:rsidRDefault="00BB2EB9" w:rsidP="00BB2EB9"/>
    <w:p w14:paraId="11D215FB"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Inschrijver: </w:t>
      </w:r>
      <w:r w:rsidRPr="00D57DE7">
        <w:rPr>
          <w:rFonts w:eastAsia="Calibri"/>
          <w:sz w:val="20"/>
          <w:lang w:eastAsia="en-US"/>
        </w:rPr>
        <w:tab/>
        <w:t>………………………………………………………………………….</w:t>
      </w:r>
    </w:p>
    <w:p w14:paraId="43A1FB53" w14:textId="77777777" w:rsidR="00BB2EB9" w:rsidRPr="00D57DE7" w:rsidRDefault="00BB2EB9" w:rsidP="00BB2EB9">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8338162" w14:textId="77777777" w:rsidR="00BB2EB9" w:rsidRPr="00D57DE7" w:rsidRDefault="00BB2EB9" w:rsidP="00BB2EB9">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2AF76B76" w14:textId="77777777" w:rsidR="00BB2EB9" w:rsidRPr="00D57DE7" w:rsidRDefault="00BB2EB9" w:rsidP="00BB2EB9">
      <w:pPr>
        <w:spacing w:before="280"/>
        <w:rPr>
          <w:rFonts w:eastAsia="Calibri"/>
          <w:sz w:val="20"/>
          <w:lang w:eastAsia="en-US"/>
        </w:rPr>
      </w:pPr>
    </w:p>
    <w:p w14:paraId="70E2660E" w14:textId="77777777" w:rsidR="00BB2EB9" w:rsidRPr="00D57DE7" w:rsidRDefault="00BB2EB9" w:rsidP="00BB2EB9">
      <w:pPr>
        <w:spacing w:before="280"/>
        <w:rPr>
          <w:rFonts w:eastAsia="Calibri"/>
          <w:sz w:val="20"/>
          <w:lang w:eastAsia="en-US"/>
        </w:rPr>
      </w:pPr>
    </w:p>
    <w:p w14:paraId="0D268165" w14:textId="4102BB8A" w:rsidR="00BB2EB9" w:rsidRPr="00D57DE7" w:rsidRDefault="00BB2EB9" w:rsidP="00BB2EB9">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193EC5AD" w14:textId="77777777" w:rsidR="00BB2EB9" w:rsidRPr="00D57DE7" w:rsidRDefault="00BB2EB9" w:rsidP="00BB2EB9">
      <w:pPr>
        <w:widowControl w:val="0"/>
        <w:autoSpaceDE w:val="0"/>
        <w:autoSpaceDN w:val="0"/>
        <w:adjustRightInd w:val="0"/>
        <w:jc w:val="both"/>
        <w:rPr>
          <w:rFonts w:cs="Tahoma"/>
          <w:sz w:val="20"/>
        </w:rPr>
      </w:pPr>
    </w:p>
    <w:p w14:paraId="18324A5A" w14:textId="77777777" w:rsidR="00BB2EB9" w:rsidRPr="00D57DE7" w:rsidRDefault="00BB2EB9" w:rsidP="00BB2EB9">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2EB9" w:rsidRPr="00D57DE7" w14:paraId="2F72B586" w14:textId="77777777" w:rsidTr="00BB2EB9">
        <w:tc>
          <w:tcPr>
            <w:tcW w:w="9054" w:type="dxa"/>
          </w:tcPr>
          <w:p w14:paraId="5C5B23A1" w14:textId="417E3FFF" w:rsidR="00BB2EB9" w:rsidRPr="00C52F65" w:rsidRDefault="00BB2EB9" w:rsidP="00BB2EB9">
            <w:pPr>
              <w:widowControl w:val="0"/>
              <w:autoSpaceDE w:val="0"/>
              <w:autoSpaceDN w:val="0"/>
              <w:adjustRightInd w:val="0"/>
              <w:spacing w:after="100" w:afterAutospacing="1"/>
              <w:jc w:val="both"/>
              <w:rPr>
                <w:rFonts w:cs="Tahoma"/>
                <w:lang w:val="nl-NL"/>
              </w:rPr>
            </w:pPr>
            <w:r w:rsidRPr="00C52F65">
              <w:rPr>
                <w:rFonts w:cs="Tahoma"/>
                <w:lang w:val="nl-NL"/>
              </w:rPr>
              <w:t>D</w:t>
            </w:r>
            <w:r w:rsidR="00E04B34">
              <w:rPr>
                <w:rFonts w:cs="Tahoma"/>
                <w:lang w:val="nl-NL"/>
              </w:rPr>
              <w:t xml:space="preserve">it Formulier </w:t>
            </w:r>
            <w:r w:rsidRPr="00C52F65">
              <w:rPr>
                <w:rFonts w:cs="Tahoma"/>
                <w:lang w:val="nl-NL"/>
              </w:rPr>
              <w:t>dient te worden ondertekend door een daartoe rechtsgeldig bevoegd persoon.</w:t>
            </w:r>
          </w:p>
        </w:tc>
      </w:tr>
    </w:tbl>
    <w:p w14:paraId="5EAAADF2" w14:textId="77777777" w:rsidR="00BB2EB9" w:rsidRPr="00D57DE7" w:rsidRDefault="00BB2EB9" w:rsidP="00BB2EB9">
      <w:pPr>
        <w:pStyle w:val="K02-tussenkop"/>
        <w:rPr>
          <w:sz w:val="20"/>
          <w:szCs w:val="20"/>
        </w:rPr>
      </w:pPr>
    </w:p>
    <w:p w14:paraId="47E7AA00" w14:textId="77777777" w:rsidR="00BB2EB9" w:rsidRDefault="00BB2EB9" w:rsidP="00BB2EB9">
      <w:pPr>
        <w:pStyle w:val="CalibriKop1"/>
        <w:numPr>
          <w:ilvl w:val="0"/>
          <w:numId w:val="0"/>
        </w:numPr>
        <w:ind w:left="568"/>
        <w:rPr>
          <w:rFonts w:cs="Calibri"/>
          <w:color w:val="000000"/>
          <w:sz w:val="22"/>
          <w:szCs w:val="22"/>
        </w:rPr>
      </w:pPr>
    </w:p>
    <w:sectPr w:rsidR="00BB2EB9" w:rsidSect="00655597">
      <w:headerReference w:type="default" r:id="rId11"/>
      <w:footerReference w:type="default" r:id="rId12"/>
      <w:pgSz w:w="11906" w:h="16838"/>
      <w:pgMar w:top="3230" w:right="1644" w:bottom="1440" w:left="1135"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85AC2" w14:textId="77777777" w:rsidR="00F211F3" w:rsidRDefault="00F211F3" w:rsidP="0021083E">
      <w:pPr>
        <w:spacing w:line="240" w:lineRule="auto"/>
      </w:pPr>
      <w:r>
        <w:separator/>
      </w:r>
    </w:p>
  </w:endnote>
  <w:endnote w:type="continuationSeparator" w:id="0">
    <w:p w14:paraId="7B83F78C" w14:textId="77777777" w:rsidR="00F211F3" w:rsidRDefault="00F211F3"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5690D283" w:rsidR="00220C6C" w:rsidRDefault="00220C6C" w:rsidP="00715B55">
            <w:pPr>
              <w:pStyle w:val="Koptekst"/>
            </w:pPr>
            <w:r>
              <w:t xml:space="preserve">Minimum-eisen </w:t>
            </w:r>
            <w:r w:rsidR="00240FAC">
              <w:t>ZZP Broker</w:t>
            </w:r>
            <w:r>
              <w:t xml:space="preserve">                                  </w:t>
            </w:r>
            <w:r>
              <w:tab/>
            </w:r>
            <w:r>
              <w:tab/>
              <w:t xml:space="preserve">Pagina </w:t>
            </w:r>
            <w:r>
              <w:rPr>
                <w:b/>
                <w:bCs/>
                <w:sz w:val="24"/>
                <w:szCs w:val="24"/>
              </w:rPr>
              <w:fldChar w:fldCharType="begin"/>
            </w:r>
            <w:r>
              <w:rPr>
                <w:b/>
                <w:bCs/>
              </w:rPr>
              <w:instrText>PAGE</w:instrText>
            </w:r>
            <w:r>
              <w:rPr>
                <w:b/>
                <w:bCs/>
                <w:sz w:val="24"/>
                <w:szCs w:val="24"/>
              </w:rPr>
              <w:fldChar w:fldCharType="separate"/>
            </w:r>
            <w:r w:rsidR="00240FAC">
              <w:rPr>
                <w:b/>
                <w:bCs/>
                <w:noProof/>
              </w:rPr>
              <w:t>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240FAC">
              <w:rPr>
                <w:b/>
                <w:bCs/>
                <w:noProof/>
              </w:rPr>
              <w:t>6</w:t>
            </w:r>
            <w:r>
              <w:rPr>
                <w:b/>
                <w:bCs/>
                <w:sz w:val="24"/>
                <w:szCs w:val="24"/>
              </w:rPr>
              <w:fldChar w:fldCharType="end"/>
            </w:r>
            <w:r>
              <w:t xml:space="preserve">                             </w:t>
            </w:r>
          </w:p>
          <w:p w14:paraId="678B574F" w14:textId="1343AEAF" w:rsidR="00220C6C" w:rsidRDefault="00220C6C" w:rsidP="00715B55">
            <w:pPr>
              <w:pStyle w:val="Voettekst"/>
              <w:ind w:firstLine="4248"/>
            </w:pPr>
            <w:r>
              <w:tab/>
            </w:r>
            <w:r>
              <w:tab/>
            </w:r>
            <w:r>
              <w:tab/>
            </w:r>
            <w:r>
              <w:tab/>
            </w:r>
          </w:p>
        </w:sdtContent>
      </w:sdt>
    </w:sdtContent>
  </w:sdt>
  <w:p w14:paraId="2772A478" w14:textId="58D11123" w:rsidR="00220C6C" w:rsidRDefault="00220C6C"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253D2" w14:textId="77777777" w:rsidR="00F211F3" w:rsidRDefault="00F211F3" w:rsidP="0021083E">
      <w:pPr>
        <w:spacing w:line="240" w:lineRule="auto"/>
      </w:pPr>
      <w:r>
        <w:separator/>
      </w:r>
    </w:p>
  </w:footnote>
  <w:footnote w:type="continuationSeparator" w:id="0">
    <w:p w14:paraId="0C95BCCD" w14:textId="77777777" w:rsidR="00F211F3" w:rsidRDefault="00F211F3"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F534D" w14:textId="4244F661" w:rsidR="00220C6C" w:rsidRDefault="00220C6C">
    <w:pPr>
      <w:pStyle w:val="Koptekst"/>
    </w:pPr>
    <w:r w:rsidRPr="00220C6C">
      <w:rPr>
        <w:noProof/>
      </w:rPr>
      <w:drawing>
        <wp:anchor distT="0" distB="0" distL="114300" distR="114300" simplePos="0" relativeHeight="251659264" behindDoc="0" locked="0" layoutInCell="1" allowOverlap="1" wp14:anchorId="6AACD05C" wp14:editId="02C2538F">
          <wp:simplePos x="0" y="0"/>
          <wp:positionH relativeFrom="margin">
            <wp:posOffset>0</wp:posOffset>
          </wp:positionH>
          <wp:positionV relativeFrom="margin">
            <wp:posOffset>-1441450</wp:posOffset>
          </wp:positionV>
          <wp:extent cx="929005" cy="471805"/>
          <wp:effectExtent l="0" t="0" r="4445" b="4445"/>
          <wp:wrapSquare wrapText="bothSides"/>
          <wp:docPr id="4" name="Afbeelding 4"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ROCvA tegen witte achtergr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471805"/>
                  </a:xfrm>
                  <a:prstGeom prst="rect">
                    <a:avLst/>
                  </a:prstGeom>
                  <a:noFill/>
                </pic:spPr>
              </pic:pic>
            </a:graphicData>
          </a:graphic>
          <wp14:sizeRelH relativeFrom="page">
            <wp14:pctWidth>0</wp14:pctWidth>
          </wp14:sizeRelH>
          <wp14:sizeRelV relativeFrom="page">
            <wp14:pctHeight>0</wp14:pctHeight>
          </wp14:sizeRelV>
        </wp:anchor>
      </w:drawing>
    </w:r>
    <w:r w:rsidRPr="00220C6C">
      <w:rPr>
        <w:noProof/>
      </w:rPr>
      <w:drawing>
        <wp:anchor distT="0" distB="0" distL="114300" distR="114300" simplePos="0" relativeHeight="251660288" behindDoc="0" locked="0" layoutInCell="1" allowOverlap="1" wp14:anchorId="740C4B45" wp14:editId="16B08A5C">
          <wp:simplePos x="0" y="0"/>
          <wp:positionH relativeFrom="margin">
            <wp:posOffset>2404745</wp:posOffset>
          </wp:positionH>
          <wp:positionV relativeFrom="margin">
            <wp:posOffset>-1441450</wp:posOffset>
          </wp:positionV>
          <wp:extent cx="938530" cy="462280"/>
          <wp:effectExtent l="0" t="0" r="0" b="0"/>
          <wp:wrapSquare wrapText="bothSides"/>
          <wp:docPr id="6" name="Afbeelding 6"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ROCvF tegen witte achtergro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530" cy="462280"/>
                  </a:xfrm>
                  <a:prstGeom prst="rect">
                    <a:avLst/>
                  </a:prstGeom>
                  <a:noFill/>
                </pic:spPr>
              </pic:pic>
            </a:graphicData>
          </a:graphic>
          <wp14:sizeRelH relativeFrom="page">
            <wp14:pctWidth>0</wp14:pctWidth>
          </wp14:sizeRelH>
          <wp14:sizeRelV relativeFrom="page">
            <wp14:pctHeight>0</wp14:pctHeight>
          </wp14:sizeRelV>
        </wp:anchor>
      </w:drawing>
    </w:r>
    <w:r w:rsidRPr="00220C6C">
      <w:rPr>
        <w:noProof/>
      </w:rPr>
      <w:drawing>
        <wp:anchor distT="0" distB="0" distL="114300" distR="114300" simplePos="0" relativeHeight="251661312" behindDoc="0" locked="0" layoutInCell="1" allowOverlap="1" wp14:anchorId="0DB8B262" wp14:editId="01A00D9B">
          <wp:simplePos x="0" y="0"/>
          <wp:positionH relativeFrom="margin">
            <wp:posOffset>4914900</wp:posOffset>
          </wp:positionH>
          <wp:positionV relativeFrom="margin">
            <wp:posOffset>-1441450</wp:posOffset>
          </wp:positionV>
          <wp:extent cx="938530" cy="466725"/>
          <wp:effectExtent l="0" t="0" r="0" b="9525"/>
          <wp:wrapSquare wrapText="bothSides"/>
          <wp:docPr id="5" name="Afbeelding 5"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Logo VOvA tegen witte achtergron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8530" cy="4667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87AEEAA"/>
    <w:lvl w:ilvl="0">
      <w:start w:val="1"/>
      <w:numFmt w:val="decimal"/>
      <w:pStyle w:val="CalibriKop1"/>
      <w:lvlText w:val="%1."/>
      <w:lvlJc w:val="left"/>
      <w:pPr>
        <w:tabs>
          <w:tab w:val="num" w:pos="1000"/>
        </w:tabs>
        <w:ind w:left="1000"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1144"/>
        </w:tabs>
        <w:ind w:left="1144" w:hanging="576"/>
      </w:pPr>
      <w:rPr>
        <w:rFonts w:hint="default"/>
      </w:rPr>
    </w:lvl>
    <w:lvl w:ilvl="2">
      <w:start w:val="1"/>
      <w:numFmt w:val="decimal"/>
      <w:pStyle w:val="CalibriKop3"/>
      <w:lvlText w:val="%1.%2.%3"/>
      <w:lvlJc w:val="left"/>
      <w:pPr>
        <w:tabs>
          <w:tab w:val="num" w:pos="1288"/>
        </w:tabs>
        <w:ind w:left="1288" w:hanging="720"/>
      </w:pPr>
      <w:rPr>
        <w:rFonts w:hint="default"/>
        <w:sz w:val="20"/>
        <w:szCs w:val="20"/>
      </w:rPr>
    </w:lvl>
    <w:lvl w:ilvl="3">
      <w:start w:val="1"/>
      <w:numFmt w:val="decimal"/>
      <w:lvlText w:val="%1.%2.%3.%4"/>
      <w:lvlJc w:val="left"/>
      <w:pPr>
        <w:tabs>
          <w:tab w:val="num" w:pos="1432"/>
        </w:tabs>
        <w:ind w:left="1432" w:hanging="864"/>
      </w:pPr>
      <w:rPr>
        <w:rFonts w:hint="default"/>
      </w:rPr>
    </w:lvl>
    <w:lvl w:ilvl="4">
      <w:start w:val="1"/>
      <w:numFmt w:val="decimal"/>
      <w:lvlText w:val="%1.%2.%3.%4.%5"/>
      <w:lvlJc w:val="left"/>
      <w:pPr>
        <w:tabs>
          <w:tab w:val="num" w:pos="1576"/>
        </w:tabs>
        <w:ind w:left="1576" w:hanging="1008"/>
      </w:pPr>
      <w:rPr>
        <w:rFonts w:hint="default"/>
      </w:rPr>
    </w:lvl>
    <w:lvl w:ilvl="5">
      <w:start w:val="1"/>
      <w:numFmt w:val="decimal"/>
      <w:lvlText w:val="%1.%2.%3.%4.%5.%6"/>
      <w:lvlJc w:val="left"/>
      <w:pPr>
        <w:tabs>
          <w:tab w:val="num" w:pos="1720"/>
        </w:tabs>
        <w:ind w:left="1720" w:hanging="1152"/>
      </w:pPr>
      <w:rPr>
        <w:rFonts w:hint="default"/>
      </w:rPr>
    </w:lvl>
    <w:lvl w:ilvl="6">
      <w:start w:val="1"/>
      <w:numFmt w:val="decimal"/>
      <w:lvlText w:val="%1.%2.%3.%4.%5.%6.%7"/>
      <w:lvlJc w:val="left"/>
      <w:pPr>
        <w:tabs>
          <w:tab w:val="num" w:pos="1864"/>
        </w:tabs>
        <w:ind w:left="1864" w:hanging="1296"/>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152"/>
        </w:tabs>
        <w:ind w:left="2152" w:hanging="1584"/>
      </w:pPr>
      <w:rPr>
        <w:rFonts w:hint="default"/>
      </w:rPr>
    </w:lvl>
  </w:abstractNum>
  <w:abstractNum w:abstractNumId="1" w15:restartNumberingAfterBreak="0">
    <w:nsid w:val="029961B3"/>
    <w:multiLevelType w:val="hybridMultilevel"/>
    <w:tmpl w:val="94002A80"/>
    <w:lvl w:ilvl="0" w:tplc="04130001">
      <w:start w:val="1"/>
      <w:numFmt w:val="bullet"/>
      <w:lvlText w:val=""/>
      <w:lvlJc w:val="left"/>
      <w:pPr>
        <w:ind w:left="365" w:hanging="360"/>
      </w:pPr>
      <w:rPr>
        <w:rFonts w:ascii="Symbol" w:hAnsi="Symbol" w:hint="default"/>
      </w:rPr>
    </w:lvl>
    <w:lvl w:ilvl="1" w:tplc="04130003" w:tentative="1">
      <w:start w:val="1"/>
      <w:numFmt w:val="bullet"/>
      <w:lvlText w:val="o"/>
      <w:lvlJc w:val="left"/>
      <w:pPr>
        <w:ind w:left="1085" w:hanging="360"/>
      </w:pPr>
      <w:rPr>
        <w:rFonts w:ascii="Courier New" w:hAnsi="Courier New" w:cs="Courier New" w:hint="default"/>
      </w:rPr>
    </w:lvl>
    <w:lvl w:ilvl="2" w:tplc="04130005" w:tentative="1">
      <w:start w:val="1"/>
      <w:numFmt w:val="bullet"/>
      <w:lvlText w:val=""/>
      <w:lvlJc w:val="left"/>
      <w:pPr>
        <w:ind w:left="1805" w:hanging="360"/>
      </w:pPr>
      <w:rPr>
        <w:rFonts w:ascii="Wingdings" w:hAnsi="Wingdings" w:hint="default"/>
      </w:rPr>
    </w:lvl>
    <w:lvl w:ilvl="3" w:tplc="04130001" w:tentative="1">
      <w:start w:val="1"/>
      <w:numFmt w:val="bullet"/>
      <w:lvlText w:val=""/>
      <w:lvlJc w:val="left"/>
      <w:pPr>
        <w:ind w:left="2525" w:hanging="360"/>
      </w:pPr>
      <w:rPr>
        <w:rFonts w:ascii="Symbol" w:hAnsi="Symbol" w:hint="default"/>
      </w:rPr>
    </w:lvl>
    <w:lvl w:ilvl="4" w:tplc="04130003" w:tentative="1">
      <w:start w:val="1"/>
      <w:numFmt w:val="bullet"/>
      <w:lvlText w:val="o"/>
      <w:lvlJc w:val="left"/>
      <w:pPr>
        <w:ind w:left="3245" w:hanging="360"/>
      </w:pPr>
      <w:rPr>
        <w:rFonts w:ascii="Courier New" w:hAnsi="Courier New" w:cs="Courier New" w:hint="default"/>
      </w:rPr>
    </w:lvl>
    <w:lvl w:ilvl="5" w:tplc="04130005" w:tentative="1">
      <w:start w:val="1"/>
      <w:numFmt w:val="bullet"/>
      <w:lvlText w:val=""/>
      <w:lvlJc w:val="left"/>
      <w:pPr>
        <w:ind w:left="3965" w:hanging="360"/>
      </w:pPr>
      <w:rPr>
        <w:rFonts w:ascii="Wingdings" w:hAnsi="Wingdings" w:hint="default"/>
      </w:rPr>
    </w:lvl>
    <w:lvl w:ilvl="6" w:tplc="04130001" w:tentative="1">
      <w:start w:val="1"/>
      <w:numFmt w:val="bullet"/>
      <w:lvlText w:val=""/>
      <w:lvlJc w:val="left"/>
      <w:pPr>
        <w:ind w:left="4685" w:hanging="360"/>
      </w:pPr>
      <w:rPr>
        <w:rFonts w:ascii="Symbol" w:hAnsi="Symbol" w:hint="default"/>
      </w:rPr>
    </w:lvl>
    <w:lvl w:ilvl="7" w:tplc="04130003" w:tentative="1">
      <w:start w:val="1"/>
      <w:numFmt w:val="bullet"/>
      <w:lvlText w:val="o"/>
      <w:lvlJc w:val="left"/>
      <w:pPr>
        <w:ind w:left="5405" w:hanging="360"/>
      </w:pPr>
      <w:rPr>
        <w:rFonts w:ascii="Courier New" w:hAnsi="Courier New" w:cs="Courier New" w:hint="default"/>
      </w:rPr>
    </w:lvl>
    <w:lvl w:ilvl="8" w:tplc="04130005" w:tentative="1">
      <w:start w:val="1"/>
      <w:numFmt w:val="bullet"/>
      <w:lvlText w:val=""/>
      <w:lvlJc w:val="left"/>
      <w:pPr>
        <w:ind w:left="6125" w:hanging="360"/>
      </w:pPr>
      <w:rPr>
        <w:rFonts w:ascii="Wingdings" w:hAnsi="Wingdings" w:hint="default"/>
      </w:r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CA0989"/>
    <w:multiLevelType w:val="multilevel"/>
    <w:tmpl w:val="4A24C116"/>
    <w:lvl w:ilvl="0">
      <w:start w:val="1"/>
      <w:numFmt w:val="bullet"/>
      <w:lvlText w:val=""/>
      <w:lvlJc w:val="left"/>
      <w:pPr>
        <w:ind w:left="36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2A21B3"/>
    <w:multiLevelType w:val="hybridMultilevel"/>
    <w:tmpl w:val="EB329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67D43"/>
    <w:multiLevelType w:val="hybridMultilevel"/>
    <w:tmpl w:val="70C48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F10606"/>
    <w:multiLevelType w:val="hybridMultilevel"/>
    <w:tmpl w:val="9CA4B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9"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3A7344"/>
    <w:multiLevelType w:val="hybridMultilevel"/>
    <w:tmpl w:val="AA74C814"/>
    <w:lvl w:ilvl="0" w:tplc="F162DE96">
      <w:start w:val="7"/>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6F0E69"/>
    <w:multiLevelType w:val="hybridMultilevel"/>
    <w:tmpl w:val="E5A0ED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6" w15:restartNumberingAfterBreak="0">
    <w:nsid w:val="709C694B"/>
    <w:multiLevelType w:val="hybridMultilevel"/>
    <w:tmpl w:val="4600CCA6"/>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7"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6322B38"/>
    <w:multiLevelType w:val="hybridMultilevel"/>
    <w:tmpl w:val="87F40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4"/>
  </w:num>
  <w:num w:numId="3">
    <w:abstractNumId w:val="29"/>
  </w:num>
  <w:num w:numId="4">
    <w:abstractNumId w:val="18"/>
  </w:num>
  <w:num w:numId="5">
    <w:abstractNumId w:val="25"/>
  </w:num>
  <w:num w:numId="6">
    <w:abstractNumId w:val="2"/>
  </w:num>
  <w:num w:numId="7">
    <w:abstractNumId w:val="16"/>
  </w:num>
  <w:num w:numId="8">
    <w:abstractNumId w:val="19"/>
  </w:num>
  <w:num w:numId="9">
    <w:abstractNumId w:val="0"/>
  </w:num>
  <w:num w:numId="10">
    <w:abstractNumId w:val="14"/>
  </w:num>
  <w:num w:numId="11">
    <w:abstractNumId w:val="3"/>
  </w:num>
  <w:num w:numId="12">
    <w:abstractNumId w:val="6"/>
  </w:num>
  <w:num w:numId="13">
    <w:abstractNumId w:val="4"/>
  </w:num>
  <w:num w:numId="14">
    <w:abstractNumId w:val="30"/>
  </w:num>
  <w:num w:numId="15">
    <w:abstractNumId w:val="23"/>
  </w:num>
  <w:num w:numId="16">
    <w:abstractNumId w:val="9"/>
  </w:num>
  <w:num w:numId="17">
    <w:abstractNumId w:val="12"/>
  </w:num>
  <w:num w:numId="18">
    <w:abstractNumId w:val="15"/>
  </w:num>
  <w:num w:numId="19">
    <w:abstractNumId w:val="27"/>
  </w:num>
  <w:num w:numId="20">
    <w:abstractNumId w:val="31"/>
  </w:num>
  <w:num w:numId="21">
    <w:abstractNumId w:val="22"/>
  </w:num>
  <w:num w:numId="22">
    <w:abstractNumId w:val="11"/>
  </w:num>
  <w:num w:numId="23">
    <w:abstractNumId w:val="17"/>
  </w:num>
  <w:num w:numId="24">
    <w:abstractNumId w:val="7"/>
  </w:num>
  <w:num w:numId="25">
    <w:abstractNumId w:val="20"/>
  </w:num>
  <w:num w:numId="26">
    <w:abstractNumId w:val="13"/>
  </w:num>
  <w:num w:numId="27">
    <w:abstractNumId w:val="1"/>
  </w:num>
  <w:num w:numId="28">
    <w:abstractNumId w:val="26"/>
  </w:num>
  <w:num w:numId="29">
    <w:abstractNumId w:val="8"/>
  </w:num>
  <w:num w:numId="30">
    <w:abstractNumId w:val="10"/>
  </w:num>
  <w:num w:numId="31">
    <w:abstractNumId w:val="5"/>
  </w:num>
  <w:num w:numId="3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8D"/>
    <w:rsid w:val="000130E6"/>
    <w:rsid w:val="00040332"/>
    <w:rsid w:val="00045456"/>
    <w:rsid w:val="00046D1A"/>
    <w:rsid w:val="00046E54"/>
    <w:rsid w:val="00047239"/>
    <w:rsid w:val="00050BA0"/>
    <w:rsid w:val="000545AE"/>
    <w:rsid w:val="00054D24"/>
    <w:rsid w:val="00065BC3"/>
    <w:rsid w:val="00070DFA"/>
    <w:rsid w:val="0008023B"/>
    <w:rsid w:val="00094FD9"/>
    <w:rsid w:val="000A4E23"/>
    <w:rsid w:val="000B45DC"/>
    <w:rsid w:val="000B46D8"/>
    <w:rsid w:val="000C1129"/>
    <w:rsid w:val="000D0032"/>
    <w:rsid w:val="000D48A5"/>
    <w:rsid w:val="000D5B39"/>
    <w:rsid w:val="000F7A8A"/>
    <w:rsid w:val="001066B1"/>
    <w:rsid w:val="00106BC1"/>
    <w:rsid w:val="0012205B"/>
    <w:rsid w:val="0012274E"/>
    <w:rsid w:val="00123D7F"/>
    <w:rsid w:val="00136976"/>
    <w:rsid w:val="00152705"/>
    <w:rsid w:val="00155D7E"/>
    <w:rsid w:val="00164273"/>
    <w:rsid w:val="00171572"/>
    <w:rsid w:val="00176B39"/>
    <w:rsid w:val="00177A29"/>
    <w:rsid w:val="001B469C"/>
    <w:rsid w:val="001E2445"/>
    <w:rsid w:val="001E4A77"/>
    <w:rsid w:val="0021083E"/>
    <w:rsid w:val="00220C6C"/>
    <w:rsid w:val="00220DFD"/>
    <w:rsid w:val="002211A4"/>
    <w:rsid w:val="00222B35"/>
    <w:rsid w:val="00225543"/>
    <w:rsid w:val="00240FAC"/>
    <w:rsid w:val="002448D8"/>
    <w:rsid w:val="00255C34"/>
    <w:rsid w:val="0027529E"/>
    <w:rsid w:val="00281902"/>
    <w:rsid w:val="0028245B"/>
    <w:rsid w:val="002B1A26"/>
    <w:rsid w:val="002B5524"/>
    <w:rsid w:val="002B5922"/>
    <w:rsid w:val="002B7B2B"/>
    <w:rsid w:val="002D39B1"/>
    <w:rsid w:val="002E5999"/>
    <w:rsid w:val="002F03BF"/>
    <w:rsid w:val="002F798A"/>
    <w:rsid w:val="00303868"/>
    <w:rsid w:val="00316F96"/>
    <w:rsid w:val="00322FD8"/>
    <w:rsid w:val="0033394A"/>
    <w:rsid w:val="0035306C"/>
    <w:rsid w:val="003562C9"/>
    <w:rsid w:val="00356C0E"/>
    <w:rsid w:val="003623BB"/>
    <w:rsid w:val="00373B74"/>
    <w:rsid w:val="003762E2"/>
    <w:rsid w:val="003B3222"/>
    <w:rsid w:val="003C3D48"/>
    <w:rsid w:val="003E16E2"/>
    <w:rsid w:val="003E7E76"/>
    <w:rsid w:val="00400B88"/>
    <w:rsid w:val="00401B13"/>
    <w:rsid w:val="0041662F"/>
    <w:rsid w:val="00424DED"/>
    <w:rsid w:val="004423C7"/>
    <w:rsid w:val="004425B2"/>
    <w:rsid w:val="00451668"/>
    <w:rsid w:val="00463553"/>
    <w:rsid w:val="004671D0"/>
    <w:rsid w:val="0047654A"/>
    <w:rsid w:val="00480B35"/>
    <w:rsid w:val="00482A4F"/>
    <w:rsid w:val="004932EA"/>
    <w:rsid w:val="004A1051"/>
    <w:rsid w:val="004B42E1"/>
    <w:rsid w:val="004D169A"/>
    <w:rsid w:val="004D3C9C"/>
    <w:rsid w:val="004D3F57"/>
    <w:rsid w:val="004E328C"/>
    <w:rsid w:val="004F1729"/>
    <w:rsid w:val="004F2E74"/>
    <w:rsid w:val="004F68A2"/>
    <w:rsid w:val="004F6AFD"/>
    <w:rsid w:val="004F756F"/>
    <w:rsid w:val="004F7E41"/>
    <w:rsid w:val="00527398"/>
    <w:rsid w:val="005440CB"/>
    <w:rsid w:val="00552B6A"/>
    <w:rsid w:val="00581962"/>
    <w:rsid w:val="00587EEF"/>
    <w:rsid w:val="00590EA9"/>
    <w:rsid w:val="005C3A8D"/>
    <w:rsid w:val="005C58B0"/>
    <w:rsid w:val="005E474F"/>
    <w:rsid w:val="005E6139"/>
    <w:rsid w:val="0061130B"/>
    <w:rsid w:val="00624428"/>
    <w:rsid w:val="00630F03"/>
    <w:rsid w:val="00632123"/>
    <w:rsid w:val="00640EE3"/>
    <w:rsid w:val="00647792"/>
    <w:rsid w:val="00655597"/>
    <w:rsid w:val="006A01E8"/>
    <w:rsid w:val="006B0BA1"/>
    <w:rsid w:val="006B17B8"/>
    <w:rsid w:val="006B65CA"/>
    <w:rsid w:val="006D651B"/>
    <w:rsid w:val="006F5DA7"/>
    <w:rsid w:val="00703C3B"/>
    <w:rsid w:val="0071179B"/>
    <w:rsid w:val="00715B55"/>
    <w:rsid w:val="0073065C"/>
    <w:rsid w:val="0073357B"/>
    <w:rsid w:val="00744697"/>
    <w:rsid w:val="00760B1B"/>
    <w:rsid w:val="00781DB1"/>
    <w:rsid w:val="00794226"/>
    <w:rsid w:val="007B03F8"/>
    <w:rsid w:val="007B10A5"/>
    <w:rsid w:val="007B1BB8"/>
    <w:rsid w:val="007C4454"/>
    <w:rsid w:val="007C74F0"/>
    <w:rsid w:val="007D38D3"/>
    <w:rsid w:val="007F398F"/>
    <w:rsid w:val="008039CC"/>
    <w:rsid w:val="008104C5"/>
    <w:rsid w:val="00812132"/>
    <w:rsid w:val="00824594"/>
    <w:rsid w:val="00832230"/>
    <w:rsid w:val="00835E7D"/>
    <w:rsid w:val="008402D9"/>
    <w:rsid w:val="00841022"/>
    <w:rsid w:val="00842C50"/>
    <w:rsid w:val="00847DE2"/>
    <w:rsid w:val="008715F1"/>
    <w:rsid w:val="008729AA"/>
    <w:rsid w:val="00892496"/>
    <w:rsid w:val="008D79B4"/>
    <w:rsid w:val="008F3D87"/>
    <w:rsid w:val="00915729"/>
    <w:rsid w:val="009175F9"/>
    <w:rsid w:val="0092024B"/>
    <w:rsid w:val="00940094"/>
    <w:rsid w:val="009761CF"/>
    <w:rsid w:val="009855FD"/>
    <w:rsid w:val="00985E39"/>
    <w:rsid w:val="009A1C38"/>
    <w:rsid w:val="009A57DE"/>
    <w:rsid w:val="009B0D92"/>
    <w:rsid w:val="009B267D"/>
    <w:rsid w:val="009B71AB"/>
    <w:rsid w:val="009E4DDC"/>
    <w:rsid w:val="009F651C"/>
    <w:rsid w:val="00A03098"/>
    <w:rsid w:val="00A0561E"/>
    <w:rsid w:val="00A2394F"/>
    <w:rsid w:val="00A270BC"/>
    <w:rsid w:val="00A3732E"/>
    <w:rsid w:val="00A471FD"/>
    <w:rsid w:val="00A53085"/>
    <w:rsid w:val="00AC0709"/>
    <w:rsid w:val="00AF5B67"/>
    <w:rsid w:val="00B12F50"/>
    <w:rsid w:val="00B33EDC"/>
    <w:rsid w:val="00B55167"/>
    <w:rsid w:val="00B56C68"/>
    <w:rsid w:val="00B57BB7"/>
    <w:rsid w:val="00B64F0A"/>
    <w:rsid w:val="00B655A0"/>
    <w:rsid w:val="00B659F1"/>
    <w:rsid w:val="00B73108"/>
    <w:rsid w:val="00B82A28"/>
    <w:rsid w:val="00B85E8F"/>
    <w:rsid w:val="00BB2EB9"/>
    <w:rsid w:val="00BD0C39"/>
    <w:rsid w:val="00BE561C"/>
    <w:rsid w:val="00BE5799"/>
    <w:rsid w:val="00BF1148"/>
    <w:rsid w:val="00C04A32"/>
    <w:rsid w:val="00C12E1B"/>
    <w:rsid w:val="00C14209"/>
    <w:rsid w:val="00C155FD"/>
    <w:rsid w:val="00C16491"/>
    <w:rsid w:val="00C170D0"/>
    <w:rsid w:val="00C2118F"/>
    <w:rsid w:val="00C52F65"/>
    <w:rsid w:val="00C5319B"/>
    <w:rsid w:val="00C53A3D"/>
    <w:rsid w:val="00C61B02"/>
    <w:rsid w:val="00C77657"/>
    <w:rsid w:val="00C94E0D"/>
    <w:rsid w:val="00CB7987"/>
    <w:rsid w:val="00CC1118"/>
    <w:rsid w:val="00CD4851"/>
    <w:rsid w:val="00CE5C36"/>
    <w:rsid w:val="00CF4501"/>
    <w:rsid w:val="00CF7165"/>
    <w:rsid w:val="00D012BC"/>
    <w:rsid w:val="00D0179E"/>
    <w:rsid w:val="00D03A2C"/>
    <w:rsid w:val="00D1154B"/>
    <w:rsid w:val="00D25946"/>
    <w:rsid w:val="00D36423"/>
    <w:rsid w:val="00D5793C"/>
    <w:rsid w:val="00D60B48"/>
    <w:rsid w:val="00D67CFB"/>
    <w:rsid w:val="00DA5598"/>
    <w:rsid w:val="00DB6252"/>
    <w:rsid w:val="00DC6955"/>
    <w:rsid w:val="00DD6D86"/>
    <w:rsid w:val="00DF4345"/>
    <w:rsid w:val="00DF5296"/>
    <w:rsid w:val="00E04B34"/>
    <w:rsid w:val="00E12D2B"/>
    <w:rsid w:val="00E13BC0"/>
    <w:rsid w:val="00E14879"/>
    <w:rsid w:val="00E15642"/>
    <w:rsid w:val="00E9225A"/>
    <w:rsid w:val="00E94B90"/>
    <w:rsid w:val="00EB1492"/>
    <w:rsid w:val="00EB4E9E"/>
    <w:rsid w:val="00ED2C50"/>
    <w:rsid w:val="00ED46F5"/>
    <w:rsid w:val="00EE4FAD"/>
    <w:rsid w:val="00F04E03"/>
    <w:rsid w:val="00F120BC"/>
    <w:rsid w:val="00F12F0D"/>
    <w:rsid w:val="00F208A9"/>
    <w:rsid w:val="00F211F3"/>
    <w:rsid w:val="00F32E05"/>
    <w:rsid w:val="00F360E0"/>
    <w:rsid w:val="00F55E85"/>
    <w:rsid w:val="00F56041"/>
    <w:rsid w:val="00F6542B"/>
    <w:rsid w:val="00F75F6B"/>
    <w:rsid w:val="00F832BA"/>
    <w:rsid w:val="00FA15B1"/>
    <w:rsid w:val="00FA54B2"/>
    <w:rsid w:val="00FB04AB"/>
    <w:rsid w:val="00FB4037"/>
    <w:rsid w:val="00FC01B8"/>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969418"/>
  <w15:docId w15:val="{BB6B1B8D-5E9B-4860-B96E-DAB856B2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opsomming cijfer"/>
    <w:basedOn w:val="Standaard"/>
    <w:link w:val="LijstalineaChar"/>
    <w:uiPriority w:val="34"/>
    <w:qFormat/>
    <w:rsid w:val="00842C50"/>
    <w:pPr>
      <w:ind w:left="720"/>
      <w:contextualSpacing/>
    </w:pPr>
  </w:style>
  <w:style w:type="character" w:customStyle="1" w:styleId="LijstalineaChar">
    <w:name w:val="Lijstalinea Char"/>
    <w:aliases w:val="lijstStijl Char,opsomming cijfer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num" w:pos="993"/>
      </w:tabs>
    </w:pPr>
    <w:rPr>
      <w:rFonts w:ascii="Arial" w:hAnsi="Arial"/>
    </w:rPr>
  </w:style>
  <w:style w:type="paragraph" w:customStyle="1" w:styleId="ArialKop1">
    <w:name w:val="Arial Kop 1"/>
    <w:basedOn w:val="CalibriKop1"/>
    <w:qFormat/>
    <w:rsid w:val="009A57DE"/>
    <w:pPr>
      <w:tabs>
        <w:tab w:val="clear" w:pos="1000"/>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02-tussenkop">
    <w:name w:val="K02-tussenkop"/>
    <w:next w:val="Standaard"/>
    <w:qFormat/>
    <w:rsid w:val="00BB2EB9"/>
    <w:pPr>
      <w:spacing w:before="280"/>
    </w:pPr>
    <w:rPr>
      <w:rFonts w:ascii="Verdana" w:eastAsia="Calibri" w:hAnsi="Verdana"/>
      <w:b/>
      <w:sz w:val="24"/>
      <w:szCs w:val="22"/>
      <w:lang w:eastAsia="en-US"/>
    </w:rPr>
  </w:style>
  <w:style w:type="paragraph" w:customStyle="1" w:styleId="xmsolistparagraph">
    <w:name w:val="x_msolistparagraph"/>
    <w:basedOn w:val="Standaard"/>
    <w:rsid w:val="00106BC1"/>
    <w:pPr>
      <w:spacing w:before="100" w:beforeAutospacing="1" w:after="100" w:afterAutospacing="1" w:line="240" w:lineRule="auto"/>
    </w:pPr>
    <w:rPr>
      <w:rFonts w:ascii="Times New Roman" w:hAnsi="Times New Roman"/>
      <w:sz w:val="24"/>
      <w:szCs w:val="24"/>
    </w:rPr>
  </w:style>
  <w:style w:type="table" w:customStyle="1" w:styleId="Tabelraster1">
    <w:name w:val="Tabelraster1"/>
    <w:basedOn w:val="Standaardtabel"/>
    <w:next w:val="Tabelraster"/>
    <w:uiPriority w:val="39"/>
    <w:rsid w:val="0065559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4F7E41"/>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E04B34"/>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B03F8"/>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F360E0"/>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39"/>
    <w:rsid w:val="00240FAC"/>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12C5B-B9FE-41CD-847A-CFAA014D9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1329</Words>
  <Characters>8105</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Wiese, Marco</dc:creator>
  <cp:lastModifiedBy>Jong, Paul de</cp:lastModifiedBy>
  <cp:revision>10</cp:revision>
  <dcterms:created xsi:type="dcterms:W3CDTF">2020-05-03T16:54:00Z</dcterms:created>
  <dcterms:modified xsi:type="dcterms:W3CDTF">2020-08-18T12:57:00Z</dcterms:modified>
</cp:coreProperties>
</file>