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3266" w14:textId="7C8A151B" w:rsidR="006863E0" w:rsidRDefault="006863E0" w:rsidP="006863E0">
      <w:pPr>
        <w:pStyle w:val="Kop10"/>
        <w:ind w:left="2160" w:hanging="2160"/>
        <w:rPr>
          <w:lang w:val="nl"/>
        </w:rPr>
      </w:pPr>
      <w:bookmarkStart w:id="0" w:name="_Toc350865346"/>
      <w:bookmarkStart w:id="1" w:name="_Toc352924888"/>
      <w:bookmarkStart w:id="2" w:name="_Toc123199028"/>
      <w:bookmarkStart w:id="3" w:name="_Toc285541208"/>
      <w:bookmarkStart w:id="4" w:name="_Toc285541677"/>
      <w:bookmarkStart w:id="5" w:name="_Toc285547218"/>
      <w:bookmarkStart w:id="6" w:name="_Toc289803634"/>
      <w:bookmarkStart w:id="7" w:name="_Toc313527873"/>
      <w:bookmarkStart w:id="8" w:name="_Toc313528576"/>
      <w:bookmarkStart w:id="9" w:name="_Toc313528648"/>
      <w:bookmarkStart w:id="10" w:name="_Toc313535547"/>
      <w:bookmarkStart w:id="11" w:name="_Toc338065476"/>
      <w:bookmarkStart w:id="12" w:name="_Toc338081645"/>
      <w:bookmarkStart w:id="13" w:name="_Toc347476624"/>
      <w:bookmarkStart w:id="14" w:name="_Toc350513676"/>
      <w:bookmarkStart w:id="15" w:name="_Toc350514016"/>
      <w:bookmarkStart w:id="16" w:name="_Toc350514115"/>
      <w:bookmarkStart w:id="17" w:name="_Toc350860232"/>
      <w:r w:rsidRPr="006863E0">
        <w:rPr>
          <w:color w:val="auto"/>
          <w:lang w:val="nl"/>
        </w:rPr>
        <w:t>Bijlage 4</w:t>
      </w:r>
      <w:r w:rsidRPr="006863E0">
        <w:rPr>
          <w:color w:val="auto"/>
          <w:lang w:val="nl"/>
        </w:rPr>
        <w:tab/>
      </w:r>
      <w:bookmarkEnd w:id="0"/>
      <w:bookmarkEnd w:id="1"/>
      <w:r w:rsidRPr="006863E0">
        <w:rPr>
          <w:color w:val="auto"/>
          <w:lang w:val="nl"/>
        </w:rPr>
        <w:t>Programma van eisen</w:t>
      </w:r>
      <w:bookmarkEnd w:id="2"/>
      <w:r w:rsidRPr="006863E0">
        <w:rPr>
          <w:color w:val="auto"/>
          <w:lang w:val="nl"/>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BC5BC4" w:rsidRPr="00BC5BC4">
        <w:rPr>
          <w:color w:val="auto"/>
          <w:highlight w:val="yellow"/>
          <w:lang w:val="nl"/>
        </w:rPr>
        <w:t>– aangepast n.a.v. NvI</w:t>
      </w:r>
      <w:r w:rsidR="00BC5BC4">
        <w:rPr>
          <w:color w:val="auto"/>
          <w:lang w:val="nl"/>
        </w:rPr>
        <w:t xml:space="preserve"> </w:t>
      </w:r>
      <w:r w:rsidR="00BC5BC4" w:rsidRPr="00BC5BC4">
        <w:rPr>
          <w:color w:val="auto"/>
          <w:highlight w:val="yellow"/>
          <w:lang w:val="nl"/>
        </w:rPr>
        <w:t>(wijzigingen zijn geel gearceerd)</w:t>
      </w:r>
    </w:p>
    <w:p w14:paraId="5FC05C67" w14:textId="77777777" w:rsidR="006863E0" w:rsidRDefault="006863E0" w:rsidP="006863E0">
      <w:pPr>
        <w:rPr>
          <w:lang w:val="nl"/>
        </w:rPr>
      </w:pPr>
      <w:bookmarkStart w:id="18" w:name="_Hlk104544959"/>
      <w:bookmarkStart w:id="19" w:name="_Hlk106020197"/>
    </w:p>
    <w:p w14:paraId="71A5C417" w14:textId="77777777" w:rsidR="006863E0" w:rsidRPr="007308C2" w:rsidRDefault="006863E0" w:rsidP="006863E0">
      <w:r w:rsidRPr="007308C2">
        <w:t xml:space="preserve">In deze Bijlage </w:t>
      </w:r>
      <w:r>
        <w:t>is het Programma van eisen</w:t>
      </w:r>
      <w:r w:rsidRPr="007308C2">
        <w:t xml:space="preserve"> </w:t>
      </w:r>
      <w:r>
        <w:t xml:space="preserve">opgenomen. </w:t>
      </w:r>
      <w:r w:rsidRPr="007308C2">
        <w:t xml:space="preserve">Van Inschrijver wordt verwacht dat hij </w:t>
      </w:r>
      <w:r>
        <w:t>de eisen accepteert door deze Bijlage te ondertekenen en bij te voegen bij de Inschrijving.</w:t>
      </w:r>
    </w:p>
    <w:p w14:paraId="7F609D0A" w14:textId="77777777" w:rsidR="006863E0" w:rsidRPr="008C1E65" w:rsidRDefault="006863E0" w:rsidP="006863E0">
      <w:pPr>
        <w:rPr>
          <w:highlight w:val="yellow"/>
          <w:lang w:val="nl"/>
        </w:rPr>
      </w:pPr>
    </w:p>
    <w:tbl>
      <w:tblPr>
        <w:tblW w:w="8364" w:type="dxa"/>
        <w:tblInd w:w="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36"/>
        <w:gridCol w:w="7428"/>
      </w:tblGrid>
      <w:tr w:rsidR="006863E0" w:rsidRPr="004A4317" w14:paraId="2E344A84" w14:textId="77777777" w:rsidTr="00F14A4C">
        <w:tc>
          <w:tcPr>
            <w:tcW w:w="936" w:type="dxa"/>
            <w:tcBorders>
              <w:bottom w:val="single" w:sz="8" w:space="0" w:color="4F81BD"/>
            </w:tcBorders>
            <w:shd w:val="clear" w:color="auto" w:fill="4F81BD"/>
          </w:tcPr>
          <w:p w14:paraId="38757E0C" w14:textId="77777777" w:rsidR="006863E0" w:rsidRPr="00BC59CB" w:rsidRDefault="006863E0" w:rsidP="00F14A4C">
            <w:pPr>
              <w:spacing w:before="90" w:after="54" w:line="312" w:lineRule="auto"/>
              <w:jc w:val="center"/>
              <w:rPr>
                <w:b/>
                <w:bCs/>
                <w:color w:val="FFFFFF"/>
              </w:rPr>
            </w:pPr>
            <w:bookmarkStart w:id="20" w:name="_Hlk106348333"/>
            <w:r w:rsidRPr="00BC59CB">
              <w:rPr>
                <w:b/>
                <w:bCs/>
                <w:color w:val="FFFFFF"/>
              </w:rPr>
              <w:t>Nummer</w:t>
            </w:r>
          </w:p>
        </w:tc>
        <w:tc>
          <w:tcPr>
            <w:tcW w:w="7428" w:type="dxa"/>
            <w:shd w:val="clear" w:color="auto" w:fill="4F81BD"/>
          </w:tcPr>
          <w:p w14:paraId="0E715E1D" w14:textId="77777777" w:rsidR="006863E0" w:rsidRPr="00BC59CB" w:rsidRDefault="006863E0" w:rsidP="00F14A4C">
            <w:pPr>
              <w:spacing w:before="90" w:after="54" w:line="312" w:lineRule="auto"/>
              <w:jc w:val="center"/>
              <w:rPr>
                <w:b/>
                <w:bCs/>
                <w:color w:val="FFFFFF"/>
              </w:rPr>
            </w:pPr>
            <w:r>
              <w:rPr>
                <w:b/>
                <w:bCs/>
                <w:color w:val="FFFFFF"/>
              </w:rPr>
              <w:t>Algemene e</w:t>
            </w:r>
            <w:r w:rsidRPr="00BC59CB">
              <w:rPr>
                <w:b/>
                <w:bCs/>
                <w:color w:val="FFFFFF"/>
              </w:rPr>
              <w:t>is</w:t>
            </w:r>
            <w:r>
              <w:rPr>
                <w:b/>
                <w:bCs/>
                <w:color w:val="FFFFFF"/>
              </w:rPr>
              <w:t>en</w:t>
            </w:r>
          </w:p>
        </w:tc>
      </w:tr>
      <w:tr w:rsidR="006863E0" w:rsidRPr="004A4317" w14:paraId="5A6371CF" w14:textId="77777777" w:rsidTr="00F14A4C">
        <w:tc>
          <w:tcPr>
            <w:tcW w:w="936" w:type="dxa"/>
            <w:shd w:val="clear" w:color="auto" w:fill="8DB3E2"/>
          </w:tcPr>
          <w:p w14:paraId="271B6479" w14:textId="77777777" w:rsidR="006863E0" w:rsidRPr="004A4317" w:rsidRDefault="006863E0" w:rsidP="006863E0">
            <w:pPr>
              <w:numPr>
                <w:ilvl w:val="0"/>
                <w:numId w:val="1"/>
              </w:numPr>
              <w:tabs>
                <w:tab w:val="clear" w:pos="-567"/>
                <w:tab w:val="clear" w:pos="720"/>
                <w:tab w:val="num" w:pos="426"/>
              </w:tabs>
              <w:spacing w:before="90" w:after="54" w:line="312" w:lineRule="auto"/>
              <w:ind w:left="567"/>
            </w:pPr>
          </w:p>
        </w:tc>
        <w:tc>
          <w:tcPr>
            <w:tcW w:w="7428" w:type="dxa"/>
          </w:tcPr>
          <w:p w14:paraId="60EA4A79" w14:textId="77777777" w:rsidR="006863E0" w:rsidRPr="00153D54" w:rsidRDefault="006863E0" w:rsidP="00F14A4C">
            <w:pPr>
              <w:rPr>
                <w:spacing w:val="-2"/>
              </w:rPr>
            </w:pPr>
            <w:r>
              <w:rPr>
                <w:spacing w:val="-2"/>
              </w:rPr>
              <w:t>Contractant</w:t>
            </w:r>
            <w:r w:rsidRPr="00153D54">
              <w:rPr>
                <w:spacing w:val="-2"/>
              </w:rPr>
              <w:t xml:space="preserve"> is gehouden om</w:t>
            </w:r>
            <w:r>
              <w:rPr>
                <w:spacing w:val="-2"/>
              </w:rPr>
              <w:t xml:space="preserve"> zich bij de uitvoering van de O</w:t>
            </w:r>
            <w:r w:rsidRPr="00153D54">
              <w:rPr>
                <w:spacing w:val="-2"/>
              </w:rPr>
              <w:t xml:space="preserve">pdracht te houden aan alle geldende regelgeving. </w:t>
            </w:r>
            <w:r>
              <w:rPr>
                <w:spacing w:val="-2"/>
              </w:rPr>
              <w:t>Alle e</w:t>
            </w:r>
            <w:r w:rsidRPr="00153D54">
              <w:rPr>
                <w:spacing w:val="-2"/>
              </w:rPr>
              <w:t xml:space="preserve">ventuele schade die volgt uit het niet naleven van wetgeving zal door de </w:t>
            </w:r>
            <w:r>
              <w:rPr>
                <w:spacing w:val="-2"/>
              </w:rPr>
              <w:t>Contractant worden vergoed aan de G</w:t>
            </w:r>
            <w:r w:rsidRPr="00153D54">
              <w:rPr>
                <w:spacing w:val="-2"/>
              </w:rPr>
              <w:t xml:space="preserve">emeente. </w:t>
            </w:r>
          </w:p>
          <w:p w14:paraId="1737FFF7" w14:textId="77777777" w:rsidR="006863E0" w:rsidRPr="009353A6" w:rsidRDefault="006863E0" w:rsidP="00F14A4C">
            <w:pPr>
              <w:rPr>
                <w:spacing w:val="-2"/>
              </w:rPr>
            </w:pPr>
            <w:r w:rsidRPr="00153D54">
              <w:rPr>
                <w:spacing w:val="-2"/>
              </w:rPr>
              <w:t xml:space="preserve">Indien tijdens de uitvoering van de opdracht gebruik </w:t>
            </w:r>
            <w:r>
              <w:rPr>
                <w:spacing w:val="-2"/>
              </w:rPr>
              <w:t>wordt</w:t>
            </w:r>
            <w:r w:rsidRPr="00153D54">
              <w:rPr>
                <w:spacing w:val="-2"/>
              </w:rPr>
              <w:t xml:space="preserve"> gemaakt van werknemers die volgens de Wet Arbeid Vreemdelingen (WAV) niet bevoegd zijn om in Nederland te werken en de </w:t>
            </w:r>
            <w:r>
              <w:rPr>
                <w:spacing w:val="-2"/>
              </w:rPr>
              <w:t>G</w:t>
            </w:r>
            <w:r w:rsidRPr="00153D54">
              <w:rPr>
                <w:spacing w:val="-2"/>
              </w:rPr>
              <w:t xml:space="preserve">emeente wegens het brede werkgeversbegrip in deze wet wordt beboet, zal </w:t>
            </w:r>
            <w:r>
              <w:rPr>
                <w:spacing w:val="-2"/>
              </w:rPr>
              <w:t>Contractant de boete welke de G</w:t>
            </w:r>
            <w:r w:rsidRPr="00153D54">
              <w:rPr>
                <w:spacing w:val="-2"/>
              </w:rPr>
              <w:t>emeente wordt opgelegd vergoeden</w:t>
            </w:r>
            <w:r>
              <w:rPr>
                <w:spacing w:val="-2"/>
              </w:rPr>
              <w:t xml:space="preserve"> aan de Gemeente</w:t>
            </w:r>
            <w:r w:rsidRPr="00153D54">
              <w:rPr>
                <w:spacing w:val="-2"/>
              </w:rPr>
              <w:t xml:space="preserve">. </w:t>
            </w:r>
          </w:p>
        </w:tc>
      </w:tr>
      <w:tr w:rsidR="006863E0" w:rsidRPr="004A4317" w14:paraId="1D2D1682" w14:textId="77777777" w:rsidTr="00F14A4C">
        <w:tc>
          <w:tcPr>
            <w:tcW w:w="936" w:type="dxa"/>
            <w:shd w:val="clear" w:color="auto" w:fill="8DB3E2"/>
          </w:tcPr>
          <w:p w14:paraId="3411EC30" w14:textId="77777777" w:rsidR="006863E0" w:rsidRPr="004A4317" w:rsidRDefault="006863E0" w:rsidP="006863E0">
            <w:pPr>
              <w:numPr>
                <w:ilvl w:val="0"/>
                <w:numId w:val="1"/>
              </w:numPr>
              <w:tabs>
                <w:tab w:val="clear" w:pos="-567"/>
                <w:tab w:val="num" w:pos="426"/>
              </w:tabs>
              <w:spacing w:before="90" w:after="54" w:line="312" w:lineRule="auto"/>
              <w:ind w:left="567"/>
              <w:rPr>
                <w:rFonts w:cs="Tahoma"/>
              </w:rPr>
            </w:pPr>
          </w:p>
        </w:tc>
        <w:tc>
          <w:tcPr>
            <w:tcW w:w="7428" w:type="dxa"/>
          </w:tcPr>
          <w:p w14:paraId="2E9ECD0C" w14:textId="77777777" w:rsidR="006863E0" w:rsidRPr="00A90DE5" w:rsidRDefault="006863E0" w:rsidP="00F14A4C">
            <w:r w:rsidRPr="008E6998">
              <w:rPr>
                <w:rFonts w:cs="Arial"/>
              </w:rPr>
              <w:t xml:space="preserve">In het kader van Wet Aanpak Schijnconstructies (WAS) houdt </w:t>
            </w:r>
            <w:r>
              <w:rPr>
                <w:rFonts w:cs="Arial"/>
              </w:rPr>
              <w:t>Contractant</w:t>
            </w:r>
            <w:r w:rsidRPr="008E6998">
              <w:rPr>
                <w:rFonts w:cs="Arial"/>
              </w:rPr>
              <w:t xml:space="preserve"> zich bij de uitvoering van de Opdracht aan de geldende wet- en regelgeving op het gebied van arbeidsvoorwaarden en aan de CAO die voor zijn medewerkers van toepassing </w:t>
            </w:r>
            <w:r>
              <w:rPr>
                <w:rFonts w:cs="Arial"/>
              </w:rPr>
              <w:t>is</w:t>
            </w:r>
            <w:r w:rsidRPr="008E6998">
              <w:rPr>
                <w:rFonts w:cs="Arial"/>
              </w:rPr>
              <w:t xml:space="preserve">. </w:t>
            </w:r>
            <w:r>
              <w:rPr>
                <w:rFonts w:cs="Arial"/>
              </w:rPr>
              <w:t>Contractant</w:t>
            </w:r>
            <w:r w:rsidRPr="008E6998">
              <w:rPr>
                <w:rFonts w:cs="Arial"/>
              </w:rPr>
              <w:t xml:space="preserve"> vrijwaart </w:t>
            </w:r>
            <w:r>
              <w:rPr>
                <w:rFonts w:cs="Arial"/>
              </w:rPr>
              <w:t>de Gemeente</w:t>
            </w:r>
            <w:r w:rsidRPr="008E6998">
              <w:rPr>
                <w:rFonts w:cs="Arial"/>
              </w:rPr>
              <w:t xml:space="preserve"> voor alle aanspraken van derden die zij op grond van de Wet Aanpak Schijnconstructies he</w:t>
            </w:r>
            <w:r>
              <w:rPr>
                <w:rFonts w:cs="Arial"/>
              </w:rPr>
              <w:t>bben</w:t>
            </w:r>
            <w:r w:rsidRPr="008E6998">
              <w:rPr>
                <w:rFonts w:cs="Arial"/>
              </w:rPr>
              <w:t xml:space="preserve"> ingesteld.</w:t>
            </w:r>
          </w:p>
        </w:tc>
      </w:tr>
      <w:tr w:rsidR="006863E0" w:rsidRPr="004A4317" w14:paraId="1BB47FD0" w14:textId="77777777" w:rsidTr="00F14A4C">
        <w:tc>
          <w:tcPr>
            <w:tcW w:w="936" w:type="dxa"/>
            <w:shd w:val="clear" w:color="auto" w:fill="8DB3E2"/>
          </w:tcPr>
          <w:p w14:paraId="65C54833" w14:textId="77777777" w:rsidR="006863E0" w:rsidRPr="004A4317" w:rsidRDefault="006863E0" w:rsidP="006863E0">
            <w:pPr>
              <w:numPr>
                <w:ilvl w:val="0"/>
                <w:numId w:val="1"/>
              </w:numPr>
              <w:tabs>
                <w:tab w:val="clear" w:pos="-567"/>
                <w:tab w:val="num" w:pos="426"/>
              </w:tabs>
              <w:spacing w:before="90" w:after="54" w:line="312" w:lineRule="auto"/>
              <w:ind w:left="567"/>
              <w:rPr>
                <w:rFonts w:cs="Tahoma"/>
              </w:rPr>
            </w:pPr>
          </w:p>
        </w:tc>
        <w:tc>
          <w:tcPr>
            <w:tcW w:w="7428" w:type="dxa"/>
          </w:tcPr>
          <w:p w14:paraId="5C6FB799" w14:textId="77777777" w:rsidR="006863E0" w:rsidRDefault="006863E0" w:rsidP="00F14A4C">
            <w:pPr>
              <w:tabs>
                <w:tab w:val="left" w:pos="1080"/>
              </w:tabs>
              <w:rPr>
                <w:spacing w:val="-2"/>
              </w:rPr>
            </w:pPr>
            <w:r>
              <w:rPr>
                <w:spacing w:val="-2"/>
              </w:rPr>
              <w:t>Inschrijver verklaart het volgende:</w:t>
            </w:r>
          </w:p>
          <w:p w14:paraId="44E35813" w14:textId="77777777" w:rsidR="006863E0" w:rsidRDefault="006863E0" w:rsidP="00F14A4C">
            <w:pPr>
              <w:tabs>
                <w:tab w:val="left" w:pos="1080"/>
              </w:tabs>
              <w:rPr>
                <w:spacing w:val="-2"/>
              </w:rPr>
            </w:pPr>
          </w:p>
          <w:p w14:paraId="60B6B588" w14:textId="77777777" w:rsidR="006863E0" w:rsidRPr="000E0862" w:rsidRDefault="006863E0" w:rsidP="00F14A4C">
            <w:pPr>
              <w:tabs>
                <w:tab w:val="left" w:pos="1080"/>
              </w:tabs>
              <w:rPr>
                <w:spacing w:val="-2"/>
              </w:rPr>
            </w:pPr>
            <w:r w:rsidRPr="000E0862">
              <w:rPr>
                <w:spacing w:val="-2"/>
              </w:rPr>
              <w:t xml:space="preserve">Hierbij verklaar ik naar eer en geweten dat er geen sprake is van Russische betrokkenheid bij de uitvoering van deze overeenkomst die de drempels van artikel 5 </w:t>
            </w:r>
            <w:proofErr w:type="spellStart"/>
            <w:r w:rsidRPr="000E0862">
              <w:rPr>
                <w:spacing w:val="-2"/>
              </w:rPr>
              <w:t>duodecies</w:t>
            </w:r>
            <w:proofErr w:type="spellEnd"/>
            <w:r w:rsidRPr="000E0862">
              <w:rPr>
                <w:spacing w:val="-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C5EFA12" w14:textId="77777777" w:rsidR="006863E0" w:rsidRPr="000E0862" w:rsidRDefault="006863E0" w:rsidP="00F14A4C">
            <w:pPr>
              <w:tabs>
                <w:tab w:val="left" w:pos="1080"/>
              </w:tabs>
              <w:rPr>
                <w:spacing w:val="-2"/>
              </w:rPr>
            </w:pPr>
          </w:p>
          <w:p w14:paraId="42AC724F" w14:textId="77777777" w:rsidR="006863E0" w:rsidRPr="000E0862" w:rsidRDefault="006863E0" w:rsidP="00F14A4C">
            <w:pPr>
              <w:tabs>
                <w:tab w:val="left" w:pos="1080"/>
              </w:tabs>
              <w:rPr>
                <w:spacing w:val="-2"/>
              </w:rPr>
            </w:pPr>
            <w:r w:rsidRPr="000E0862">
              <w:rPr>
                <w:spacing w:val="-2"/>
              </w:rPr>
              <w:t>Ik verklaar in het bijzonder dat:</w:t>
            </w:r>
          </w:p>
          <w:p w14:paraId="6CAA1E82" w14:textId="77777777" w:rsidR="006863E0" w:rsidRPr="000E0862" w:rsidRDefault="006863E0" w:rsidP="00F14A4C">
            <w:pPr>
              <w:tabs>
                <w:tab w:val="left" w:pos="1080"/>
              </w:tabs>
              <w:rPr>
                <w:spacing w:val="-2"/>
              </w:rPr>
            </w:pPr>
            <w:r w:rsidRPr="000E0862">
              <w:rPr>
                <w:spacing w:val="-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5614AF3" w14:textId="77777777" w:rsidR="006863E0" w:rsidRPr="000E0862" w:rsidRDefault="006863E0" w:rsidP="00F14A4C">
            <w:pPr>
              <w:tabs>
                <w:tab w:val="left" w:pos="1080"/>
              </w:tabs>
              <w:rPr>
                <w:spacing w:val="-2"/>
              </w:rPr>
            </w:pPr>
            <w:r w:rsidRPr="000E0862">
              <w:rPr>
                <w:spacing w:val="-2"/>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10853182" w14:textId="77777777" w:rsidR="006863E0" w:rsidRPr="000E0862" w:rsidRDefault="006863E0" w:rsidP="00F14A4C">
            <w:pPr>
              <w:tabs>
                <w:tab w:val="left" w:pos="1080"/>
              </w:tabs>
              <w:rPr>
                <w:spacing w:val="-2"/>
              </w:rPr>
            </w:pPr>
            <w:r w:rsidRPr="000E0862">
              <w:rPr>
                <w:spacing w:val="-2"/>
              </w:rPr>
              <w:t>c) noch ik noch de onderneming die ik vertegenwoordig een (rechts)persoon (gevestigd in Rusland of een ander land) is die handelt in belang van of op aanwijzing van een Russische partij, zoals bedoeld onder a) en b);</w:t>
            </w:r>
          </w:p>
          <w:p w14:paraId="60C90AE9" w14:textId="77777777" w:rsidR="006863E0" w:rsidRPr="008E6998" w:rsidRDefault="006863E0" w:rsidP="00F14A4C">
            <w:pPr>
              <w:rPr>
                <w:rFonts w:cs="Arial"/>
              </w:rPr>
            </w:pPr>
            <w:r w:rsidRPr="000E0862">
              <w:rPr>
                <w:spacing w:val="-2"/>
              </w:rPr>
              <w:t>d) er geen onderaannemers, leveranciers of ondernemingen deelnemen wier capaciteit wordt ingeroepen door de opdrachtnemer die ik vertegenwoordig én die een aandeel hebben van meer dan 10% van de contractwaarde waarbij een situatie als onder a) t/m c) zich voordoet.</w:t>
            </w:r>
          </w:p>
        </w:tc>
      </w:tr>
    </w:tbl>
    <w:p w14:paraId="419E5F47" w14:textId="58589BED" w:rsidR="006863E0" w:rsidRDefault="006863E0" w:rsidP="006863E0">
      <w:pPr>
        <w:tabs>
          <w:tab w:val="clear" w:pos="-567"/>
          <w:tab w:val="left" w:pos="0"/>
        </w:tabs>
      </w:pPr>
    </w:p>
    <w:p w14:paraId="5A62BB52" w14:textId="18B92C08" w:rsidR="00BC5BC4" w:rsidRDefault="00BC5BC4" w:rsidP="006863E0">
      <w:pPr>
        <w:tabs>
          <w:tab w:val="clear" w:pos="-567"/>
          <w:tab w:val="left" w:pos="0"/>
        </w:tabs>
      </w:pPr>
    </w:p>
    <w:p w14:paraId="12DAF052" w14:textId="74424337" w:rsidR="00BC5BC4" w:rsidRDefault="00BC5BC4" w:rsidP="006863E0">
      <w:pPr>
        <w:tabs>
          <w:tab w:val="clear" w:pos="-567"/>
          <w:tab w:val="left" w:pos="0"/>
        </w:tabs>
      </w:pPr>
    </w:p>
    <w:p w14:paraId="2D19957C" w14:textId="77777777" w:rsidR="00BC5BC4" w:rsidRDefault="00BC5BC4" w:rsidP="006863E0">
      <w:pPr>
        <w:tabs>
          <w:tab w:val="clear" w:pos="-567"/>
          <w:tab w:val="left" w:pos="0"/>
        </w:tabs>
      </w:pPr>
    </w:p>
    <w:tbl>
      <w:tblPr>
        <w:tblW w:w="8364" w:type="dxa"/>
        <w:tblInd w:w="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28" w:type="dxa"/>
          <w:right w:w="28" w:type="dxa"/>
        </w:tblCellMar>
        <w:tblLook w:val="0000" w:firstRow="0" w:lastRow="0" w:firstColumn="0" w:lastColumn="0" w:noHBand="0" w:noVBand="0"/>
      </w:tblPr>
      <w:tblGrid>
        <w:gridCol w:w="936"/>
        <w:gridCol w:w="7428"/>
      </w:tblGrid>
      <w:tr w:rsidR="006863E0" w:rsidRPr="004A4317" w14:paraId="2834A639" w14:textId="77777777" w:rsidTr="00F14A4C">
        <w:tc>
          <w:tcPr>
            <w:tcW w:w="936" w:type="dxa"/>
            <w:tcBorders>
              <w:bottom w:val="single" w:sz="8" w:space="0" w:color="4F81BD"/>
            </w:tcBorders>
            <w:shd w:val="clear" w:color="auto" w:fill="4F81BD"/>
          </w:tcPr>
          <w:p w14:paraId="73BA00A1" w14:textId="77777777" w:rsidR="006863E0" w:rsidRPr="00BC59CB" w:rsidRDefault="006863E0" w:rsidP="00F14A4C">
            <w:pPr>
              <w:spacing w:before="90" w:after="54" w:line="312" w:lineRule="auto"/>
              <w:jc w:val="center"/>
              <w:rPr>
                <w:b/>
                <w:bCs/>
                <w:color w:val="FFFFFF"/>
              </w:rPr>
            </w:pPr>
            <w:r w:rsidRPr="00BC59CB">
              <w:rPr>
                <w:b/>
                <w:bCs/>
                <w:color w:val="FFFFFF"/>
              </w:rPr>
              <w:lastRenderedPageBreak/>
              <w:t>Nummer</w:t>
            </w:r>
          </w:p>
        </w:tc>
        <w:tc>
          <w:tcPr>
            <w:tcW w:w="7428" w:type="dxa"/>
            <w:shd w:val="clear" w:color="auto" w:fill="4F81BD"/>
          </w:tcPr>
          <w:p w14:paraId="41B71886" w14:textId="77777777" w:rsidR="006863E0" w:rsidRPr="00BC59CB" w:rsidRDefault="006863E0" w:rsidP="00F14A4C">
            <w:pPr>
              <w:spacing w:before="90" w:after="54" w:line="312" w:lineRule="auto"/>
              <w:jc w:val="center"/>
              <w:rPr>
                <w:b/>
                <w:bCs/>
                <w:color w:val="FFFFFF"/>
              </w:rPr>
            </w:pPr>
            <w:r>
              <w:rPr>
                <w:b/>
                <w:bCs/>
                <w:color w:val="FFFFFF"/>
              </w:rPr>
              <w:t>Uitvoeringse</w:t>
            </w:r>
            <w:r w:rsidRPr="00BC59CB">
              <w:rPr>
                <w:b/>
                <w:bCs/>
                <w:color w:val="FFFFFF"/>
              </w:rPr>
              <w:t>is</w:t>
            </w:r>
            <w:r>
              <w:rPr>
                <w:b/>
                <w:bCs/>
                <w:color w:val="FFFFFF"/>
              </w:rPr>
              <w:t>en</w:t>
            </w:r>
          </w:p>
        </w:tc>
      </w:tr>
      <w:tr w:rsidR="006863E0" w:rsidRPr="004A4317" w14:paraId="633CD4BC" w14:textId="77777777" w:rsidTr="00F14A4C">
        <w:tc>
          <w:tcPr>
            <w:tcW w:w="8364" w:type="dxa"/>
            <w:gridSpan w:val="2"/>
            <w:tcBorders>
              <w:bottom w:val="single" w:sz="8" w:space="0" w:color="4F81BD"/>
            </w:tcBorders>
            <w:shd w:val="clear" w:color="auto" w:fill="8DB3E2"/>
          </w:tcPr>
          <w:p w14:paraId="06D98E82" w14:textId="77777777" w:rsidR="006863E0" w:rsidRDefault="006863E0" w:rsidP="00F14A4C">
            <w:pPr>
              <w:spacing w:line="312" w:lineRule="auto"/>
              <w:rPr>
                <w:b/>
                <w:bCs/>
                <w:color w:val="FFFFFF"/>
              </w:rPr>
            </w:pPr>
            <w:r w:rsidRPr="005C75D4">
              <w:rPr>
                <w:b/>
                <w:bCs/>
              </w:rPr>
              <w:t xml:space="preserve">Algemene </w:t>
            </w:r>
            <w:r>
              <w:rPr>
                <w:b/>
                <w:bCs/>
              </w:rPr>
              <w:t>uitvoerings</w:t>
            </w:r>
            <w:r w:rsidRPr="005C75D4">
              <w:rPr>
                <w:b/>
                <w:bCs/>
              </w:rPr>
              <w:t>eisen</w:t>
            </w:r>
          </w:p>
        </w:tc>
      </w:tr>
      <w:tr w:rsidR="006863E0" w:rsidRPr="004A4317" w14:paraId="1230BE83" w14:textId="77777777" w:rsidTr="00F14A4C">
        <w:tc>
          <w:tcPr>
            <w:tcW w:w="936" w:type="dxa"/>
            <w:shd w:val="clear" w:color="auto" w:fill="8DB3E2"/>
          </w:tcPr>
          <w:p w14:paraId="2FBA2363" w14:textId="77777777" w:rsidR="006863E0" w:rsidRPr="00942C5F" w:rsidRDefault="006863E0" w:rsidP="006863E0">
            <w:pPr>
              <w:pStyle w:val="Lijstalinea"/>
              <w:numPr>
                <w:ilvl w:val="0"/>
                <w:numId w:val="2"/>
              </w:numPr>
              <w:tabs>
                <w:tab w:val="clear" w:pos="-567"/>
              </w:tabs>
              <w:spacing w:before="90" w:after="54" w:line="312" w:lineRule="auto"/>
              <w:ind w:left="567"/>
              <w:rPr>
                <w:rFonts w:cs="Tahoma"/>
              </w:rPr>
            </w:pPr>
          </w:p>
        </w:tc>
        <w:tc>
          <w:tcPr>
            <w:tcW w:w="7428" w:type="dxa"/>
            <w:vAlign w:val="center"/>
          </w:tcPr>
          <w:p w14:paraId="12EC66CF" w14:textId="77777777" w:rsidR="006863E0" w:rsidRPr="004A4317" w:rsidRDefault="006863E0" w:rsidP="00F14A4C">
            <w:pPr>
              <w:tabs>
                <w:tab w:val="left" w:pos="1080"/>
              </w:tabs>
            </w:pPr>
            <w:r w:rsidRPr="00C447D0">
              <w:t>Alle door Contractant, voor uitvoering van deze Opdracht, in te zetten locaties, inrichtingen, voertuigen, installaties en machines voldoen aan de relevante in Nederland geldende regelgeving (alsmede de ARBO-regelgeving). Op eerste verzoek van de Gemeente kan Contractant voor een specifieke locatie, voertuig, installatie of machine aantonen dat deze aan alle relevante wet- en regelgeving voldoet.</w:t>
            </w:r>
          </w:p>
        </w:tc>
      </w:tr>
      <w:tr w:rsidR="006863E0" w:rsidRPr="004A4317" w14:paraId="41711EE1" w14:textId="77777777" w:rsidTr="00F14A4C">
        <w:tc>
          <w:tcPr>
            <w:tcW w:w="936" w:type="dxa"/>
            <w:shd w:val="clear" w:color="auto" w:fill="8DB3E2"/>
          </w:tcPr>
          <w:p w14:paraId="73095A9D" w14:textId="77777777" w:rsidR="006863E0" w:rsidRPr="00942C5F" w:rsidRDefault="006863E0" w:rsidP="006863E0">
            <w:pPr>
              <w:pStyle w:val="Lijstalinea"/>
              <w:numPr>
                <w:ilvl w:val="0"/>
                <w:numId w:val="2"/>
              </w:numPr>
              <w:tabs>
                <w:tab w:val="clear" w:pos="-567"/>
              </w:tabs>
              <w:spacing w:before="90" w:after="54" w:line="312" w:lineRule="auto"/>
              <w:ind w:left="567"/>
              <w:rPr>
                <w:rFonts w:cs="Tahoma"/>
              </w:rPr>
            </w:pPr>
          </w:p>
        </w:tc>
        <w:tc>
          <w:tcPr>
            <w:tcW w:w="7428" w:type="dxa"/>
            <w:vAlign w:val="center"/>
          </w:tcPr>
          <w:p w14:paraId="48E62DA0" w14:textId="77777777" w:rsidR="006863E0" w:rsidRPr="004A4317" w:rsidRDefault="006863E0" w:rsidP="00F14A4C">
            <w:pPr>
              <w:tabs>
                <w:tab w:val="left" w:pos="1080"/>
              </w:tabs>
            </w:pPr>
            <w:r w:rsidRPr="00C447D0">
              <w:t xml:space="preserve">Contractant gaat ermee akkoord dat de Gemeente geen verplichting heeft tot het beschikbaar stellen van een gegarandeerde, minimale of maximale hoeveelheid </w:t>
            </w:r>
            <w:r>
              <w:t>KCA</w:t>
            </w:r>
            <w:r w:rsidRPr="00C447D0">
              <w:t xml:space="preserve">. </w:t>
            </w:r>
          </w:p>
        </w:tc>
      </w:tr>
      <w:tr w:rsidR="006863E0" w:rsidRPr="004A4317" w14:paraId="400E2E4E" w14:textId="77777777" w:rsidTr="00F14A4C">
        <w:tc>
          <w:tcPr>
            <w:tcW w:w="936" w:type="dxa"/>
            <w:shd w:val="clear" w:color="auto" w:fill="8DB3E2"/>
          </w:tcPr>
          <w:p w14:paraId="2BBA69B8"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2976725D" w14:textId="77777777" w:rsidR="006863E0" w:rsidRPr="00A848AD" w:rsidRDefault="006863E0" w:rsidP="00F14A4C">
            <w:pPr>
              <w:tabs>
                <w:tab w:val="left" w:pos="1080"/>
              </w:tabs>
              <w:rPr>
                <w:spacing w:val="-2"/>
              </w:rPr>
            </w:pPr>
            <w:r w:rsidRPr="004E6F85">
              <w:t xml:space="preserve">Tot het KCA behoren de conform de Europese afvalstoffenlijst aangemerkte gevaarlijke afvalstoffen die in kleine hoeveelheden gescheiden vrijkomen. Gegeven de verscheidenheid aan afvalstoffen die als KCA kunnen worden aangeboden is het niet mogelijk een gelimiteerd overzicht van </w:t>
            </w:r>
            <w:proofErr w:type="spellStart"/>
            <w:r w:rsidRPr="004E6F85">
              <w:t>Euralcodes</w:t>
            </w:r>
            <w:proofErr w:type="spellEnd"/>
            <w:r w:rsidRPr="004E6F85">
              <w:t xml:space="preserve"> te vermelden.</w:t>
            </w:r>
          </w:p>
        </w:tc>
      </w:tr>
      <w:tr w:rsidR="006863E0" w:rsidRPr="004A4317" w14:paraId="517EFF7A" w14:textId="77777777" w:rsidTr="00F14A4C">
        <w:tc>
          <w:tcPr>
            <w:tcW w:w="936" w:type="dxa"/>
            <w:shd w:val="clear" w:color="auto" w:fill="8DB3E2"/>
          </w:tcPr>
          <w:p w14:paraId="7B133BFA"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2BF0D743" w14:textId="77777777" w:rsidR="006863E0" w:rsidRPr="00A848AD" w:rsidRDefault="006863E0" w:rsidP="00F14A4C">
            <w:pPr>
              <w:tabs>
                <w:tab w:val="left" w:pos="1080"/>
              </w:tabs>
              <w:rPr>
                <w:spacing w:val="-2"/>
              </w:rPr>
            </w:pPr>
            <w:r>
              <w:t>Contractant</w:t>
            </w:r>
            <w:r w:rsidRPr="004E6F85">
              <w:t xml:space="preserve"> verwerkt de volledige hoeveelheid KCA (en alle deelstromen) die wordt ingeleverd op het Zelfbrengdepot.</w:t>
            </w:r>
          </w:p>
        </w:tc>
      </w:tr>
      <w:tr w:rsidR="006863E0" w:rsidRPr="004A4317" w14:paraId="2D1F6850" w14:textId="77777777" w:rsidTr="00F14A4C">
        <w:tc>
          <w:tcPr>
            <w:tcW w:w="936" w:type="dxa"/>
            <w:shd w:val="clear" w:color="auto" w:fill="8DB3E2"/>
          </w:tcPr>
          <w:p w14:paraId="101BD8DE"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175B858E" w14:textId="77777777" w:rsidR="006863E0" w:rsidRPr="00A848AD" w:rsidRDefault="006863E0" w:rsidP="00F14A4C">
            <w:pPr>
              <w:tabs>
                <w:tab w:val="left" w:pos="1080"/>
              </w:tabs>
              <w:rPr>
                <w:spacing w:val="-2"/>
              </w:rPr>
            </w:pPr>
            <w:r w:rsidRPr="004E6F85">
              <w:t xml:space="preserve">Van de </w:t>
            </w:r>
            <w:r>
              <w:t>Contractant</w:t>
            </w:r>
            <w:r w:rsidRPr="004E6F85">
              <w:t xml:space="preserve"> wordt verwacht dat deze een vaste contactpersoon aanstelt voor alle communicatie tussen de gemeente en </w:t>
            </w:r>
            <w:r>
              <w:t>Contractant</w:t>
            </w:r>
            <w:r w:rsidRPr="004E6F85">
              <w:t>. De gemeente stelt ook een vaste contactpersoon aan.</w:t>
            </w:r>
          </w:p>
        </w:tc>
      </w:tr>
      <w:tr w:rsidR="006863E0" w:rsidRPr="004A4317" w14:paraId="77C8545A" w14:textId="77777777" w:rsidTr="00F14A4C">
        <w:tc>
          <w:tcPr>
            <w:tcW w:w="936" w:type="dxa"/>
            <w:shd w:val="clear" w:color="auto" w:fill="8DB3E2"/>
          </w:tcPr>
          <w:p w14:paraId="28F182BB"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54310637" w14:textId="77777777" w:rsidR="006863E0" w:rsidRPr="00A848AD" w:rsidRDefault="006863E0" w:rsidP="00F14A4C">
            <w:pPr>
              <w:tabs>
                <w:tab w:val="left" w:pos="1080"/>
              </w:tabs>
              <w:rPr>
                <w:spacing w:val="-2"/>
              </w:rPr>
            </w:pPr>
            <w:r w:rsidRPr="004E6F85">
              <w:t xml:space="preserve">Medewerkers van </w:t>
            </w:r>
            <w:r>
              <w:t>Contractant</w:t>
            </w:r>
            <w:r w:rsidRPr="004E6F85">
              <w:t xml:space="preserve">, belast met de uitvoering van de werkzaamheden, dienen Nederlands te verstaan en te spreken. Daarnaast dienen zij te beschikken over de vereiste diploma’s om de werkzaamheden uit te kunnen voeren. Verder dienen de medewerkers zich te onthouden van het gebruik van alcohol en/of verdovende middelen. </w:t>
            </w:r>
          </w:p>
        </w:tc>
      </w:tr>
      <w:tr w:rsidR="006863E0" w:rsidRPr="004A4317" w14:paraId="078D700B" w14:textId="77777777" w:rsidTr="00F14A4C">
        <w:tc>
          <w:tcPr>
            <w:tcW w:w="936" w:type="dxa"/>
            <w:shd w:val="clear" w:color="auto" w:fill="8DB3E2"/>
          </w:tcPr>
          <w:p w14:paraId="5B5901DF"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00A9A78D" w14:textId="77777777" w:rsidR="006863E0" w:rsidRPr="00A848AD" w:rsidRDefault="006863E0" w:rsidP="00F14A4C">
            <w:pPr>
              <w:tabs>
                <w:tab w:val="left" w:pos="1080"/>
              </w:tabs>
              <w:rPr>
                <w:spacing w:val="-2"/>
              </w:rPr>
            </w:pPr>
            <w:r w:rsidRPr="004E6F85">
              <w:t xml:space="preserve">Het door </w:t>
            </w:r>
            <w:r>
              <w:t>Contractant</w:t>
            </w:r>
            <w:r w:rsidRPr="004E6F85">
              <w:t xml:space="preserve"> aangeboden tarief is ‘all-in’, dat wil zeggen dat alle kosten die hij meent te (moeten) maken bij de uitvoering van de dienstverlening, verdisconteerd zijn in het tarief per gewichtseenheid (kilo’s). Hieronder vallen dus in elk geval de kosten voor emballage, transport, </w:t>
            </w:r>
            <w:proofErr w:type="spellStart"/>
            <w:r w:rsidRPr="004E6F85">
              <w:t>bestickering</w:t>
            </w:r>
            <w:proofErr w:type="spellEnd"/>
            <w:r w:rsidRPr="004E6F85">
              <w:t xml:space="preserve">, personeel, verwerking, administratie, milieutoeslagen, facturatie, belastingen (behalve BTW). Anders gezegd: </w:t>
            </w:r>
            <w:r>
              <w:t>Contractant</w:t>
            </w:r>
            <w:r w:rsidRPr="004E6F85">
              <w:t xml:space="preserve"> stemt ermee in dat het door hem opgegeven tarief een all-in tarief per gewichtseenheid is</w:t>
            </w:r>
            <w:r>
              <w:t xml:space="preserve"> voor alle soorten af te voeren en te verwerken KCA</w:t>
            </w:r>
            <w:r w:rsidRPr="004E6F85">
              <w:t xml:space="preserve">. </w:t>
            </w:r>
          </w:p>
        </w:tc>
      </w:tr>
      <w:tr w:rsidR="006863E0" w:rsidRPr="004A4317" w14:paraId="7CA953D3" w14:textId="77777777" w:rsidTr="00F14A4C">
        <w:tc>
          <w:tcPr>
            <w:tcW w:w="936" w:type="dxa"/>
            <w:shd w:val="clear" w:color="auto" w:fill="8DB3E2"/>
          </w:tcPr>
          <w:p w14:paraId="581002BA"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vAlign w:val="center"/>
          </w:tcPr>
          <w:p w14:paraId="79458FC4" w14:textId="77777777" w:rsidR="006863E0" w:rsidRPr="00A848AD" w:rsidRDefault="006863E0" w:rsidP="00F14A4C">
            <w:pPr>
              <w:tabs>
                <w:tab w:val="left" w:pos="1080"/>
              </w:tabs>
              <w:rPr>
                <w:spacing w:val="-2"/>
              </w:rPr>
            </w:pPr>
            <w:r w:rsidRPr="004E6F85">
              <w:t xml:space="preserve">De eenheidsprijs voor transport (incl. op- en overslag) en verwerking worden geïndexeerd conform de volgende CBS index: </w:t>
            </w:r>
            <w:bookmarkStart w:id="21" w:name="_Hlk122081569"/>
            <w:r w:rsidRPr="004E6F85">
              <w:t xml:space="preserve">Dienstenprijzen; 4941 Goederenvervoer over de weg 2015=100 CPA2008 </w:t>
            </w:r>
            <w:hyperlink r:id="rId5" w:anchor="/CBS/nl/dataset/83760NED/table?ts=1557988874255" w:history="1">
              <w:r w:rsidRPr="004E6F85">
                <w:rPr>
                  <w:rStyle w:val="Hyperlink"/>
                </w:rPr>
                <w:t>https://opendata.cbs.nl/statline/#/CBS/nl/dataset/83760NED/table?ts=1557988874255</w:t>
              </w:r>
            </w:hyperlink>
            <w:r w:rsidRPr="004E6F85">
              <w:t xml:space="preserve"> Als CBS de genoemde index gedurende de looptijd van het contract stopt zal Contractant een voorstel doen voor het toepassen van een vergelijkbare CBS index. De Gemeente controleert de voorgestelde aanpassing en verleent daarna al dan niet goedkeuring. </w:t>
            </w:r>
            <w:bookmarkEnd w:id="21"/>
          </w:p>
        </w:tc>
      </w:tr>
      <w:tr w:rsidR="006863E0" w:rsidRPr="004A4317" w14:paraId="3A877410" w14:textId="77777777" w:rsidTr="00F14A4C">
        <w:tc>
          <w:tcPr>
            <w:tcW w:w="936" w:type="dxa"/>
            <w:shd w:val="clear" w:color="auto" w:fill="8DB3E2"/>
          </w:tcPr>
          <w:p w14:paraId="0701CF26"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vAlign w:val="center"/>
          </w:tcPr>
          <w:p w14:paraId="6B74A444" w14:textId="77777777" w:rsidR="006863E0" w:rsidRDefault="006863E0" w:rsidP="00F14A4C">
            <w:pPr>
              <w:tabs>
                <w:tab w:val="left" w:pos="1080"/>
              </w:tabs>
            </w:pPr>
            <w:r>
              <w:t>H</w:t>
            </w:r>
            <w:r w:rsidRPr="004E6F85">
              <w:t>e</w:t>
            </w:r>
            <w:r>
              <w:t>t</w:t>
            </w:r>
            <w:r w:rsidRPr="004E6F85">
              <w:t xml:space="preserve"> door </w:t>
            </w:r>
            <w:r>
              <w:t>Contractant</w:t>
            </w:r>
            <w:r w:rsidRPr="004E6F85">
              <w:t xml:space="preserve"> afgegeven eenheid</w:t>
            </w:r>
            <w:r>
              <w:t>starief</w:t>
            </w:r>
            <w:r w:rsidRPr="004E6F85">
              <w:t xml:space="preserve"> voor transport (incl. op en overslag) en verwerking zijn geldig tot en </w:t>
            </w:r>
            <w:r w:rsidRPr="00823A2E">
              <w:t xml:space="preserve">met </w:t>
            </w:r>
            <w:r>
              <w:t>30</w:t>
            </w:r>
            <w:r w:rsidRPr="00823A2E">
              <w:t xml:space="preserve"> april 2024. Voor</w:t>
            </w:r>
            <w:r w:rsidRPr="004E6F85">
              <w:t xml:space="preserve"> de daaropvolgende jaren is een prijsindexatie van toepassing. Minimaal 1 maand voor de ingangsdatum van de nieuwe prijzen, moet de nieuwe eenheidsprijs schriftelijk zijn overeengekomen. </w:t>
            </w:r>
            <w:r w:rsidRPr="004E6F85">
              <w:br/>
              <w:t>Wijze van berekening:</w:t>
            </w:r>
          </w:p>
          <w:p w14:paraId="143BE936" w14:textId="77777777" w:rsidR="00BC5BC4" w:rsidRDefault="006863E0" w:rsidP="00F14A4C">
            <w:pPr>
              <w:tabs>
                <w:tab w:val="left" w:pos="1080"/>
              </w:tabs>
            </w:pPr>
            <w:r w:rsidRPr="004E6F85">
              <w:t xml:space="preserve">- Basis: het indexcijfer welke van toepassing was op het moment van de sluitingsdatum van de inschrijving. </w:t>
            </w:r>
            <w:r w:rsidRPr="004E6F85">
              <w:br/>
              <w:t>- Indexcijfer voor het nieuwe jaar: Het vastgestelde definitieve indexcijfer van het tweede kwartaal van het lopende jaar.</w:t>
            </w:r>
          </w:p>
          <w:p w14:paraId="74CEBF22" w14:textId="49887D4E" w:rsidR="006863E0" w:rsidRPr="00A848AD" w:rsidRDefault="006863E0" w:rsidP="00F14A4C">
            <w:pPr>
              <w:tabs>
                <w:tab w:val="left" w:pos="1080"/>
              </w:tabs>
              <w:rPr>
                <w:spacing w:val="-2"/>
              </w:rPr>
            </w:pPr>
            <w:r w:rsidRPr="004E6F85">
              <w:br/>
            </w:r>
            <w:r w:rsidRPr="004E6F85">
              <w:br/>
            </w:r>
            <w:r w:rsidRPr="004E6F85">
              <w:lastRenderedPageBreak/>
              <w:t>Voorbeeld 1, indexering 2023, hoger indexcijfer:</w:t>
            </w:r>
            <w:r w:rsidRPr="004E6F85">
              <w:br/>
              <w:t>- Ingangsdatum overeenkomst</w:t>
            </w:r>
            <w:r w:rsidRPr="00823A2E">
              <w:t xml:space="preserve">: 1 </w:t>
            </w:r>
            <w:r>
              <w:t>mei</w:t>
            </w:r>
            <w:r w:rsidRPr="00823A2E">
              <w:t xml:space="preserve"> 202</w:t>
            </w:r>
            <w:r>
              <w:t>3</w:t>
            </w:r>
            <w:r w:rsidRPr="004E6F85">
              <w:t xml:space="preserve">. </w:t>
            </w:r>
            <w:r w:rsidRPr="004E6F85">
              <w:br/>
              <w:t>- Inschrijfprijs: € 100.000</w:t>
            </w:r>
            <w:r w:rsidRPr="004E6F85">
              <w:br/>
              <w:t>- Indexcijfer 2e kwartaal 2022: 106,1</w:t>
            </w:r>
            <w:r w:rsidRPr="004E6F85">
              <w:br/>
              <w:t>- Indexcijfer 2e kwartaal 2023: 107,7</w:t>
            </w:r>
            <w:r w:rsidRPr="004E6F85">
              <w:br/>
              <w:t>- Nieuwe prijs voor 2023 o.b.v. index € 100.000 x (107,7/106,1) = € 101.508 (= 1,508 %).</w:t>
            </w:r>
            <w:r w:rsidRPr="004E6F85">
              <w:br/>
              <w:t xml:space="preserve"> </w:t>
            </w:r>
            <w:r w:rsidRPr="004E6F85">
              <w:br/>
              <w:t>Voorbeeld 2, indexering 2023, lager indexcijfer:</w:t>
            </w:r>
            <w:r w:rsidRPr="004E6F85">
              <w:br/>
              <w:t xml:space="preserve">- Ingangsdatum </w:t>
            </w:r>
            <w:r w:rsidRPr="00823A2E">
              <w:t xml:space="preserve">overeenkomst: 1 </w:t>
            </w:r>
            <w:r>
              <w:t>mei</w:t>
            </w:r>
            <w:r w:rsidRPr="00823A2E">
              <w:t xml:space="preserve"> 202</w:t>
            </w:r>
            <w:r>
              <w:t>3</w:t>
            </w:r>
            <w:r w:rsidRPr="00823A2E">
              <w:t>.</w:t>
            </w:r>
            <w:r w:rsidRPr="004E6F85">
              <w:br/>
              <w:t>- Inschrijfprijs: € 100.000</w:t>
            </w:r>
            <w:r w:rsidRPr="004E6F85">
              <w:br/>
              <w:t>- Indexcijfer 2e kwartaal 2022: 106,1</w:t>
            </w:r>
            <w:r w:rsidRPr="004E6F85">
              <w:br/>
              <w:t>- Indexcijfer 2e kwartaal 2023: 105,9</w:t>
            </w:r>
            <w:r w:rsidRPr="004E6F85">
              <w:br/>
              <w:t>- Nieuwe prijs voor 2023 o.b.v. index € 100.000 x (105,9/106,1) = € 99.811 (= 0,189%).</w:t>
            </w:r>
          </w:p>
        </w:tc>
      </w:tr>
      <w:tr w:rsidR="006863E0" w:rsidRPr="004A4317" w14:paraId="75DAAB22" w14:textId="77777777" w:rsidTr="00F14A4C">
        <w:tc>
          <w:tcPr>
            <w:tcW w:w="936" w:type="dxa"/>
            <w:shd w:val="clear" w:color="auto" w:fill="8DB3E2"/>
          </w:tcPr>
          <w:p w14:paraId="797C5543"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31DFE82C" w14:textId="77777777" w:rsidR="006863E0" w:rsidRPr="00A848AD" w:rsidRDefault="006863E0" w:rsidP="00F14A4C">
            <w:pPr>
              <w:tabs>
                <w:tab w:val="left" w:pos="1080"/>
              </w:tabs>
              <w:rPr>
                <w:spacing w:val="-2"/>
              </w:rPr>
            </w:pPr>
            <w:r>
              <w:t>Contractant</w:t>
            </w:r>
            <w:r w:rsidRPr="004E6F85">
              <w:t xml:space="preserve"> draagt maandelijks achteraf zorg voor een deugdelijke en tijdige facturatie. Dit houdt in dat facturen, voorzien van de wettelijke geleidebiljetten binnen 15 dagen na afloop van de maand ontvangen zijn door Gemeente. Ook dienen de facturen gespecificeerd te zijn op afvalsoort en afvoerdatum. Gemeente betaalt de facturen binnen 30 dagen, vooropgesteld dat deze goedgekeurd zijn. Daarnaast verstrekt </w:t>
            </w:r>
            <w:r>
              <w:t>Contractant</w:t>
            </w:r>
            <w:r w:rsidRPr="004E6F85">
              <w:t xml:space="preserve"> met de factuur een overzicht in Excel met daarop de afgevoerde KCA soorten en hoeveelheden, naar afvoerdatum. De weegbonnen dienen in overeenstemming te zijn met de gewichten die op de factuur vermeld worden. </w:t>
            </w:r>
          </w:p>
        </w:tc>
      </w:tr>
      <w:tr w:rsidR="006863E0" w:rsidRPr="004A4317" w14:paraId="0B210CB9" w14:textId="77777777" w:rsidTr="00F14A4C">
        <w:tc>
          <w:tcPr>
            <w:tcW w:w="936" w:type="dxa"/>
            <w:shd w:val="clear" w:color="auto" w:fill="8DB3E2"/>
          </w:tcPr>
          <w:p w14:paraId="60E43EAC"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vAlign w:val="center"/>
          </w:tcPr>
          <w:p w14:paraId="2F45281F" w14:textId="77777777" w:rsidR="006863E0" w:rsidRPr="00A848AD" w:rsidRDefault="006863E0" w:rsidP="00F14A4C">
            <w:pPr>
              <w:tabs>
                <w:tab w:val="left" w:pos="1080"/>
              </w:tabs>
              <w:rPr>
                <w:spacing w:val="-2"/>
              </w:rPr>
            </w:pPr>
            <w:r w:rsidRPr="004E6F85">
              <w:t xml:space="preserve">Contractant stuurt de factuur in een pdf-bestand als bijlage per e-mail naar </w:t>
            </w:r>
            <w:hyperlink r:id="rId6" w:history="1">
              <w:r w:rsidRPr="004E6F85">
                <w:rPr>
                  <w:rStyle w:val="Hyperlink"/>
                </w:rPr>
                <w:t>crediteuren@zoetermeer.nl</w:t>
              </w:r>
            </w:hyperlink>
            <w:r w:rsidRPr="004E6F85">
              <w:t xml:space="preserve">. In deze mail geen CC of BCC geadresseerden opnemen. Dit e-mailadres is uitsluitend bestemd voor toezending van facturen. Andere berichten worden niet gelezen of beantwoord. </w:t>
            </w:r>
            <w:bookmarkStart w:id="22" w:name="_Hlk122081824"/>
            <w:r w:rsidRPr="004E6F85">
              <w:t>Adressering voor factuur:</w:t>
            </w:r>
            <w:bookmarkEnd w:id="22"/>
            <w:r w:rsidRPr="004E6F85">
              <w:br/>
              <w:t>Gemeente Zoetermeer</w:t>
            </w:r>
            <w:r w:rsidRPr="004E6F85">
              <w:br/>
              <w:t>Afdeling F&amp;C - Facturen</w:t>
            </w:r>
            <w:r w:rsidRPr="004E6F85">
              <w:br/>
              <w:t>Postbus 15</w:t>
            </w:r>
            <w:r w:rsidRPr="004E6F85">
              <w:br/>
              <w:t>2700 AA ZOETERMEER</w:t>
            </w:r>
          </w:p>
        </w:tc>
      </w:tr>
      <w:tr w:rsidR="006863E0" w:rsidRPr="004A4317" w14:paraId="65282E50" w14:textId="77777777" w:rsidTr="00F14A4C">
        <w:tc>
          <w:tcPr>
            <w:tcW w:w="936" w:type="dxa"/>
            <w:shd w:val="clear" w:color="auto" w:fill="8DB3E2"/>
          </w:tcPr>
          <w:p w14:paraId="0DF1D86C"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vAlign w:val="center"/>
          </w:tcPr>
          <w:p w14:paraId="12085817" w14:textId="77777777" w:rsidR="006863E0" w:rsidRPr="00A848AD" w:rsidRDefault="006863E0" w:rsidP="00F14A4C">
            <w:pPr>
              <w:tabs>
                <w:tab w:val="left" w:pos="1080"/>
              </w:tabs>
              <w:rPr>
                <w:spacing w:val="-2"/>
              </w:rPr>
            </w:pPr>
            <w:r w:rsidRPr="004E6F85">
              <w:t>Alle facturen moeten voldoen aan de eisen die de Belastingdienst aan een factuur stelt.</w:t>
            </w:r>
          </w:p>
        </w:tc>
      </w:tr>
      <w:tr w:rsidR="006863E0" w:rsidRPr="004A4317" w14:paraId="0F68255F" w14:textId="77777777" w:rsidTr="00F14A4C">
        <w:tc>
          <w:tcPr>
            <w:tcW w:w="936" w:type="dxa"/>
            <w:shd w:val="clear" w:color="auto" w:fill="8DB3E2"/>
          </w:tcPr>
          <w:p w14:paraId="5185A999"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vAlign w:val="center"/>
          </w:tcPr>
          <w:p w14:paraId="0FC83A10" w14:textId="77777777" w:rsidR="006863E0" w:rsidRPr="00A848AD" w:rsidRDefault="006863E0" w:rsidP="00F14A4C">
            <w:pPr>
              <w:tabs>
                <w:tab w:val="left" w:pos="1080"/>
              </w:tabs>
              <w:rPr>
                <w:spacing w:val="-2"/>
              </w:rPr>
            </w:pPr>
            <w:r w:rsidRPr="004E6F85">
              <w:t>De elektronische facturen dienen te voldoen aan onderstaande eisen:</w:t>
            </w:r>
            <w:r w:rsidRPr="004E6F85">
              <w:br/>
              <w:t>- wettelijke regelgeving;</w:t>
            </w:r>
            <w:r w:rsidRPr="004E6F85">
              <w:br/>
              <w:t>- de factuur wordt aangeleverd in pdf formaat (op A4 formaat);</w:t>
            </w:r>
            <w:r w:rsidRPr="004E6F85">
              <w:br/>
              <w:t>- voorzien van verplichtingennummer en routenummer van de Gemeente (wordt door de Gemeente na definitieve gunning verstrekt);</w:t>
            </w:r>
            <w:r w:rsidRPr="004E6F85">
              <w:br/>
              <w:t>- de factuur wordt aangeleverd op het daartoe aangegeven e-mailadres van de Gemeente;</w:t>
            </w:r>
            <w:r w:rsidRPr="004E6F85">
              <w:br/>
              <w:t>- op de factuur is de naam van de Gemeente en het juiste factuuradres aangegeven;</w:t>
            </w:r>
            <w:r w:rsidRPr="004E6F85">
              <w:br/>
            </w:r>
            <w:bookmarkStart w:id="23" w:name="_Hlk93911884"/>
            <w:r w:rsidRPr="004E6F85">
              <w:t xml:space="preserve">- De aanleverdatum van </w:t>
            </w:r>
            <w:r>
              <w:t>het KCA</w:t>
            </w:r>
            <w:r w:rsidRPr="004E6F85">
              <w:t>;</w:t>
            </w:r>
            <w:r w:rsidRPr="004E6F85">
              <w:br/>
              <w:t xml:space="preserve">- Het tonnage </w:t>
            </w:r>
            <w:r>
              <w:t>KCA per afvalstroom</w:t>
            </w:r>
            <w:r w:rsidRPr="004E6F85">
              <w:t>;</w:t>
            </w:r>
            <w:r w:rsidRPr="004E6F85">
              <w:br/>
              <w:t xml:space="preserve">- </w:t>
            </w:r>
            <w:proofErr w:type="spellStart"/>
            <w:r w:rsidRPr="004E6F85">
              <w:t>Weegbonnummer</w:t>
            </w:r>
            <w:proofErr w:type="spellEnd"/>
            <w:r w:rsidRPr="004E6F85">
              <w:t>;</w:t>
            </w:r>
            <w:r w:rsidRPr="004E6F85">
              <w:br/>
              <w:t>- Verwerkingskosten (o.b.v. aangeleverd tonnage en de vaste eenheidsprijs voor verwerking)</w:t>
            </w:r>
            <w:r w:rsidRPr="004E6F85">
              <w:br/>
              <w:t xml:space="preserve">- Van toepassing zijnde BTW. </w:t>
            </w:r>
            <w:bookmarkEnd w:id="23"/>
            <w:r w:rsidRPr="004E6F85">
              <w:br/>
              <w:t>Zonder routenummer en verplichtingennummer kan de factuur niet in behandeling worden genomen. Indien van toepassing dient de getekende prestatieverklaring eveneens toegevoegd te worden.</w:t>
            </w:r>
          </w:p>
        </w:tc>
      </w:tr>
      <w:tr w:rsidR="006863E0" w:rsidRPr="004A4317" w14:paraId="26792407" w14:textId="77777777" w:rsidTr="00F14A4C">
        <w:tc>
          <w:tcPr>
            <w:tcW w:w="936" w:type="dxa"/>
            <w:shd w:val="clear" w:color="auto" w:fill="8DB3E2"/>
          </w:tcPr>
          <w:p w14:paraId="296E71C6"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vAlign w:val="center"/>
          </w:tcPr>
          <w:p w14:paraId="0D0F7E9E" w14:textId="77777777" w:rsidR="006863E0" w:rsidRPr="00A848AD" w:rsidRDefault="006863E0" w:rsidP="00F14A4C">
            <w:pPr>
              <w:tabs>
                <w:tab w:val="left" w:pos="1080"/>
              </w:tabs>
              <w:rPr>
                <w:spacing w:val="-2"/>
              </w:rPr>
            </w:pPr>
            <w:r w:rsidRPr="004E6F85">
              <w:t xml:space="preserve">Overschrijding van een of meer betalingstermijnen door de Gemeente of niet-betaling door de Gemeente van een of meer facturen op grond van vermoede inhoudelijke onjuistheid van die </w:t>
            </w:r>
            <w:proofErr w:type="spellStart"/>
            <w:r w:rsidRPr="004E6F85">
              <w:t>fact</w:t>
            </w:r>
            <w:proofErr w:type="spellEnd"/>
            <w:r w:rsidRPr="004E6F85">
              <w:t>(u)</w:t>
            </w:r>
            <w:proofErr w:type="spellStart"/>
            <w:r w:rsidRPr="004E6F85">
              <w:t>ur</w:t>
            </w:r>
            <w:proofErr w:type="spellEnd"/>
            <w:r w:rsidRPr="004E6F85">
              <w:t>(en) of van ondeugdelijkheid van de gefactureerde prestaties geeft Contractant niet het recht zijn prestaties op te schorten c.q. te beëindigen.</w:t>
            </w:r>
          </w:p>
        </w:tc>
      </w:tr>
      <w:tr w:rsidR="006863E0" w:rsidRPr="004A4317" w14:paraId="4A361645" w14:textId="77777777" w:rsidTr="00F14A4C">
        <w:tc>
          <w:tcPr>
            <w:tcW w:w="936" w:type="dxa"/>
            <w:shd w:val="clear" w:color="auto" w:fill="8DB3E2"/>
          </w:tcPr>
          <w:p w14:paraId="1067F5F7"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vAlign w:val="center"/>
          </w:tcPr>
          <w:p w14:paraId="7F53BAE6" w14:textId="77777777" w:rsidR="006863E0" w:rsidRPr="00A848AD" w:rsidRDefault="006863E0" w:rsidP="00F14A4C">
            <w:pPr>
              <w:tabs>
                <w:tab w:val="left" w:pos="1080"/>
              </w:tabs>
              <w:rPr>
                <w:spacing w:val="-2"/>
              </w:rPr>
            </w:pPr>
            <w:r w:rsidRPr="004E6F85">
              <w:t xml:space="preserve">In de door Contractant aan te leveren facturen moet de gevraagde informatie conform de gestelde eisen inzichtelijk zijn. De lay-out van de facturen mag conform standaarden van Contractant uitgevoerd worden. </w:t>
            </w:r>
          </w:p>
        </w:tc>
      </w:tr>
      <w:tr w:rsidR="006863E0" w:rsidRPr="004A4317" w14:paraId="34D2CF7B" w14:textId="77777777" w:rsidTr="00F14A4C">
        <w:tc>
          <w:tcPr>
            <w:tcW w:w="936" w:type="dxa"/>
            <w:shd w:val="clear" w:color="auto" w:fill="8DB3E2"/>
          </w:tcPr>
          <w:p w14:paraId="180133B4"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012943AE" w14:textId="77777777" w:rsidR="006863E0" w:rsidRPr="00C447D0" w:rsidRDefault="006863E0" w:rsidP="00F14A4C">
            <w:r>
              <w:t>Contractant</w:t>
            </w:r>
            <w:r w:rsidRPr="00C447D0">
              <w:t xml:space="preserve"> draagt zorg voor degelijke/ deugdelijke inzamelmiddelen conform de ADR-voorschriften voor het op het Zelfbrengdepot gescheiden inzamelen van het KCA. Deze inzamelmiddelen omvatten minimaal de volgende middelen: </w:t>
            </w:r>
          </w:p>
          <w:p w14:paraId="27162209" w14:textId="77777777" w:rsidR="006863E0" w:rsidRPr="00C447D0" w:rsidRDefault="006863E0" w:rsidP="006863E0">
            <w:pPr>
              <w:pStyle w:val="Lijstalinea"/>
              <w:numPr>
                <w:ilvl w:val="0"/>
                <w:numId w:val="3"/>
              </w:numPr>
              <w:tabs>
                <w:tab w:val="clear" w:pos="-567"/>
              </w:tabs>
              <w:spacing w:line="240" w:lineRule="auto"/>
              <w:contextualSpacing w:val="0"/>
            </w:pPr>
            <w:r w:rsidRPr="00C447D0">
              <w:t xml:space="preserve">Dekselvat kunststof 60 </w:t>
            </w:r>
            <w:proofErr w:type="spellStart"/>
            <w:r w:rsidRPr="00C447D0">
              <w:t>ltr</w:t>
            </w:r>
            <w:proofErr w:type="spellEnd"/>
            <w:r w:rsidRPr="00C447D0">
              <w:t xml:space="preserve"> (UN) (zelfde maat en merk)</w:t>
            </w:r>
          </w:p>
          <w:p w14:paraId="1724731D" w14:textId="77777777" w:rsidR="006863E0" w:rsidRPr="00C447D0" w:rsidRDefault="006863E0" w:rsidP="006863E0">
            <w:pPr>
              <w:pStyle w:val="Lijstalinea"/>
              <w:numPr>
                <w:ilvl w:val="0"/>
                <w:numId w:val="3"/>
              </w:numPr>
              <w:tabs>
                <w:tab w:val="clear" w:pos="-567"/>
              </w:tabs>
              <w:spacing w:line="240" w:lineRule="auto"/>
              <w:contextualSpacing w:val="0"/>
            </w:pPr>
            <w:r w:rsidRPr="00C447D0">
              <w:t xml:space="preserve">ASP container 800 </w:t>
            </w:r>
            <w:proofErr w:type="spellStart"/>
            <w:r w:rsidRPr="00C447D0">
              <w:t>ltr</w:t>
            </w:r>
            <w:proofErr w:type="spellEnd"/>
            <w:r w:rsidRPr="00C447D0">
              <w:t xml:space="preserve"> (UN)</w:t>
            </w:r>
          </w:p>
          <w:p w14:paraId="6C60D538" w14:textId="77777777" w:rsidR="006863E0" w:rsidRPr="00C447D0" w:rsidRDefault="006863E0" w:rsidP="006863E0">
            <w:pPr>
              <w:pStyle w:val="Lijstalinea"/>
              <w:numPr>
                <w:ilvl w:val="0"/>
                <w:numId w:val="3"/>
              </w:numPr>
              <w:tabs>
                <w:tab w:val="clear" w:pos="-567"/>
              </w:tabs>
              <w:spacing w:line="240" w:lineRule="auto"/>
              <w:contextualSpacing w:val="0"/>
            </w:pPr>
            <w:r w:rsidRPr="00C447D0">
              <w:t xml:space="preserve">Dekselvat metaal 200 </w:t>
            </w:r>
            <w:proofErr w:type="spellStart"/>
            <w:r w:rsidRPr="00C447D0">
              <w:t>ltr</w:t>
            </w:r>
            <w:proofErr w:type="spellEnd"/>
            <w:r w:rsidRPr="00C447D0">
              <w:t xml:space="preserve"> (UN)</w:t>
            </w:r>
          </w:p>
          <w:p w14:paraId="59E0B7F2" w14:textId="77777777" w:rsidR="006863E0" w:rsidRPr="00C447D0" w:rsidRDefault="006863E0" w:rsidP="006863E0">
            <w:pPr>
              <w:pStyle w:val="Lijstalinea"/>
              <w:numPr>
                <w:ilvl w:val="0"/>
                <w:numId w:val="3"/>
              </w:numPr>
              <w:tabs>
                <w:tab w:val="clear" w:pos="-567"/>
              </w:tabs>
              <w:spacing w:line="240" w:lineRule="auto"/>
              <w:contextualSpacing w:val="0"/>
            </w:pPr>
            <w:r w:rsidRPr="00C447D0">
              <w:t xml:space="preserve">Ziekenhuisvat 60 </w:t>
            </w:r>
            <w:proofErr w:type="spellStart"/>
            <w:r w:rsidRPr="00C447D0">
              <w:t>ltr</w:t>
            </w:r>
            <w:proofErr w:type="spellEnd"/>
            <w:r w:rsidRPr="00C447D0">
              <w:t xml:space="preserve"> (UN) (</w:t>
            </w:r>
            <w:proofErr w:type="spellStart"/>
            <w:r w:rsidRPr="00C447D0">
              <w:t>Wiva</w:t>
            </w:r>
            <w:proofErr w:type="spellEnd"/>
            <w:r w:rsidRPr="00C447D0">
              <w:t xml:space="preserve"> of gelijkwaardig)</w:t>
            </w:r>
          </w:p>
          <w:p w14:paraId="1CFDA50B" w14:textId="77777777" w:rsidR="006863E0" w:rsidRPr="00C447D0" w:rsidRDefault="006863E0" w:rsidP="006863E0">
            <w:pPr>
              <w:pStyle w:val="Lijstalinea"/>
              <w:numPr>
                <w:ilvl w:val="0"/>
                <w:numId w:val="3"/>
              </w:numPr>
              <w:tabs>
                <w:tab w:val="clear" w:pos="-567"/>
              </w:tabs>
              <w:spacing w:line="240" w:lineRule="auto"/>
              <w:contextualSpacing w:val="0"/>
            </w:pPr>
            <w:r w:rsidRPr="00C447D0">
              <w:t xml:space="preserve">Doos 60 </w:t>
            </w:r>
            <w:proofErr w:type="spellStart"/>
            <w:r w:rsidRPr="00C447D0">
              <w:t>ltr</w:t>
            </w:r>
            <w:proofErr w:type="spellEnd"/>
            <w:r w:rsidRPr="00C447D0">
              <w:t xml:space="preserve"> (UN)</w:t>
            </w:r>
          </w:p>
          <w:p w14:paraId="49B16093" w14:textId="77777777" w:rsidR="006863E0" w:rsidRPr="004E6F85" w:rsidRDefault="006863E0" w:rsidP="00F14A4C">
            <w:pPr>
              <w:tabs>
                <w:tab w:val="left" w:pos="1080"/>
              </w:tabs>
            </w:pPr>
            <w:r w:rsidRPr="00C447D0">
              <w:t xml:space="preserve">Alleen in overleg met en met instemming van Gemeente mag hij hiervan afwijken. </w:t>
            </w:r>
          </w:p>
        </w:tc>
      </w:tr>
      <w:tr w:rsidR="006863E0" w:rsidRPr="004A4317" w14:paraId="2600F857" w14:textId="77777777" w:rsidTr="00F14A4C">
        <w:tc>
          <w:tcPr>
            <w:tcW w:w="936" w:type="dxa"/>
            <w:shd w:val="clear" w:color="auto" w:fill="8DB3E2"/>
          </w:tcPr>
          <w:p w14:paraId="166E60A0"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237DA3C8" w14:textId="77777777" w:rsidR="006863E0" w:rsidRPr="004E6F85" w:rsidRDefault="006863E0" w:rsidP="00F14A4C">
            <w:pPr>
              <w:tabs>
                <w:tab w:val="left" w:pos="1080"/>
              </w:tabs>
            </w:pPr>
            <w:r w:rsidRPr="00C447D0">
              <w:t xml:space="preserve">Onder normale omstandigheden is het aantal – geheel of gedeeltelijk gevulde - inzamelmiddelen dat afgehaald wordt, gelijk aan het aantal lege inzamelmiddelen dat gebracht wordt. Om dit mogelijk te maken, is er vooraf – zoals de frequentie nu aangeeft - wekelijks contact tussen de medewerkers van de afdeling Afvalinzameling en de huidige </w:t>
            </w:r>
            <w:r>
              <w:t>Contractant</w:t>
            </w:r>
            <w:r w:rsidRPr="00C447D0">
              <w:t>.</w:t>
            </w:r>
          </w:p>
        </w:tc>
      </w:tr>
      <w:tr w:rsidR="006863E0" w:rsidRPr="004A4317" w14:paraId="3806E4A6" w14:textId="77777777" w:rsidTr="00F14A4C">
        <w:tc>
          <w:tcPr>
            <w:tcW w:w="936" w:type="dxa"/>
            <w:shd w:val="clear" w:color="auto" w:fill="8DB3E2"/>
          </w:tcPr>
          <w:p w14:paraId="0E43DC6D"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5C6C0BA0" w14:textId="77777777" w:rsidR="006863E0" w:rsidRPr="004E6F85" w:rsidRDefault="006863E0" w:rsidP="00F14A4C">
            <w:pPr>
              <w:tabs>
                <w:tab w:val="left" w:pos="1080"/>
              </w:tabs>
            </w:pPr>
            <w:r>
              <w:t>Contractant</w:t>
            </w:r>
            <w:r w:rsidRPr="00C447D0">
              <w:t xml:space="preserve"> draagt – indien Gemeente dit verlangt – zorg voor de wettelijk verplichte afvalstroomnummers voor de afvoer van het KCA. </w:t>
            </w:r>
          </w:p>
        </w:tc>
      </w:tr>
      <w:tr w:rsidR="006863E0" w:rsidRPr="004A4317" w14:paraId="69483FA1" w14:textId="77777777" w:rsidTr="00F14A4C">
        <w:tc>
          <w:tcPr>
            <w:tcW w:w="936" w:type="dxa"/>
            <w:shd w:val="clear" w:color="auto" w:fill="8DB3E2"/>
          </w:tcPr>
          <w:p w14:paraId="7B7E80E1"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3F232A01" w14:textId="77777777" w:rsidR="006863E0" w:rsidRPr="00EF16D6" w:rsidRDefault="006863E0" w:rsidP="00F14A4C">
            <w:pPr>
              <w:pStyle w:val="Default"/>
              <w:rPr>
                <w:rFonts w:ascii="Arial" w:hAnsi="Arial" w:cs="Arial"/>
                <w:sz w:val="20"/>
                <w:szCs w:val="20"/>
              </w:rPr>
            </w:pPr>
            <w:r w:rsidRPr="00EF16D6">
              <w:rPr>
                <w:rFonts w:ascii="Arial" w:hAnsi="Arial" w:cs="Arial"/>
                <w:sz w:val="20"/>
                <w:szCs w:val="20"/>
              </w:rPr>
              <w:t xml:space="preserve">Contractant draagt zorg voor deugdelijke stickers die voldoen aan de wettelijke eisen en levert deze met de lege emballage aan Gemeente. Deze bevatten minimaal de volgende zaken: </w:t>
            </w:r>
          </w:p>
          <w:p w14:paraId="430F425A" w14:textId="77777777" w:rsidR="006863E0" w:rsidRPr="00EF16D6" w:rsidRDefault="006863E0" w:rsidP="006863E0">
            <w:pPr>
              <w:pStyle w:val="Default"/>
              <w:numPr>
                <w:ilvl w:val="1"/>
                <w:numId w:val="4"/>
              </w:numPr>
              <w:tabs>
                <w:tab w:val="clear" w:pos="1440"/>
                <w:tab w:val="num" w:pos="1080"/>
              </w:tabs>
              <w:ind w:left="458"/>
              <w:rPr>
                <w:rFonts w:ascii="Arial" w:hAnsi="Arial" w:cs="Arial"/>
                <w:sz w:val="20"/>
                <w:szCs w:val="20"/>
              </w:rPr>
            </w:pPr>
            <w:r w:rsidRPr="00EF16D6">
              <w:rPr>
                <w:rFonts w:ascii="Arial" w:hAnsi="Arial" w:cs="Arial"/>
                <w:sz w:val="20"/>
                <w:szCs w:val="20"/>
              </w:rPr>
              <w:t xml:space="preserve">Gevarenklasse UN nummer; </w:t>
            </w:r>
          </w:p>
          <w:p w14:paraId="3B71564E" w14:textId="77777777" w:rsidR="006863E0" w:rsidRPr="00EF16D6" w:rsidRDefault="006863E0" w:rsidP="006863E0">
            <w:pPr>
              <w:pStyle w:val="Default"/>
              <w:numPr>
                <w:ilvl w:val="1"/>
                <w:numId w:val="4"/>
              </w:numPr>
              <w:tabs>
                <w:tab w:val="clear" w:pos="1440"/>
                <w:tab w:val="num" w:pos="1080"/>
              </w:tabs>
              <w:ind w:left="458"/>
              <w:rPr>
                <w:rFonts w:ascii="Arial" w:hAnsi="Arial" w:cs="Arial"/>
                <w:sz w:val="20"/>
                <w:szCs w:val="20"/>
              </w:rPr>
            </w:pPr>
            <w:r w:rsidRPr="00EF16D6">
              <w:rPr>
                <w:rFonts w:ascii="Arial" w:hAnsi="Arial" w:cs="Arial"/>
                <w:sz w:val="20"/>
                <w:szCs w:val="20"/>
              </w:rPr>
              <w:t xml:space="preserve">Inhoud van de emballage, soort KCA; </w:t>
            </w:r>
          </w:p>
          <w:p w14:paraId="0608BF7D" w14:textId="77777777" w:rsidR="006863E0" w:rsidRPr="00EF16D6" w:rsidRDefault="006863E0" w:rsidP="006863E0">
            <w:pPr>
              <w:pStyle w:val="Default"/>
              <w:numPr>
                <w:ilvl w:val="1"/>
                <w:numId w:val="4"/>
              </w:numPr>
              <w:tabs>
                <w:tab w:val="clear" w:pos="1440"/>
                <w:tab w:val="num" w:pos="1080"/>
              </w:tabs>
              <w:ind w:left="458"/>
              <w:rPr>
                <w:rFonts w:ascii="Arial" w:hAnsi="Arial" w:cs="Arial"/>
                <w:sz w:val="20"/>
                <w:szCs w:val="20"/>
              </w:rPr>
            </w:pPr>
            <w:r w:rsidRPr="00EF16D6">
              <w:rPr>
                <w:rFonts w:ascii="Arial" w:hAnsi="Arial" w:cs="Arial"/>
                <w:sz w:val="20"/>
                <w:szCs w:val="20"/>
              </w:rPr>
              <w:t xml:space="preserve">Afvalstroomnummer; </w:t>
            </w:r>
          </w:p>
          <w:p w14:paraId="18A6C706" w14:textId="77777777" w:rsidR="006863E0" w:rsidRPr="00EF16D6" w:rsidRDefault="006863E0" w:rsidP="006863E0">
            <w:pPr>
              <w:pStyle w:val="Default"/>
              <w:numPr>
                <w:ilvl w:val="1"/>
                <w:numId w:val="4"/>
              </w:numPr>
              <w:tabs>
                <w:tab w:val="clear" w:pos="1440"/>
                <w:tab w:val="num" w:pos="1080"/>
              </w:tabs>
              <w:ind w:left="458"/>
              <w:rPr>
                <w:rFonts w:ascii="Arial" w:hAnsi="Arial" w:cs="Arial"/>
                <w:sz w:val="20"/>
                <w:szCs w:val="20"/>
              </w:rPr>
            </w:pPr>
            <w:proofErr w:type="spellStart"/>
            <w:r w:rsidRPr="00EF16D6">
              <w:rPr>
                <w:rFonts w:ascii="Arial" w:hAnsi="Arial" w:cs="Arial"/>
                <w:sz w:val="20"/>
                <w:szCs w:val="20"/>
              </w:rPr>
              <w:t>Euralcode</w:t>
            </w:r>
            <w:proofErr w:type="spellEnd"/>
            <w:r w:rsidRPr="00EF16D6">
              <w:rPr>
                <w:rFonts w:ascii="Arial" w:hAnsi="Arial" w:cs="Arial"/>
                <w:sz w:val="20"/>
                <w:szCs w:val="20"/>
              </w:rPr>
              <w:t xml:space="preserve">; </w:t>
            </w:r>
          </w:p>
          <w:p w14:paraId="512DF5E3" w14:textId="77777777" w:rsidR="006863E0" w:rsidRDefault="006863E0" w:rsidP="006863E0">
            <w:pPr>
              <w:pStyle w:val="Default"/>
              <w:numPr>
                <w:ilvl w:val="1"/>
                <w:numId w:val="4"/>
              </w:numPr>
              <w:tabs>
                <w:tab w:val="clear" w:pos="1440"/>
                <w:tab w:val="num" w:pos="1080"/>
              </w:tabs>
              <w:ind w:left="458"/>
              <w:rPr>
                <w:rFonts w:ascii="Arial" w:hAnsi="Arial" w:cs="Arial"/>
                <w:sz w:val="20"/>
                <w:szCs w:val="20"/>
              </w:rPr>
            </w:pPr>
            <w:r w:rsidRPr="00EF16D6">
              <w:rPr>
                <w:rFonts w:ascii="Arial" w:hAnsi="Arial" w:cs="Arial"/>
                <w:sz w:val="20"/>
                <w:szCs w:val="20"/>
              </w:rPr>
              <w:t xml:space="preserve">Debiteurnummer én naam van Gemeente Zoetermeer; </w:t>
            </w:r>
          </w:p>
          <w:p w14:paraId="6B3EF4F5" w14:textId="77777777" w:rsidR="006863E0" w:rsidRPr="009F0508" w:rsidRDefault="006863E0" w:rsidP="006863E0">
            <w:pPr>
              <w:pStyle w:val="Default"/>
              <w:numPr>
                <w:ilvl w:val="1"/>
                <w:numId w:val="4"/>
              </w:numPr>
              <w:tabs>
                <w:tab w:val="clear" w:pos="1440"/>
                <w:tab w:val="num" w:pos="1080"/>
              </w:tabs>
              <w:ind w:left="458"/>
              <w:rPr>
                <w:rFonts w:ascii="Arial" w:hAnsi="Arial" w:cs="Arial"/>
                <w:sz w:val="20"/>
                <w:szCs w:val="20"/>
              </w:rPr>
            </w:pPr>
            <w:r w:rsidRPr="009F0508">
              <w:rPr>
                <w:rFonts w:ascii="Arial" w:hAnsi="Arial" w:cs="Arial"/>
                <w:sz w:val="20"/>
                <w:szCs w:val="20"/>
              </w:rPr>
              <w:t>Naam en/of logo van de dienstverlener.</w:t>
            </w:r>
          </w:p>
        </w:tc>
      </w:tr>
      <w:tr w:rsidR="006863E0" w:rsidRPr="004A4317" w14:paraId="451A8AE8" w14:textId="77777777" w:rsidTr="00F14A4C">
        <w:tc>
          <w:tcPr>
            <w:tcW w:w="936" w:type="dxa"/>
            <w:shd w:val="clear" w:color="auto" w:fill="8DB3E2"/>
          </w:tcPr>
          <w:p w14:paraId="13BE0198"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7B4FF297" w14:textId="77777777" w:rsidR="006863E0" w:rsidRPr="004E6F85" w:rsidRDefault="006863E0" w:rsidP="00F14A4C">
            <w:pPr>
              <w:tabs>
                <w:tab w:val="left" w:pos="1080"/>
              </w:tabs>
            </w:pPr>
            <w:r>
              <w:t>Contractant</w:t>
            </w:r>
            <w:r w:rsidRPr="00C447D0">
              <w:t xml:space="preserve"> draagt zorg voor de afvoer van het KCA op een vaste dag in de week nadat vooraf door Gemeente gecommuniceerd is over de af te voeren soorten en hoeveelheden KCA en aan te leveren lege emballage. De afvoer vindt plaats tijdens de openingstijden van het Zelfbrengdepot tussen 08.00 en 16.00 uur op donderdag of vrijdag. </w:t>
            </w:r>
          </w:p>
        </w:tc>
      </w:tr>
      <w:tr w:rsidR="006863E0" w:rsidRPr="004A4317" w14:paraId="25607461" w14:textId="77777777" w:rsidTr="00F14A4C">
        <w:tc>
          <w:tcPr>
            <w:tcW w:w="936" w:type="dxa"/>
            <w:shd w:val="clear" w:color="auto" w:fill="8DB3E2"/>
          </w:tcPr>
          <w:p w14:paraId="264FD075"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5EFCDABD" w14:textId="77777777" w:rsidR="006863E0" w:rsidRPr="004E6F85" w:rsidRDefault="006863E0" w:rsidP="00F14A4C">
            <w:pPr>
              <w:tabs>
                <w:tab w:val="left" w:pos="1080"/>
              </w:tabs>
            </w:pPr>
            <w:r>
              <w:t>Contractant</w:t>
            </w:r>
            <w:r w:rsidRPr="00C447D0">
              <w:t xml:space="preserve"> draagt zorg voor het in- en uitwegen van de voertuigen die zorg dragen voor de afvoer van het KCA op het Zelfbrengdepot. Hiertoe staat de geijkte weegbrug van Gemeente tot zijn beschikking. Daarnaast behoudt Gemeente zich het recht voor om het ijkcertificaat van de weegbrug bij </w:t>
            </w:r>
            <w:r>
              <w:t>Contractant</w:t>
            </w:r>
            <w:r w:rsidRPr="00C447D0">
              <w:t xml:space="preserve"> op te vragen. </w:t>
            </w:r>
            <w:r>
              <w:t>Contractant</w:t>
            </w:r>
            <w:r w:rsidRPr="00C447D0">
              <w:t xml:space="preserve"> zal dit ijkcertificaat dan onverwijld verstrekken aan Gemeente. Dit ijkcertificaat mag niet ouder zijn dan twee jaar. </w:t>
            </w:r>
          </w:p>
        </w:tc>
      </w:tr>
      <w:tr w:rsidR="006863E0" w:rsidRPr="004A4317" w14:paraId="016E8F50" w14:textId="77777777" w:rsidTr="00F14A4C">
        <w:tc>
          <w:tcPr>
            <w:tcW w:w="936" w:type="dxa"/>
            <w:shd w:val="clear" w:color="auto" w:fill="8DB3E2"/>
          </w:tcPr>
          <w:p w14:paraId="005D806A"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1E140773" w14:textId="1313FDF3" w:rsidR="006863E0" w:rsidRPr="004E6F85" w:rsidRDefault="006863E0" w:rsidP="00F14A4C">
            <w:pPr>
              <w:tabs>
                <w:tab w:val="left" w:pos="1080"/>
              </w:tabs>
            </w:pPr>
            <w:r w:rsidRPr="00C447D0">
              <w:t xml:space="preserve">Het aangeboden KCA gaat in eigendom, beheer en risico over van Gemeente naar </w:t>
            </w:r>
            <w:r>
              <w:t>Contractant</w:t>
            </w:r>
            <w:r w:rsidRPr="00C447D0">
              <w:t xml:space="preserve"> bij inname van het aangeboden KCA </w:t>
            </w:r>
            <w:r w:rsidRPr="00F01776">
              <w:rPr>
                <w:strike/>
                <w:highlight w:val="yellow"/>
              </w:rPr>
              <w:t>(op moment van inname)</w:t>
            </w:r>
            <w:r w:rsidR="00BC5BC4">
              <w:t xml:space="preserve"> </w:t>
            </w:r>
            <w:r w:rsidR="00BC5BC4" w:rsidRPr="00BC5BC4">
              <w:rPr>
                <w:highlight w:val="yellow"/>
              </w:rPr>
              <w:t xml:space="preserve">mits </w:t>
            </w:r>
            <w:r w:rsidR="00BC5BC4">
              <w:rPr>
                <w:highlight w:val="yellow"/>
              </w:rPr>
              <w:t>het aangeboden afval</w:t>
            </w:r>
            <w:r w:rsidR="00BC5BC4" w:rsidRPr="00BC5BC4">
              <w:rPr>
                <w:highlight w:val="yellow"/>
              </w:rPr>
              <w:t xml:space="preserve"> voldoet aan de acceptatievoorwaarden</w:t>
            </w:r>
            <w:r w:rsidRPr="00C447D0">
              <w:t xml:space="preserve">. </w:t>
            </w:r>
            <w:r>
              <w:t>Contractant</w:t>
            </w:r>
            <w:r w:rsidRPr="00C447D0">
              <w:t xml:space="preserve"> wordt hierbij eigenaar van de afvalstoffen.</w:t>
            </w:r>
          </w:p>
        </w:tc>
      </w:tr>
      <w:tr w:rsidR="006863E0" w:rsidRPr="004A4317" w14:paraId="4FFEE65B" w14:textId="77777777" w:rsidTr="00F14A4C">
        <w:tc>
          <w:tcPr>
            <w:tcW w:w="936" w:type="dxa"/>
            <w:shd w:val="clear" w:color="auto" w:fill="8DB3E2"/>
          </w:tcPr>
          <w:p w14:paraId="097CAB56"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0EC5A95C" w14:textId="77777777" w:rsidR="006863E0" w:rsidRPr="004E6F85" w:rsidRDefault="006863E0" w:rsidP="00F14A4C">
            <w:pPr>
              <w:tabs>
                <w:tab w:val="left" w:pos="1080"/>
              </w:tabs>
            </w:pPr>
            <w:r w:rsidRPr="00C447D0">
              <w:t>Acceptatie van de afvalstromen vindt plaats op de eerste overslaglocatie/ verwerkingslocatie.</w:t>
            </w:r>
          </w:p>
        </w:tc>
      </w:tr>
      <w:tr w:rsidR="006863E0" w:rsidRPr="004A4317" w14:paraId="7BB254EA" w14:textId="77777777" w:rsidTr="00F14A4C">
        <w:tc>
          <w:tcPr>
            <w:tcW w:w="8364" w:type="dxa"/>
            <w:gridSpan w:val="2"/>
            <w:shd w:val="clear" w:color="auto" w:fill="8DB3E2"/>
          </w:tcPr>
          <w:p w14:paraId="00D80E89" w14:textId="77777777" w:rsidR="006863E0" w:rsidRPr="005C75D4" w:rsidRDefault="006863E0" w:rsidP="00F14A4C">
            <w:pPr>
              <w:tabs>
                <w:tab w:val="left" w:pos="1080"/>
              </w:tabs>
              <w:rPr>
                <w:b/>
                <w:bCs/>
                <w:spacing w:val="-2"/>
              </w:rPr>
            </w:pPr>
            <w:r w:rsidRPr="005C75D4">
              <w:rPr>
                <w:b/>
                <w:bCs/>
                <w:spacing w:val="-2"/>
              </w:rPr>
              <w:t>Duurzaamheidseisen</w:t>
            </w:r>
          </w:p>
        </w:tc>
      </w:tr>
      <w:tr w:rsidR="006863E0" w:rsidRPr="004A4317" w14:paraId="1E67EFB9" w14:textId="77777777" w:rsidTr="00F14A4C">
        <w:tc>
          <w:tcPr>
            <w:tcW w:w="936" w:type="dxa"/>
            <w:shd w:val="clear" w:color="auto" w:fill="8DB3E2"/>
          </w:tcPr>
          <w:p w14:paraId="0370893A"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0F4D2A99" w14:textId="77777777" w:rsidR="006863E0" w:rsidRPr="00A848AD" w:rsidRDefault="006863E0" w:rsidP="00F14A4C">
            <w:pPr>
              <w:tabs>
                <w:tab w:val="left" w:pos="1080"/>
              </w:tabs>
              <w:rPr>
                <w:spacing w:val="-2"/>
              </w:rPr>
            </w:pPr>
            <w:r>
              <w:t>Contractant</w:t>
            </w:r>
            <w:r w:rsidRPr="00C447D0">
              <w:t xml:space="preserve"> gaat ermee akkoord dat alle voertuigen waarmee de afvoer van het KCA vanaf het Zelfbrengdepot geschiedt, aantoonbaar ten</w:t>
            </w:r>
            <w:r>
              <w:t xml:space="preserve"> </w:t>
            </w:r>
            <w:r w:rsidRPr="00C447D0">
              <w:t xml:space="preserve">minste aan de Euro6 </w:t>
            </w:r>
            <w:r w:rsidRPr="00C447D0">
              <w:lastRenderedPageBreak/>
              <w:t xml:space="preserve">emissienorm dienen te voldoen. Ook dienen de voertuigen en hun berijders te voldoen aan alle wettelijke verplichtingen die gelden voor dergelijke inzameling. </w:t>
            </w:r>
          </w:p>
        </w:tc>
      </w:tr>
      <w:tr w:rsidR="006863E0" w:rsidRPr="004A4317" w14:paraId="1E56552A" w14:textId="77777777" w:rsidTr="00F14A4C">
        <w:tc>
          <w:tcPr>
            <w:tcW w:w="936" w:type="dxa"/>
            <w:shd w:val="clear" w:color="auto" w:fill="8DB3E2"/>
          </w:tcPr>
          <w:p w14:paraId="14645245"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67B4CE2C" w14:textId="77777777" w:rsidR="006863E0" w:rsidRPr="00A848AD" w:rsidRDefault="006863E0" w:rsidP="00F14A4C">
            <w:pPr>
              <w:tabs>
                <w:tab w:val="left" w:pos="1080"/>
              </w:tabs>
              <w:rPr>
                <w:spacing w:val="-2"/>
              </w:rPr>
            </w:pPr>
            <w:r w:rsidRPr="00C447D0">
              <w:t xml:space="preserve">De door </w:t>
            </w:r>
            <w:r>
              <w:t>Contractant</w:t>
            </w:r>
            <w:r w:rsidRPr="00C447D0">
              <w:t xml:space="preserve"> in te zetten inzamelmiddelen/ emballage ten behoeve van de uitvoering van de </w:t>
            </w:r>
            <w:r>
              <w:t>O</w:t>
            </w:r>
            <w:r w:rsidRPr="00C447D0">
              <w:t xml:space="preserve">pdracht zijn aan het einde van de economische levensduur volledig herbruikbaar/ recyclebaar. </w:t>
            </w:r>
          </w:p>
        </w:tc>
      </w:tr>
      <w:tr w:rsidR="006863E0" w:rsidRPr="004A4317" w14:paraId="37F23EE4" w14:textId="77777777" w:rsidTr="00F14A4C">
        <w:tc>
          <w:tcPr>
            <w:tcW w:w="936" w:type="dxa"/>
            <w:shd w:val="clear" w:color="auto" w:fill="8DB3E2"/>
          </w:tcPr>
          <w:p w14:paraId="710DE44D"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3CFC5915" w14:textId="596E8838" w:rsidR="006863E0" w:rsidRPr="00D72AFD" w:rsidRDefault="006863E0" w:rsidP="00F14A4C">
            <w:pPr>
              <w:tabs>
                <w:tab w:val="left" w:pos="1080"/>
              </w:tabs>
            </w:pPr>
            <w:r w:rsidRPr="00C447D0">
              <w:t xml:space="preserve">Het KCA moet door de </w:t>
            </w:r>
            <w:r>
              <w:t>Contractant</w:t>
            </w:r>
            <w:r w:rsidRPr="00C447D0">
              <w:t xml:space="preserve"> conform de bepalingen uit het LAP3 of de opvolger daarvan, sectorplan 1 en de </w:t>
            </w:r>
            <w:r>
              <w:t>W</w:t>
            </w:r>
            <w:r w:rsidRPr="00C447D0">
              <w:t>et milieubeheer op doelmatige en milieu hiërarchisch verantwoorde wijze verwerkt worden. De verwerking moet hierbij altijd ten</w:t>
            </w:r>
            <w:r>
              <w:t xml:space="preserve"> </w:t>
            </w:r>
            <w:r w:rsidRPr="00C447D0">
              <w:t>minste voldoen aan de minimumstandaard.</w:t>
            </w:r>
          </w:p>
        </w:tc>
      </w:tr>
      <w:tr w:rsidR="006863E0" w:rsidRPr="004A4317" w14:paraId="79C65694" w14:textId="77777777" w:rsidTr="00F14A4C">
        <w:tc>
          <w:tcPr>
            <w:tcW w:w="8364" w:type="dxa"/>
            <w:gridSpan w:val="2"/>
            <w:shd w:val="clear" w:color="auto" w:fill="8DB3E2"/>
          </w:tcPr>
          <w:p w14:paraId="63637682" w14:textId="77777777" w:rsidR="006863E0" w:rsidRPr="00EF16D6" w:rsidRDefault="006863E0" w:rsidP="00F14A4C">
            <w:pPr>
              <w:tabs>
                <w:tab w:val="left" w:pos="1080"/>
              </w:tabs>
              <w:rPr>
                <w:b/>
                <w:bCs/>
                <w:spacing w:val="-2"/>
              </w:rPr>
            </w:pPr>
            <w:r>
              <w:rPr>
                <w:b/>
                <w:bCs/>
                <w:spacing w:val="-2"/>
              </w:rPr>
              <w:t>Eisen m.b.t. rapportage en evaluatie</w:t>
            </w:r>
          </w:p>
        </w:tc>
      </w:tr>
      <w:tr w:rsidR="006863E0" w:rsidRPr="004A4317" w14:paraId="0D41030C" w14:textId="77777777" w:rsidTr="00F14A4C">
        <w:tc>
          <w:tcPr>
            <w:tcW w:w="936" w:type="dxa"/>
            <w:shd w:val="clear" w:color="auto" w:fill="8DB3E2"/>
          </w:tcPr>
          <w:p w14:paraId="48F4678C"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63354265" w14:textId="77777777" w:rsidR="006863E0" w:rsidRPr="00A848AD" w:rsidRDefault="006863E0" w:rsidP="00F14A4C">
            <w:pPr>
              <w:tabs>
                <w:tab w:val="left" w:pos="1080"/>
              </w:tabs>
              <w:rPr>
                <w:spacing w:val="-2"/>
              </w:rPr>
            </w:pPr>
            <w:r>
              <w:t>G</w:t>
            </w:r>
            <w:r w:rsidRPr="00C447D0">
              <w:t xml:space="preserve">edurende de looptijd van de Overeenkomst </w:t>
            </w:r>
            <w:r>
              <w:t>vindt één</w:t>
            </w:r>
            <w:r w:rsidRPr="00C447D0">
              <w:t xml:space="preserve"> keer per jaar overleg plaats tussen Gemeente en </w:t>
            </w:r>
            <w:r>
              <w:t>Contractant</w:t>
            </w:r>
            <w:r w:rsidRPr="00C447D0">
              <w:t xml:space="preserve">. </w:t>
            </w:r>
          </w:p>
        </w:tc>
      </w:tr>
      <w:tr w:rsidR="006863E0" w:rsidRPr="004A4317" w14:paraId="11EC9E1F" w14:textId="77777777" w:rsidTr="00F14A4C">
        <w:tc>
          <w:tcPr>
            <w:tcW w:w="936" w:type="dxa"/>
            <w:shd w:val="clear" w:color="auto" w:fill="8DB3E2"/>
          </w:tcPr>
          <w:p w14:paraId="121E9B7C" w14:textId="77777777" w:rsidR="006863E0" w:rsidRPr="004A4317" w:rsidRDefault="006863E0" w:rsidP="006863E0">
            <w:pPr>
              <w:pStyle w:val="Lijstalinea"/>
              <w:numPr>
                <w:ilvl w:val="0"/>
                <w:numId w:val="2"/>
              </w:numPr>
              <w:tabs>
                <w:tab w:val="clear" w:pos="-567"/>
              </w:tabs>
              <w:spacing w:before="90" w:after="54" w:line="312" w:lineRule="auto"/>
              <w:ind w:left="567"/>
              <w:rPr>
                <w:rFonts w:cs="Tahoma"/>
              </w:rPr>
            </w:pPr>
          </w:p>
        </w:tc>
        <w:tc>
          <w:tcPr>
            <w:tcW w:w="7428" w:type="dxa"/>
          </w:tcPr>
          <w:p w14:paraId="3B3F9965" w14:textId="77777777" w:rsidR="006863E0" w:rsidRDefault="006863E0" w:rsidP="00F14A4C">
            <w:pPr>
              <w:tabs>
                <w:tab w:val="left" w:pos="1080"/>
              </w:tabs>
            </w:pPr>
            <w:r w:rsidRPr="004E6F85">
              <w:t>De Contractant stelt aan de Gemeente maandelijks (digitaal in pdf) uiterlijk 15 dagen na afloop van elke maand een rapportage ter beschikking. In deze rapportage dient minimaal opgenomen te worden:</w:t>
            </w:r>
            <w:r w:rsidRPr="004E6F85">
              <w:br/>
              <w:t xml:space="preserve">- de ontvangen en verwerkte hoeveelheid </w:t>
            </w:r>
            <w:r>
              <w:t>a</w:t>
            </w:r>
            <w:r w:rsidRPr="004E6F85">
              <w:t>fvalstromen;</w:t>
            </w:r>
            <w:r w:rsidRPr="004E6F85">
              <w:br/>
              <w:t>Deze rapportage wordt aangeleverd in Excel en of pdf.</w:t>
            </w:r>
          </w:p>
        </w:tc>
      </w:tr>
      <w:bookmarkEnd w:id="20"/>
    </w:tbl>
    <w:p w14:paraId="3D7ACA5A" w14:textId="77777777" w:rsidR="006863E0" w:rsidRDefault="006863E0" w:rsidP="006863E0">
      <w:pPr>
        <w:rPr>
          <w:rFonts w:cs="Arial"/>
          <w:bCs/>
        </w:rPr>
      </w:pPr>
    </w:p>
    <w:p w14:paraId="2AB1B64A" w14:textId="77777777" w:rsidR="006863E0" w:rsidRDefault="006863E0" w:rsidP="006863E0">
      <w:pPr>
        <w:rPr>
          <w:rFonts w:cs="Arial"/>
          <w:bCs/>
        </w:rPr>
      </w:pPr>
    </w:p>
    <w:p w14:paraId="7EAAF551" w14:textId="77777777" w:rsidR="006863E0" w:rsidRPr="006305F6" w:rsidRDefault="006863E0" w:rsidP="006863E0">
      <w:pPr>
        <w:rPr>
          <w:rFonts w:cs="Arial"/>
          <w:bCs/>
        </w:rPr>
      </w:pPr>
      <w:r w:rsidRPr="006305F6">
        <w:rPr>
          <w:rFonts w:cs="Arial"/>
          <w:bCs/>
        </w:rPr>
        <w:t xml:space="preserve">Inschrijver verklaart </w:t>
      </w:r>
      <w:r>
        <w:rPr>
          <w:rFonts w:cs="Arial"/>
          <w:bCs/>
        </w:rPr>
        <w:t xml:space="preserve">onvoorwaardelijk </w:t>
      </w:r>
      <w:r w:rsidRPr="006305F6">
        <w:rPr>
          <w:rFonts w:cs="Arial"/>
          <w:bCs/>
        </w:rPr>
        <w:t>akkoord te gaan met bovenstaande eisen</w:t>
      </w:r>
      <w:r>
        <w:rPr>
          <w:rFonts w:cs="Arial"/>
          <w:bCs/>
        </w:rPr>
        <w:t>.</w:t>
      </w:r>
    </w:p>
    <w:p w14:paraId="7F922CB7" w14:textId="77777777" w:rsidR="006863E0" w:rsidRDefault="006863E0" w:rsidP="006863E0">
      <w:pPr>
        <w:rPr>
          <w:rFonts w:cs="Arial"/>
          <w:bCs/>
        </w:rPr>
      </w:pPr>
    </w:p>
    <w:tbl>
      <w:tblPr>
        <w:tblW w:w="8364"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000" w:firstRow="0" w:lastRow="0" w:firstColumn="0" w:lastColumn="0" w:noHBand="0" w:noVBand="0"/>
      </w:tblPr>
      <w:tblGrid>
        <w:gridCol w:w="2280"/>
        <w:gridCol w:w="6084"/>
      </w:tblGrid>
      <w:tr w:rsidR="006863E0" w:rsidRPr="004F3D37" w14:paraId="4D6E9315" w14:textId="77777777" w:rsidTr="00F14A4C">
        <w:trPr>
          <w:trHeight w:val="284"/>
        </w:trPr>
        <w:tc>
          <w:tcPr>
            <w:tcW w:w="2280" w:type="dxa"/>
            <w:shd w:val="clear" w:color="auto" w:fill="4F81BD"/>
          </w:tcPr>
          <w:p w14:paraId="25CA7845" w14:textId="77777777" w:rsidR="006863E0" w:rsidRPr="00942C5F" w:rsidRDefault="006863E0" w:rsidP="00F14A4C">
            <w:pPr>
              <w:spacing w:line="240" w:lineRule="auto"/>
              <w:rPr>
                <w:rFonts w:cs="Arial"/>
                <w:b/>
                <w:color w:val="FFFFFF" w:themeColor="background1"/>
              </w:rPr>
            </w:pPr>
            <w:bookmarkStart w:id="24" w:name="_Hlk106020147"/>
            <w:r w:rsidRPr="00942C5F">
              <w:rPr>
                <w:rFonts w:cs="Arial"/>
                <w:b/>
                <w:color w:val="FFFFFF" w:themeColor="background1"/>
              </w:rPr>
              <w:t>Inschrijver:</w:t>
            </w:r>
          </w:p>
          <w:p w14:paraId="6374B86B" w14:textId="77777777" w:rsidR="006863E0" w:rsidRPr="00942C5F" w:rsidRDefault="006863E0" w:rsidP="00F14A4C">
            <w:pPr>
              <w:spacing w:line="240" w:lineRule="auto"/>
              <w:rPr>
                <w:rFonts w:cs="Arial"/>
                <w:b/>
                <w:color w:val="FFFFFF" w:themeColor="background1"/>
              </w:rPr>
            </w:pPr>
          </w:p>
        </w:tc>
        <w:tc>
          <w:tcPr>
            <w:tcW w:w="6084" w:type="dxa"/>
          </w:tcPr>
          <w:p w14:paraId="0FD3DA68" w14:textId="77777777" w:rsidR="006863E0" w:rsidRPr="004F3D37" w:rsidRDefault="006863E0" w:rsidP="00F14A4C">
            <w:pPr>
              <w:spacing w:line="240" w:lineRule="auto"/>
              <w:rPr>
                <w:rFonts w:cs="Arial"/>
              </w:rPr>
            </w:pPr>
          </w:p>
        </w:tc>
      </w:tr>
      <w:tr w:rsidR="006863E0" w:rsidRPr="004F3D37" w14:paraId="71D2D45E" w14:textId="77777777" w:rsidTr="00F14A4C">
        <w:trPr>
          <w:trHeight w:val="546"/>
        </w:trPr>
        <w:tc>
          <w:tcPr>
            <w:tcW w:w="2280" w:type="dxa"/>
            <w:shd w:val="clear" w:color="auto" w:fill="4F81BD"/>
          </w:tcPr>
          <w:p w14:paraId="260D7B86" w14:textId="77777777" w:rsidR="006863E0" w:rsidRPr="00942C5F" w:rsidRDefault="006863E0" w:rsidP="00F14A4C">
            <w:pPr>
              <w:spacing w:line="240" w:lineRule="auto"/>
              <w:rPr>
                <w:rFonts w:cs="Arial"/>
                <w:b/>
                <w:color w:val="FFFFFF" w:themeColor="background1"/>
              </w:rPr>
            </w:pPr>
            <w:r w:rsidRPr="00942C5F">
              <w:rPr>
                <w:rFonts w:cs="Arial"/>
                <w:b/>
                <w:color w:val="FFFFFF" w:themeColor="background1"/>
              </w:rPr>
              <w:t>Naam rechtsgeldig vertegenwoordiger:</w:t>
            </w:r>
          </w:p>
        </w:tc>
        <w:tc>
          <w:tcPr>
            <w:tcW w:w="6084" w:type="dxa"/>
          </w:tcPr>
          <w:p w14:paraId="6E4896EC" w14:textId="77777777" w:rsidR="006863E0" w:rsidRPr="004F3D37" w:rsidRDefault="006863E0" w:rsidP="00F14A4C">
            <w:pPr>
              <w:spacing w:line="240" w:lineRule="auto"/>
              <w:rPr>
                <w:rFonts w:cs="Arial"/>
              </w:rPr>
            </w:pPr>
          </w:p>
        </w:tc>
      </w:tr>
      <w:tr w:rsidR="006863E0" w:rsidRPr="004F3D37" w14:paraId="61631675" w14:textId="77777777" w:rsidTr="00F14A4C">
        <w:trPr>
          <w:trHeight w:val="284"/>
        </w:trPr>
        <w:tc>
          <w:tcPr>
            <w:tcW w:w="2280" w:type="dxa"/>
            <w:shd w:val="clear" w:color="auto" w:fill="4F81BD"/>
          </w:tcPr>
          <w:p w14:paraId="402A0512" w14:textId="77777777" w:rsidR="006863E0" w:rsidRPr="00942C5F" w:rsidRDefault="006863E0" w:rsidP="00F14A4C">
            <w:pPr>
              <w:spacing w:line="240" w:lineRule="auto"/>
              <w:rPr>
                <w:rFonts w:cs="Arial"/>
                <w:b/>
                <w:color w:val="FFFFFF" w:themeColor="background1"/>
              </w:rPr>
            </w:pPr>
            <w:r w:rsidRPr="00942C5F">
              <w:rPr>
                <w:rFonts w:cs="Arial"/>
                <w:b/>
                <w:color w:val="FFFFFF" w:themeColor="background1"/>
              </w:rPr>
              <w:t>Functie rechtsgeldig vertegenwoordiger:</w:t>
            </w:r>
          </w:p>
        </w:tc>
        <w:tc>
          <w:tcPr>
            <w:tcW w:w="6084" w:type="dxa"/>
          </w:tcPr>
          <w:p w14:paraId="2711652C" w14:textId="77777777" w:rsidR="006863E0" w:rsidRPr="004F3D37" w:rsidRDefault="006863E0" w:rsidP="00F14A4C">
            <w:pPr>
              <w:spacing w:line="240" w:lineRule="auto"/>
              <w:rPr>
                <w:rFonts w:cs="Arial"/>
              </w:rPr>
            </w:pPr>
          </w:p>
        </w:tc>
      </w:tr>
      <w:tr w:rsidR="006863E0" w:rsidRPr="004F3D37" w14:paraId="280B1044" w14:textId="77777777" w:rsidTr="00F14A4C">
        <w:trPr>
          <w:trHeight w:val="580"/>
        </w:trPr>
        <w:tc>
          <w:tcPr>
            <w:tcW w:w="2280" w:type="dxa"/>
            <w:shd w:val="clear" w:color="auto" w:fill="4F81BD"/>
          </w:tcPr>
          <w:p w14:paraId="31617FAA" w14:textId="77777777" w:rsidR="006863E0" w:rsidRPr="00942C5F" w:rsidRDefault="006863E0" w:rsidP="00F14A4C">
            <w:pPr>
              <w:spacing w:line="240" w:lineRule="auto"/>
              <w:rPr>
                <w:rFonts w:cs="Arial"/>
                <w:b/>
                <w:color w:val="FFFFFF" w:themeColor="background1"/>
              </w:rPr>
            </w:pPr>
            <w:r w:rsidRPr="00942C5F">
              <w:rPr>
                <w:rFonts w:cs="Arial"/>
                <w:b/>
                <w:color w:val="FFFFFF" w:themeColor="background1"/>
              </w:rPr>
              <w:t>Rechtsgeldige ondertekening:</w:t>
            </w:r>
          </w:p>
        </w:tc>
        <w:tc>
          <w:tcPr>
            <w:tcW w:w="6084" w:type="dxa"/>
          </w:tcPr>
          <w:p w14:paraId="046B6B96" w14:textId="77777777" w:rsidR="006863E0" w:rsidRPr="004F3D37" w:rsidRDefault="006863E0" w:rsidP="00F14A4C">
            <w:pPr>
              <w:spacing w:line="240" w:lineRule="auto"/>
              <w:rPr>
                <w:rFonts w:cs="Arial"/>
              </w:rPr>
            </w:pPr>
          </w:p>
        </w:tc>
      </w:tr>
      <w:tr w:rsidR="006863E0" w:rsidRPr="004F3D37" w14:paraId="4236B167" w14:textId="77777777" w:rsidTr="00F14A4C">
        <w:trPr>
          <w:trHeight w:val="284"/>
        </w:trPr>
        <w:tc>
          <w:tcPr>
            <w:tcW w:w="2280" w:type="dxa"/>
            <w:shd w:val="clear" w:color="auto" w:fill="4F81BD"/>
          </w:tcPr>
          <w:p w14:paraId="4B7BD213" w14:textId="77777777" w:rsidR="006863E0" w:rsidRPr="00942C5F" w:rsidRDefault="006863E0" w:rsidP="00F14A4C">
            <w:pPr>
              <w:spacing w:line="240" w:lineRule="auto"/>
              <w:rPr>
                <w:rFonts w:cs="Arial"/>
                <w:b/>
                <w:color w:val="FFFFFF" w:themeColor="background1"/>
              </w:rPr>
            </w:pPr>
            <w:r w:rsidRPr="00942C5F">
              <w:rPr>
                <w:rFonts w:cs="Arial"/>
                <w:b/>
                <w:color w:val="FFFFFF" w:themeColor="background1"/>
              </w:rPr>
              <w:t>Datum:</w:t>
            </w:r>
          </w:p>
          <w:p w14:paraId="683706C8" w14:textId="77777777" w:rsidR="006863E0" w:rsidRPr="00942C5F" w:rsidRDefault="006863E0" w:rsidP="00F14A4C">
            <w:pPr>
              <w:spacing w:line="240" w:lineRule="auto"/>
              <w:rPr>
                <w:rFonts w:cs="Arial"/>
                <w:b/>
                <w:color w:val="FFFFFF" w:themeColor="background1"/>
              </w:rPr>
            </w:pPr>
          </w:p>
        </w:tc>
        <w:tc>
          <w:tcPr>
            <w:tcW w:w="6084" w:type="dxa"/>
          </w:tcPr>
          <w:p w14:paraId="220C055E" w14:textId="77777777" w:rsidR="006863E0" w:rsidRPr="004F3D37" w:rsidRDefault="006863E0" w:rsidP="00F14A4C">
            <w:pPr>
              <w:spacing w:line="240" w:lineRule="auto"/>
              <w:rPr>
                <w:rFonts w:cs="Arial"/>
              </w:rPr>
            </w:pPr>
          </w:p>
        </w:tc>
      </w:tr>
      <w:bookmarkEnd w:id="18"/>
      <w:bookmarkEnd w:id="24"/>
    </w:tbl>
    <w:p w14:paraId="4740967B" w14:textId="77777777" w:rsidR="006863E0" w:rsidRDefault="006863E0" w:rsidP="006863E0"/>
    <w:bookmarkEnd w:id="19"/>
    <w:p w14:paraId="334EF025" w14:textId="77777777" w:rsidR="00110B0C" w:rsidRDefault="00110B0C"/>
    <w:sectPr w:rsidR="00110B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GothEF-Demi">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3025"/>
    <w:multiLevelType w:val="hybridMultilevel"/>
    <w:tmpl w:val="633A1A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8EB4187"/>
    <w:multiLevelType w:val="hybridMultilevel"/>
    <w:tmpl w:val="B0763C2C"/>
    <w:lvl w:ilvl="0" w:tplc="A3768B12">
      <w:start w:val="1"/>
      <w:numFmt w:val="decimal"/>
      <w:lvlText w:val="A-%1."/>
      <w:lvlJc w:val="left"/>
      <w:pPr>
        <w:tabs>
          <w:tab w:val="num" w:pos="720"/>
        </w:tabs>
        <w:ind w:left="720" w:hanging="360"/>
      </w:pPr>
      <w:rPr>
        <w:rFonts w:hint="default"/>
      </w:rPr>
    </w:lvl>
    <w:lvl w:ilvl="1" w:tplc="E85229F8">
      <w:start w:val="1"/>
      <w:numFmt w:val="upperRoman"/>
      <w:lvlText w:val="Bijlage %2."/>
      <w:lvlJc w:val="left"/>
      <w:pPr>
        <w:tabs>
          <w:tab w:val="num" w:pos="1080"/>
        </w:tabs>
        <w:ind w:left="1080" w:firstLine="0"/>
      </w:pPr>
      <w:rPr>
        <w:rFonts w:ascii="Times New Roman" w:hAnsi="Times New Roman"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22931960"/>
    <w:multiLevelType w:val="hybridMultilevel"/>
    <w:tmpl w:val="0762ADF8"/>
    <w:lvl w:ilvl="0" w:tplc="90EE6608">
      <w:start w:val="1"/>
      <w:numFmt w:val="decimal"/>
      <w:lvlText w:val="%1."/>
      <w:lvlJc w:val="center"/>
      <w:pPr>
        <w:tabs>
          <w:tab w:val="num" w:pos="422"/>
        </w:tabs>
        <w:ind w:left="422" w:firstLine="288"/>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8892AB04">
      <w:start w:val="2"/>
      <w:numFmt w:val="bullet"/>
      <w:lvlText w:val="-"/>
      <w:lvlJc w:val="left"/>
      <w:pPr>
        <w:ind w:left="2340" w:hanging="360"/>
      </w:pPr>
      <w:rPr>
        <w:rFonts w:ascii="Arial" w:eastAsia="Times New Roman" w:hAnsi="Arial"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3B917A2D"/>
    <w:multiLevelType w:val="hybridMultilevel"/>
    <w:tmpl w:val="CBFE69AE"/>
    <w:lvl w:ilvl="0" w:tplc="F40C3A8E">
      <w:start w:val="1"/>
      <w:numFmt w:val="decimal"/>
      <w:lvlText w:val="U-%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2998282">
    <w:abstractNumId w:val="1"/>
  </w:num>
  <w:num w:numId="2" w16cid:durableId="706639269">
    <w:abstractNumId w:val="3"/>
  </w:num>
  <w:num w:numId="3" w16cid:durableId="2123183295">
    <w:abstractNumId w:val="0"/>
  </w:num>
  <w:num w:numId="4" w16cid:durableId="885796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E0"/>
    <w:rsid w:val="00110B0C"/>
    <w:rsid w:val="00353039"/>
    <w:rsid w:val="006863E0"/>
    <w:rsid w:val="008B68E2"/>
    <w:rsid w:val="00BC5BC4"/>
    <w:rsid w:val="00ED7926"/>
    <w:rsid w:val="00EF5489"/>
    <w:rsid w:val="00F01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7A50"/>
  <w15:chartTrackingRefBased/>
  <w15:docId w15:val="{2F5A054D-2628-4907-A5B8-82423900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63E0"/>
    <w:pPr>
      <w:tabs>
        <w:tab w:val="left" w:pos="-567"/>
      </w:tabs>
      <w:spacing w:after="0" w:line="269"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6863E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qFormat/>
    <w:rsid w:val="006863E0"/>
    <w:pPr>
      <w:keepLines w:val="0"/>
      <w:pageBreakBefore/>
      <w:widowControl w:val="0"/>
      <w:tabs>
        <w:tab w:val="clear" w:pos="-567"/>
        <w:tab w:val="left" w:pos="0"/>
        <w:tab w:val="left" w:pos="567"/>
      </w:tabs>
      <w:spacing w:before="360" w:after="120" w:line="240" w:lineRule="auto"/>
    </w:pPr>
    <w:rPr>
      <w:rFonts w:ascii="Arial" w:eastAsia="Times New Roman" w:hAnsi="Arial" w:cs="Times New Roman"/>
      <w:b/>
      <w:kern w:val="28"/>
    </w:rPr>
  </w:style>
  <w:style w:type="character" w:customStyle="1" w:styleId="Kop1Char0">
    <w:name w:val="Kop [1] Char"/>
    <w:basedOn w:val="Kop1Char"/>
    <w:link w:val="Kop10"/>
    <w:rsid w:val="006863E0"/>
    <w:rPr>
      <w:rFonts w:ascii="Arial" w:eastAsia="Times New Roman" w:hAnsi="Arial" w:cs="Times New Roman"/>
      <w:b/>
      <w:color w:val="2F5496" w:themeColor="accent1" w:themeShade="BF"/>
      <w:kern w:val="28"/>
      <w:sz w:val="32"/>
      <w:szCs w:val="32"/>
      <w:lang w:eastAsia="nl-NL"/>
    </w:rPr>
  </w:style>
  <w:style w:type="character" w:customStyle="1" w:styleId="Kop1Char">
    <w:name w:val="Kop 1 Char"/>
    <w:basedOn w:val="Standaardalinea-lettertype"/>
    <w:link w:val="Kop1"/>
    <w:uiPriority w:val="9"/>
    <w:rsid w:val="006863E0"/>
    <w:rPr>
      <w:rFonts w:asciiTheme="majorHAnsi" w:eastAsiaTheme="majorEastAsia" w:hAnsiTheme="majorHAnsi" w:cstheme="majorBidi"/>
      <w:color w:val="2F5496" w:themeColor="accent1" w:themeShade="BF"/>
      <w:sz w:val="32"/>
      <w:szCs w:val="32"/>
      <w:lang w:eastAsia="nl-NL"/>
    </w:rPr>
  </w:style>
  <w:style w:type="character" w:styleId="Hyperlink">
    <w:name w:val="Hyperlink"/>
    <w:basedOn w:val="Standaardalinea-lettertype"/>
    <w:uiPriority w:val="99"/>
    <w:rsid w:val="006863E0"/>
    <w:rPr>
      <w:color w:val="0000FF"/>
      <w:u w:val="single"/>
    </w:rPr>
  </w:style>
  <w:style w:type="paragraph" w:styleId="Lijstalinea">
    <w:name w:val="List Paragraph"/>
    <w:basedOn w:val="Standaard"/>
    <w:uiPriority w:val="34"/>
    <w:qFormat/>
    <w:rsid w:val="006863E0"/>
    <w:pPr>
      <w:ind w:left="720"/>
      <w:contextualSpacing/>
    </w:pPr>
  </w:style>
  <w:style w:type="paragraph" w:customStyle="1" w:styleId="Default">
    <w:name w:val="Default"/>
    <w:rsid w:val="006863E0"/>
    <w:pPr>
      <w:autoSpaceDE w:val="0"/>
      <w:autoSpaceDN w:val="0"/>
      <w:adjustRightInd w:val="0"/>
      <w:spacing w:after="0" w:line="240" w:lineRule="auto"/>
    </w:pPr>
    <w:rPr>
      <w:rFonts w:ascii="FranklinGothEF-Demi" w:eastAsia="Times New Roman" w:hAnsi="FranklinGothEF-Demi" w:cs="FranklinGothEF-Demi"/>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editeuren@zoetermeer.nl" TargetMode="External"/><Relationship Id="rId5" Type="http://schemas.openxmlformats.org/officeDocument/2006/relationships/hyperlink" Target="https://opendata.cbs.nl/statlin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2032</Words>
  <Characters>11178</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Bukman A. (Anita)</dc:creator>
  <cp:keywords/>
  <dc:description/>
  <cp:lastModifiedBy>Bukman A. (Anita)</cp:lastModifiedBy>
  <cp:revision>2</cp:revision>
  <dcterms:created xsi:type="dcterms:W3CDTF">2023-01-31T09:36:00Z</dcterms:created>
  <dcterms:modified xsi:type="dcterms:W3CDTF">2023-01-31T09:36:00Z</dcterms:modified>
</cp:coreProperties>
</file>