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3689" w14:textId="3E0ACE40" w:rsidR="000F0297" w:rsidRPr="000F0297" w:rsidRDefault="000F0297" w:rsidP="000F0297">
      <w:pPr>
        <w:pStyle w:val="Kop1"/>
        <w:numPr>
          <w:ilvl w:val="0"/>
          <w:numId w:val="0"/>
        </w:numPr>
        <w:ind w:left="432" w:hanging="432"/>
      </w:pPr>
      <w:r w:rsidRPr="000F0297">
        <w:t>Bijlage</w:t>
      </w:r>
      <w:r w:rsidR="00F059FD">
        <w:t xml:space="preserve"> 9 -</w:t>
      </w:r>
      <w:r w:rsidRPr="000F0297">
        <w:t xml:space="preserve"> </w:t>
      </w:r>
      <w:proofErr w:type="spellStart"/>
      <w:r w:rsidRPr="000F0297">
        <w:t>KPI</w:t>
      </w:r>
      <w:r w:rsidRPr="000F0297">
        <w:t>’</w:t>
      </w:r>
      <w:r w:rsidRPr="000F0297">
        <w:t>s</w:t>
      </w:r>
      <w:proofErr w:type="spellEnd"/>
      <w:r w:rsidRPr="000F0297">
        <w:t xml:space="preserve"> en maandelijkse rapportages</w:t>
      </w:r>
    </w:p>
    <w:p w14:paraId="07709581" w14:textId="77777777" w:rsidR="000F0297" w:rsidRDefault="000F0297" w:rsidP="000F0297">
      <w:pPr>
        <w:rPr>
          <w:rFonts w:ascii="Palatino Linotype" w:hAnsi="Palatino Linotype"/>
          <w:sz w:val="21"/>
          <w:szCs w:val="21"/>
        </w:rPr>
      </w:pPr>
    </w:p>
    <w:p w14:paraId="59132C1A" w14:textId="6D881478" w:rsidR="000F0297" w:rsidRPr="000F0297" w:rsidRDefault="000F0297" w:rsidP="000F0297">
      <w:pPr>
        <w:pStyle w:val="Kop2"/>
        <w:numPr>
          <w:ilvl w:val="0"/>
          <w:numId w:val="0"/>
        </w:numPr>
        <w:ind w:left="576" w:hanging="576"/>
      </w:pPr>
      <w:proofErr w:type="spellStart"/>
      <w:r w:rsidRPr="000F0297">
        <w:t>KPI’s</w:t>
      </w:r>
      <w:proofErr w:type="spellEnd"/>
    </w:p>
    <w:p w14:paraId="31E00514" w14:textId="05243508" w:rsidR="000F0297" w:rsidRPr="00123A58" w:rsidRDefault="000F0297" w:rsidP="000F0297">
      <w:pPr>
        <w:rPr>
          <w:rFonts w:ascii="Palatino Linotype" w:hAnsi="Palatino Linotype"/>
          <w:sz w:val="21"/>
          <w:szCs w:val="21"/>
        </w:rPr>
      </w:pPr>
      <w:r w:rsidRPr="00123A58">
        <w:rPr>
          <w:rFonts w:ascii="Palatino Linotype" w:hAnsi="Palatino Linotype"/>
          <w:sz w:val="21"/>
          <w:szCs w:val="21"/>
        </w:rPr>
        <w:t xml:space="preserve">Opdrachtgever hanteert een aantal </w:t>
      </w:r>
      <w:proofErr w:type="spellStart"/>
      <w:r w:rsidRPr="00123A58">
        <w:rPr>
          <w:rFonts w:ascii="Palatino Linotype" w:hAnsi="Palatino Linotype"/>
          <w:sz w:val="21"/>
          <w:szCs w:val="21"/>
        </w:rPr>
        <w:t>Key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Performance Indicators (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) om de kwaliteit van de dienstverlening te toetsen. Deze 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richten zich op de snelheid van het bieden van de dienstverlening aan de inwoners, maar ook op de inhoudelijke en vormkwaliteit van de afhandeling. </w:t>
      </w:r>
    </w:p>
    <w:p w14:paraId="7A2FABE6" w14:textId="77777777" w:rsidR="000F0297" w:rsidRPr="00123A58" w:rsidRDefault="000F0297" w:rsidP="000F0297">
      <w:pPr>
        <w:rPr>
          <w:rFonts w:ascii="Palatino Linotype" w:hAnsi="Palatino Linotype"/>
          <w:sz w:val="21"/>
          <w:szCs w:val="21"/>
        </w:rPr>
      </w:pPr>
      <w:r w:rsidRPr="00123A58">
        <w:rPr>
          <w:rFonts w:ascii="Palatino Linotype" w:hAnsi="Palatino Linotype"/>
          <w:sz w:val="21"/>
          <w:szCs w:val="21"/>
        </w:rPr>
        <w:t xml:space="preserve">Opdrachtnemer is verantwoordelijk voor het rapporteren op onderstaande 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op basis van beschikbare gegevens uit het telefoniesysteem en registratiesysteem en op basis van de monitoring en analyse van de gesprekken van de kernteammedewerkers zoals aangegeven in </w:t>
      </w:r>
      <w:r w:rsidRPr="00F059FD">
        <w:rPr>
          <w:rFonts w:ascii="Palatino Linotype" w:hAnsi="Palatino Linotype"/>
          <w:sz w:val="21"/>
          <w:szCs w:val="21"/>
        </w:rPr>
        <w:t>eis 5.3</w:t>
      </w:r>
      <w:r w:rsidRPr="00123A58">
        <w:rPr>
          <w:rFonts w:ascii="Palatino Linotype" w:hAnsi="Palatino Linotype"/>
          <w:sz w:val="21"/>
          <w:szCs w:val="21"/>
        </w:rPr>
        <w:t xml:space="preserve"> </w:t>
      </w:r>
    </w:p>
    <w:p w14:paraId="11E29C61" w14:textId="77777777" w:rsidR="000F0297" w:rsidRPr="00123A58" w:rsidRDefault="000F0297" w:rsidP="000F0297">
      <w:pPr>
        <w:rPr>
          <w:rFonts w:ascii="Palatino Linotype" w:hAnsi="Palatino Linotype"/>
          <w:sz w:val="21"/>
          <w:szCs w:val="21"/>
        </w:rPr>
      </w:pPr>
      <w:r w:rsidRPr="00123A58">
        <w:rPr>
          <w:rFonts w:ascii="Palatino Linotype" w:hAnsi="Palatino Linotype"/>
          <w:sz w:val="21"/>
          <w:szCs w:val="21"/>
        </w:rPr>
        <w:t xml:space="preserve">Opdrachtnemer en Opdrachtgever werken op basis van redelijkheid en billijkheid en houden altijd het belang en het doel van de 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voor ogen: kwalitatief goede dienstverlening naar de inwoners.</w:t>
      </w:r>
    </w:p>
    <w:p w14:paraId="3D95F899" w14:textId="77777777" w:rsidR="000F0297" w:rsidRPr="00123A58" w:rsidRDefault="000F0297" w:rsidP="000F0297">
      <w:pPr>
        <w:rPr>
          <w:rFonts w:ascii="Palatino Linotype" w:hAnsi="Palatino Linotype"/>
          <w:sz w:val="21"/>
          <w:szCs w:val="21"/>
        </w:rPr>
      </w:pPr>
      <w:r w:rsidRPr="00123A58">
        <w:rPr>
          <w:rFonts w:ascii="Palatino Linotype" w:hAnsi="Palatino Linotype"/>
          <w:sz w:val="21"/>
          <w:szCs w:val="21"/>
        </w:rPr>
        <w:t xml:space="preserve">Opdrachtnemer rapporteert maandelijks over het behalen de 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op basis van de normen en doelstellingen zoals hieronder weergegeven. Bij het niet halen van de </w:t>
      </w:r>
      <w:proofErr w:type="spellStart"/>
      <w:r w:rsidRPr="00123A58">
        <w:rPr>
          <w:rFonts w:ascii="Palatino Linotype" w:hAnsi="Palatino Linotype"/>
          <w:sz w:val="21"/>
          <w:szCs w:val="21"/>
        </w:rPr>
        <w:t>KPI’s</w:t>
      </w:r>
      <w:proofErr w:type="spellEnd"/>
      <w:r w:rsidRPr="00123A58">
        <w:rPr>
          <w:rFonts w:ascii="Palatino Linotype" w:hAnsi="Palatino Linotype"/>
          <w:sz w:val="21"/>
          <w:szCs w:val="21"/>
        </w:rPr>
        <w:t xml:space="preserve"> heeft Opdrachtnemer een analyse uitgevoerd van de oorzaken en deelt deze met Opdrachtgever. </w:t>
      </w:r>
    </w:p>
    <w:p w14:paraId="63301060" w14:textId="57BD8F25" w:rsidR="000F0297" w:rsidRPr="00123A58" w:rsidRDefault="000F0297" w:rsidP="000F0297">
      <w:pPr>
        <w:rPr>
          <w:rFonts w:ascii="Palatino Linotype" w:hAnsi="Palatino Linotype"/>
          <w:sz w:val="21"/>
          <w:szCs w:val="21"/>
        </w:rPr>
      </w:pPr>
      <w:r w:rsidRPr="00123A58">
        <w:rPr>
          <w:rFonts w:ascii="Palatino Linotype" w:hAnsi="Palatino Linotype"/>
          <w:sz w:val="21"/>
          <w:szCs w:val="21"/>
        </w:rPr>
        <w:t>Opdrachtgever wil op deze basis met Opdrachtnemer werken aan een doorlopende kwaliteitsverbetering.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0297" w:rsidRPr="00123A58" w14:paraId="101C3297" w14:textId="77777777" w:rsidTr="00657E02">
        <w:tc>
          <w:tcPr>
            <w:tcW w:w="4531" w:type="dxa"/>
            <w:shd w:val="clear" w:color="auto" w:fill="D9D9D9" w:themeFill="background1" w:themeFillShade="D9"/>
          </w:tcPr>
          <w:p w14:paraId="45F12A29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Kern Prestatie Indicator (KPI)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FEB4754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Norm</w:t>
            </w:r>
          </w:p>
        </w:tc>
      </w:tr>
      <w:tr w:rsidR="000F0297" w:rsidRPr="00123A58" w14:paraId="6339D4A7" w14:textId="77777777" w:rsidTr="00657E02">
        <w:tc>
          <w:tcPr>
            <w:tcW w:w="4531" w:type="dxa"/>
          </w:tcPr>
          <w:p w14:paraId="24CD92DD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Aangenomen gesprekken</w:t>
            </w:r>
          </w:p>
        </w:tc>
        <w:tc>
          <w:tcPr>
            <w:tcW w:w="4531" w:type="dxa"/>
          </w:tcPr>
          <w:p w14:paraId="7D87F11D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95%</w:t>
            </w:r>
          </w:p>
        </w:tc>
      </w:tr>
      <w:tr w:rsidR="000F0297" w:rsidRPr="00123A58" w14:paraId="36E05BF4" w14:textId="77777777" w:rsidTr="00657E02">
        <w:tc>
          <w:tcPr>
            <w:tcW w:w="4531" w:type="dxa"/>
          </w:tcPr>
          <w:p w14:paraId="3C9FF2E5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Snelheid van beantwoorden</w:t>
            </w:r>
          </w:p>
        </w:tc>
        <w:tc>
          <w:tcPr>
            <w:tcW w:w="4531" w:type="dxa"/>
          </w:tcPr>
          <w:p w14:paraId="5F360811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80% binnen 30 seconden</w:t>
            </w:r>
          </w:p>
        </w:tc>
      </w:tr>
      <w:tr w:rsidR="000F0297" w:rsidRPr="00123A58" w14:paraId="08402766" w14:textId="77777777" w:rsidTr="00657E02">
        <w:tc>
          <w:tcPr>
            <w:tcW w:w="4531" w:type="dxa"/>
          </w:tcPr>
          <w:p w14:paraId="58346912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Gemiddelde wachttijd</w:t>
            </w:r>
          </w:p>
        </w:tc>
        <w:tc>
          <w:tcPr>
            <w:tcW w:w="4531" w:type="dxa"/>
          </w:tcPr>
          <w:p w14:paraId="6DAFB1AD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&lt;120 seconden</w:t>
            </w:r>
          </w:p>
        </w:tc>
      </w:tr>
      <w:tr w:rsidR="000F0297" w:rsidRPr="00123A58" w14:paraId="48D25725" w14:textId="77777777" w:rsidTr="00657E02">
        <w:tc>
          <w:tcPr>
            <w:tcW w:w="4531" w:type="dxa"/>
          </w:tcPr>
          <w:p w14:paraId="203416C0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First time fix</w:t>
            </w:r>
          </w:p>
        </w:tc>
        <w:tc>
          <w:tcPr>
            <w:tcW w:w="4531" w:type="dxa"/>
          </w:tcPr>
          <w:p w14:paraId="09597B0D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 xml:space="preserve">Doelstelling:  </w:t>
            </w:r>
            <w:r>
              <w:rPr>
                <w:rFonts w:ascii="Palatino Linotype" w:hAnsi="Palatino Linotype"/>
                <w:sz w:val="21"/>
                <w:szCs w:val="21"/>
              </w:rPr>
              <w:t>5</w:t>
            </w:r>
            <w:r w:rsidRPr="00123A58">
              <w:rPr>
                <w:rFonts w:ascii="Palatino Linotype" w:hAnsi="Palatino Linotype"/>
                <w:sz w:val="21"/>
                <w:szCs w:val="21"/>
              </w:rPr>
              <w:t>0%</w:t>
            </w:r>
          </w:p>
        </w:tc>
      </w:tr>
      <w:tr w:rsidR="000F0297" w:rsidRPr="00123A58" w14:paraId="07A1E2DF" w14:textId="77777777" w:rsidTr="00657E02">
        <w:tc>
          <w:tcPr>
            <w:tcW w:w="4531" w:type="dxa"/>
          </w:tcPr>
          <w:p w14:paraId="486613D6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Kritieke fouten</w:t>
            </w:r>
          </w:p>
        </w:tc>
        <w:tc>
          <w:tcPr>
            <w:tcW w:w="4531" w:type="dxa"/>
          </w:tcPr>
          <w:p w14:paraId="0F13DA14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Doelstelling: branchenorm</w:t>
            </w:r>
            <w:r>
              <w:rPr>
                <w:rFonts w:ascii="Palatino Linotype" w:hAnsi="Palatino Linotype"/>
                <w:sz w:val="21"/>
                <w:szCs w:val="21"/>
              </w:rPr>
              <w:t xml:space="preserve"> is</w:t>
            </w:r>
            <w:r w:rsidRPr="00123A58">
              <w:rPr>
                <w:rFonts w:ascii="Palatino Linotype" w:hAnsi="Palatino Linotype"/>
                <w:sz w:val="21"/>
                <w:szCs w:val="21"/>
              </w:rPr>
              <w:t xml:space="preserve"> 2%</w:t>
            </w:r>
          </w:p>
        </w:tc>
      </w:tr>
      <w:tr w:rsidR="000F0297" w:rsidRPr="00123A58" w14:paraId="15314E3F" w14:textId="77777777" w:rsidTr="00657E02">
        <w:tc>
          <w:tcPr>
            <w:tcW w:w="4531" w:type="dxa"/>
          </w:tcPr>
          <w:p w14:paraId="688941ED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Niet kritieke fouten</w:t>
            </w:r>
          </w:p>
        </w:tc>
        <w:tc>
          <w:tcPr>
            <w:tcW w:w="4531" w:type="dxa"/>
          </w:tcPr>
          <w:p w14:paraId="74B314C9" w14:textId="77777777" w:rsidR="000F0297" w:rsidRPr="00123A58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123A58">
              <w:rPr>
                <w:rFonts w:ascii="Palatino Linotype" w:hAnsi="Palatino Linotype"/>
                <w:sz w:val="21"/>
                <w:szCs w:val="21"/>
              </w:rPr>
              <w:t>Doelstelling: branchenorm</w:t>
            </w:r>
            <w:r>
              <w:rPr>
                <w:rFonts w:ascii="Palatino Linotype" w:hAnsi="Palatino Linotype"/>
                <w:sz w:val="21"/>
                <w:szCs w:val="21"/>
              </w:rPr>
              <w:t xml:space="preserve"> is</w:t>
            </w:r>
            <w:r w:rsidRPr="00123A58">
              <w:rPr>
                <w:rFonts w:ascii="Palatino Linotype" w:hAnsi="Palatino Linotype"/>
                <w:sz w:val="21"/>
                <w:szCs w:val="21"/>
              </w:rPr>
              <w:t xml:space="preserve"> 5%</w:t>
            </w:r>
          </w:p>
        </w:tc>
      </w:tr>
    </w:tbl>
    <w:p w14:paraId="1F9377AB" w14:textId="1E297282" w:rsidR="000F0297" w:rsidRDefault="000F0297" w:rsidP="000F0297"/>
    <w:p w14:paraId="371AA691" w14:textId="77777777" w:rsidR="00F059FD" w:rsidRDefault="00F059FD" w:rsidP="000F0297"/>
    <w:p w14:paraId="1C7264D5" w14:textId="01EC9478" w:rsidR="000F0297" w:rsidRPr="000F0297" w:rsidRDefault="000F0297" w:rsidP="000F0297">
      <w:pPr>
        <w:pStyle w:val="Kop2"/>
        <w:numPr>
          <w:ilvl w:val="0"/>
          <w:numId w:val="0"/>
        </w:numPr>
        <w:ind w:left="576" w:hanging="576"/>
      </w:pPr>
      <w:r w:rsidRPr="000F0297">
        <w:t>Maandelijkse rapportage</w:t>
      </w:r>
    </w:p>
    <w:p w14:paraId="067B6167" w14:textId="2EFD1491" w:rsidR="000F0297" w:rsidRDefault="00F059FD" w:rsidP="000F0297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De maandelijkse rapportage vormt de input voor de gesprekken </w:t>
      </w:r>
      <w:r>
        <w:rPr>
          <w:rFonts w:ascii="Palatino Linotype" w:hAnsi="Palatino Linotype"/>
          <w:sz w:val="21"/>
          <w:szCs w:val="21"/>
        </w:rPr>
        <w:t xml:space="preserve">tussen Opdrachtgever en Opdrachtnemer </w:t>
      </w:r>
      <w:proofErr w:type="spellStart"/>
      <w:r>
        <w:rPr>
          <w:rFonts w:ascii="Palatino Linotype" w:hAnsi="Palatino Linotype"/>
          <w:sz w:val="21"/>
          <w:szCs w:val="21"/>
        </w:rPr>
        <w:t>mbt</w:t>
      </w:r>
      <w:proofErr w:type="spellEnd"/>
      <w:r>
        <w:rPr>
          <w:rFonts w:ascii="Palatino Linotype" w:hAnsi="Palatino Linotype"/>
          <w:sz w:val="21"/>
          <w:szCs w:val="21"/>
        </w:rPr>
        <w:t xml:space="preserve"> inzicht, monitoring en evaluatie van de (kwaliteit van de) dienstverlening en bestaat minimaal 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F0297" w:rsidRPr="000F0297" w14:paraId="2DECC5FE" w14:textId="77777777" w:rsidTr="00657E02">
        <w:tc>
          <w:tcPr>
            <w:tcW w:w="7650" w:type="dxa"/>
            <w:shd w:val="clear" w:color="auto" w:fill="D9D9D9" w:themeFill="background1" w:themeFillShade="D9"/>
          </w:tcPr>
          <w:p w14:paraId="46545FD2" w14:textId="77777777" w:rsidR="000F0297" w:rsidRPr="000F0297" w:rsidRDefault="000F0297" w:rsidP="00657E02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0F0297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Algemeen </w:t>
            </w:r>
          </w:p>
        </w:tc>
      </w:tr>
      <w:tr w:rsidR="000F0297" w:rsidRPr="000F0297" w14:paraId="6330B2DE" w14:textId="77777777" w:rsidTr="00657E02">
        <w:tc>
          <w:tcPr>
            <w:tcW w:w="7650" w:type="dxa"/>
          </w:tcPr>
          <w:p w14:paraId="6F747EC8" w14:textId="77777777" w:rsidR="000F0297" w:rsidRPr="000F0297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0F0297">
              <w:rPr>
                <w:rFonts w:ascii="Palatino Linotype" w:hAnsi="Palatino Linotype"/>
                <w:sz w:val="21"/>
                <w:szCs w:val="21"/>
              </w:rPr>
              <w:t>Beschikbaarheid totale dienstverlening</w:t>
            </w:r>
          </w:p>
        </w:tc>
      </w:tr>
      <w:tr w:rsidR="000F0297" w:rsidRPr="000F0297" w14:paraId="7A2784F8" w14:textId="77777777" w:rsidTr="00657E02">
        <w:tc>
          <w:tcPr>
            <w:tcW w:w="7650" w:type="dxa"/>
          </w:tcPr>
          <w:p w14:paraId="5E4AE45C" w14:textId="739B475E" w:rsidR="000F0297" w:rsidRPr="000F0297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0F0297">
              <w:rPr>
                <w:rFonts w:ascii="Palatino Linotype" w:hAnsi="Palatino Linotype"/>
                <w:sz w:val="21"/>
                <w:szCs w:val="21"/>
              </w:rPr>
              <w:t>Personele invulling medewerkers afstand tot arbeidsmarkt zoals aangeven in gunningscriterium 1</w:t>
            </w:r>
          </w:p>
        </w:tc>
      </w:tr>
      <w:tr w:rsidR="000F0297" w:rsidRPr="009349C0" w14:paraId="0030598D" w14:textId="77777777" w:rsidTr="00657E02">
        <w:tc>
          <w:tcPr>
            <w:tcW w:w="7650" w:type="dxa"/>
          </w:tcPr>
          <w:p w14:paraId="59251F58" w14:textId="68D73E82" w:rsidR="00F059FD" w:rsidRPr="00F059FD" w:rsidRDefault="000F0297" w:rsidP="00657E02">
            <w:pPr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</w:pPr>
            <w:r w:rsidRPr="000F0297"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Gesignaleerde trends en afwijkingen in aanbod, inhoud en afhandeling(-</w:t>
            </w:r>
            <w:proofErr w:type="spellStart"/>
            <w:r w:rsidRPr="000F0297"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sproces</w:t>
            </w:r>
            <w:proofErr w:type="spellEnd"/>
            <w:r w:rsidRPr="000F0297"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)</w:t>
            </w:r>
          </w:p>
        </w:tc>
      </w:tr>
      <w:tr w:rsidR="00F059FD" w:rsidRPr="009349C0" w14:paraId="4EC42CBD" w14:textId="77777777" w:rsidTr="00657E02">
        <w:tc>
          <w:tcPr>
            <w:tcW w:w="7650" w:type="dxa"/>
          </w:tcPr>
          <w:p w14:paraId="42DDB70C" w14:textId="5162D621" w:rsidR="00F059FD" w:rsidRPr="000F0297" w:rsidRDefault="00F059FD" w:rsidP="00657E02">
            <w:pPr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Voorstel(</w:t>
            </w:r>
            <w:proofErr w:type="spellStart"/>
            <w:r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len</w:t>
            </w:r>
            <w:proofErr w:type="spellEnd"/>
            <w:r>
              <w:rPr>
                <w:rFonts w:ascii="Palatino Linotype" w:eastAsia="Times New Roman" w:hAnsi="Palatino Linotype" w:cs="Times New Roman"/>
                <w:sz w:val="21"/>
                <w:szCs w:val="20"/>
                <w:lang w:eastAsia="nl-NL"/>
              </w:rPr>
              <w:t>) ter verbeteringen van de dienstverlening</w:t>
            </w:r>
          </w:p>
        </w:tc>
      </w:tr>
    </w:tbl>
    <w:p w14:paraId="59E81CE2" w14:textId="77777777" w:rsidR="000F0297" w:rsidRPr="009349C0" w:rsidRDefault="000F0297" w:rsidP="000F0297">
      <w:pPr>
        <w:rPr>
          <w:rFonts w:ascii="Palatino Linotype" w:hAnsi="Palatino Linotype"/>
          <w:sz w:val="21"/>
          <w:szCs w:val="21"/>
        </w:rPr>
      </w:pPr>
    </w:p>
    <w:p w14:paraId="132ED3AD" w14:textId="77777777" w:rsidR="000F0297" w:rsidRPr="009349C0" w:rsidRDefault="000F0297" w:rsidP="000F0297">
      <w:pPr>
        <w:rPr>
          <w:rFonts w:ascii="Palatino Linotype" w:hAnsi="Palatino Linotype"/>
          <w:b/>
          <w:bCs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F0297" w:rsidRPr="0028590C" w14:paraId="017B3637" w14:textId="77777777" w:rsidTr="00657E02">
        <w:tc>
          <w:tcPr>
            <w:tcW w:w="7650" w:type="dxa"/>
            <w:shd w:val="clear" w:color="auto" w:fill="D9D9D9" w:themeFill="background1" w:themeFillShade="D9"/>
          </w:tcPr>
          <w:p w14:paraId="6B930031" w14:textId="77777777" w:rsidR="000F0297" w:rsidRPr="0028590C" w:rsidRDefault="000F0297" w:rsidP="00657E02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28590C">
              <w:rPr>
                <w:rFonts w:ascii="Palatino Linotype" w:hAnsi="Palatino Linotype"/>
                <w:b/>
                <w:bCs/>
                <w:sz w:val="21"/>
                <w:szCs w:val="21"/>
              </w:rPr>
              <w:t>Op basis van call detail records telefonie omgeving</w:t>
            </w:r>
          </w:p>
        </w:tc>
      </w:tr>
      <w:tr w:rsidR="000F0297" w:rsidRPr="009349C0" w14:paraId="7757D5F8" w14:textId="77777777" w:rsidTr="00657E02">
        <w:tc>
          <w:tcPr>
            <w:tcW w:w="7650" w:type="dxa"/>
          </w:tcPr>
          <w:p w14:paraId="6EDB8A5C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Aantal aangeboden gesprekken</w:t>
            </w:r>
          </w:p>
        </w:tc>
      </w:tr>
      <w:tr w:rsidR="000F0297" w:rsidRPr="000F0297" w14:paraId="636ECF41" w14:textId="77777777" w:rsidTr="00657E02">
        <w:tc>
          <w:tcPr>
            <w:tcW w:w="7650" w:type="dxa"/>
          </w:tcPr>
          <w:p w14:paraId="7FB87BB5" w14:textId="77777777" w:rsidR="000F0297" w:rsidRPr="000F0297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0F0297">
              <w:rPr>
                <w:rFonts w:ascii="Palatino Linotype" w:hAnsi="Palatino Linotype"/>
                <w:sz w:val="21"/>
                <w:szCs w:val="21"/>
              </w:rPr>
              <w:t>% aangenomen gesprekken</w:t>
            </w:r>
          </w:p>
        </w:tc>
      </w:tr>
      <w:tr w:rsidR="000F0297" w:rsidRPr="009349C0" w14:paraId="218773AC" w14:textId="77777777" w:rsidTr="00657E02">
        <w:tc>
          <w:tcPr>
            <w:tcW w:w="7650" w:type="dxa"/>
          </w:tcPr>
          <w:p w14:paraId="2D11DE3C" w14:textId="77777777" w:rsidR="000F0297" w:rsidRPr="000F0297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0F0297">
              <w:rPr>
                <w:rFonts w:ascii="Palatino Linotype" w:hAnsi="Palatino Linotype"/>
                <w:sz w:val="21"/>
                <w:szCs w:val="21"/>
              </w:rPr>
              <w:t>Aantal aangenomen gesprekken &lt; 30 seconden</w:t>
            </w:r>
          </w:p>
        </w:tc>
      </w:tr>
      <w:tr w:rsidR="000F0297" w:rsidRPr="009349C0" w14:paraId="51FF8565" w14:textId="77777777" w:rsidTr="00657E02">
        <w:tc>
          <w:tcPr>
            <w:tcW w:w="7650" w:type="dxa"/>
          </w:tcPr>
          <w:p w14:paraId="646D5916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Gemiddelde wachttijd</w:t>
            </w:r>
          </w:p>
        </w:tc>
      </w:tr>
      <w:tr w:rsidR="000F0297" w:rsidRPr="009349C0" w14:paraId="5FCE91B2" w14:textId="77777777" w:rsidTr="00657E02">
        <w:tc>
          <w:tcPr>
            <w:tcW w:w="7650" w:type="dxa"/>
          </w:tcPr>
          <w:p w14:paraId="52AD5CD1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Langste wachttijd</w:t>
            </w:r>
          </w:p>
        </w:tc>
      </w:tr>
      <w:tr w:rsidR="000F0297" w:rsidRPr="009349C0" w14:paraId="4009E89F" w14:textId="77777777" w:rsidTr="00657E02">
        <w:tc>
          <w:tcPr>
            <w:tcW w:w="7650" w:type="dxa"/>
          </w:tcPr>
          <w:p w14:paraId="12B8365A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Aangenomen en beantwoorde gesprekken per uur van de dag (8:30-17:00)</w:t>
            </w:r>
          </w:p>
        </w:tc>
      </w:tr>
      <w:tr w:rsidR="000F0297" w:rsidRPr="009349C0" w14:paraId="18A9ECD4" w14:textId="77777777" w:rsidTr="00657E02">
        <w:tc>
          <w:tcPr>
            <w:tcW w:w="7650" w:type="dxa"/>
          </w:tcPr>
          <w:p w14:paraId="572DF201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Gemiddelde gespreksduur</w:t>
            </w:r>
          </w:p>
        </w:tc>
      </w:tr>
    </w:tbl>
    <w:p w14:paraId="49EF3A09" w14:textId="2340BFF5" w:rsidR="000F0297" w:rsidRDefault="000F0297" w:rsidP="000F0297">
      <w:pPr>
        <w:rPr>
          <w:rFonts w:ascii="Palatino Linotype" w:hAnsi="Palatino Linotype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F0297" w:rsidRPr="0028590C" w14:paraId="2D88AE11" w14:textId="77777777" w:rsidTr="00657E02">
        <w:tc>
          <w:tcPr>
            <w:tcW w:w="7650" w:type="dxa"/>
            <w:shd w:val="clear" w:color="auto" w:fill="D9D9D9" w:themeFill="background1" w:themeFillShade="D9"/>
          </w:tcPr>
          <w:p w14:paraId="1361E486" w14:textId="77777777" w:rsidR="000F0297" w:rsidRPr="0028590C" w:rsidRDefault="000F0297" w:rsidP="00657E02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28590C">
              <w:rPr>
                <w:rFonts w:ascii="Palatino Linotype" w:hAnsi="Palatino Linotype"/>
                <w:b/>
                <w:bCs/>
                <w:sz w:val="21"/>
                <w:szCs w:val="21"/>
              </w:rPr>
              <w:t>Op basis van gespreksanalyse</w:t>
            </w:r>
          </w:p>
        </w:tc>
      </w:tr>
      <w:tr w:rsidR="000F0297" w:rsidRPr="009349C0" w14:paraId="2EF58C26" w14:textId="77777777" w:rsidTr="00657E02">
        <w:tc>
          <w:tcPr>
            <w:tcW w:w="7650" w:type="dxa"/>
          </w:tcPr>
          <w:p w14:paraId="6F8A7D4B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 xml:space="preserve">Kritieke en niet kritieke fouten en verbeterplan </w:t>
            </w:r>
          </w:p>
        </w:tc>
      </w:tr>
    </w:tbl>
    <w:p w14:paraId="2D8CF363" w14:textId="77777777" w:rsidR="000F0297" w:rsidRPr="009349C0" w:rsidRDefault="000F0297" w:rsidP="000F0297">
      <w:pPr>
        <w:rPr>
          <w:rFonts w:ascii="Palatino Linotype" w:hAnsi="Palatino Linotype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F0297" w:rsidRPr="0028590C" w14:paraId="7CC265B6" w14:textId="77777777" w:rsidTr="00657E02">
        <w:tc>
          <w:tcPr>
            <w:tcW w:w="7650" w:type="dxa"/>
            <w:shd w:val="clear" w:color="auto" w:fill="D9D9D9" w:themeFill="background1" w:themeFillShade="D9"/>
          </w:tcPr>
          <w:p w14:paraId="79924DDF" w14:textId="77777777" w:rsidR="000F0297" w:rsidRPr="0028590C" w:rsidRDefault="000F0297" w:rsidP="00657E02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28590C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Op basis van registratie </w:t>
            </w:r>
          </w:p>
        </w:tc>
      </w:tr>
      <w:tr w:rsidR="000F0297" w:rsidRPr="009349C0" w14:paraId="43FDFCD1" w14:textId="77777777" w:rsidTr="00657E02">
        <w:tc>
          <w:tcPr>
            <w:tcW w:w="7650" w:type="dxa"/>
          </w:tcPr>
          <w:p w14:paraId="48C4E124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 - zelf afgerond (first time fix)</w:t>
            </w:r>
          </w:p>
        </w:tc>
      </w:tr>
      <w:tr w:rsidR="000F0297" w:rsidRPr="009349C0" w14:paraId="71DDCE12" w14:textId="77777777" w:rsidTr="00657E02">
        <w:tc>
          <w:tcPr>
            <w:tcW w:w="7650" w:type="dxa"/>
          </w:tcPr>
          <w:p w14:paraId="01D8B67F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-  doorverbonden</w:t>
            </w:r>
          </w:p>
        </w:tc>
      </w:tr>
      <w:tr w:rsidR="000F0297" w:rsidRPr="009349C0" w14:paraId="1D74B610" w14:textId="77777777" w:rsidTr="00657E02">
        <w:tc>
          <w:tcPr>
            <w:tcW w:w="7650" w:type="dxa"/>
          </w:tcPr>
          <w:p w14:paraId="653781A0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 belt zelf terug</w:t>
            </w:r>
          </w:p>
        </w:tc>
      </w:tr>
      <w:tr w:rsidR="000F0297" w:rsidRPr="009349C0" w14:paraId="4316FA5F" w14:textId="77777777" w:rsidTr="00657E02">
        <w:tc>
          <w:tcPr>
            <w:tcW w:w="7650" w:type="dxa"/>
          </w:tcPr>
          <w:p w14:paraId="21793C9C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 terugbelverzoek gemaakt</w:t>
            </w:r>
          </w:p>
        </w:tc>
      </w:tr>
      <w:tr w:rsidR="000F0297" w:rsidRPr="009349C0" w14:paraId="24E55E72" w14:textId="77777777" w:rsidTr="00657E02">
        <w:tc>
          <w:tcPr>
            <w:tcW w:w="7650" w:type="dxa"/>
          </w:tcPr>
          <w:p w14:paraId="638FF636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 intern gesprek (medewerker Utrechtse Heuvelrug belt)</w:t>
            </w:r>
          </w:p>
        </w:tc>
      </w:tr>
      <w:tr w:rsidR="000F0297" w:rsidRPr="009349C0" w14:paraId="51D70ADE" w14:textId="77777777" w:rsidTr="00657E02">
        <w:tc>
          <w:tcPr>
            <w:tcW w:w="7650" w:type="dxa"/>
          </w:tcPr>
          <w:p w14:paraId="0E64F350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</w:t>
            </w:r>
            <w:r>
              <w:rPr>
                <w:rFonts w:ascii="Palatino Linotype" w:hAnsi="Palatino Linotype"/>
                <w:sz w:val="21"/>
                <w:szCs w:val="21"/>
              </w:rPr>
              <w:t xml:space="preserve"> verwijzing naar </w:t>
            </w:r>
            <w:r w:rsidRPr="009349C0">
              <w:rPr>
                <w:rFonts w:ascii="Palatino Linotype" w:hAnsi="Palatino Linotype"/>
                <w:sz w:val="21"/>
                <w:szCs w:val="21"/>
              </w:rPr>
              <w:t>andere organisatie</w:t>
            </w:r>
          </w:p>
        </w:tc>
      </w:tr>
      <w:tr w:rsidR="000F0297" w:rsidRPr="009349C0" w14:paraId="514A8204" w14:textId="77777777" w:rsidTr="00657E02">
        <w:tc>
          <w:tcPr>
            <w:tcW w:w="7650" w:type="dxa"/>
          </w:tcPr>
          <w:p w14:paraId="41C8D970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 gesprek niet mogelijk (verbindingsprobleem)</w:t>
            </w:r>
          </w:p>
        </w:tc>
      </w:tr>
      <w:tr w:rsidR="000F0297" w:rsidRPr="009349C0" w14:paraId="42C5F990" w14:textId="77777777" w:rsidTr="00657E02">
        <w:tc>
          <w:tcPr>
            <w:tcW w:w="7650" w:type="dxa"/>
          </w:tcPr>
          <w:p w14:paraId="326AB59C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Gesprekken – geen kennis</w:t>
            </w:r>
          </w:p>
        </w:tc>
      </w:tr>
      <w:tr w:rsidR="000F0297" w:rsidRPr="009349C0" w14:paraId="708CFC92" w14:textId="77777777" w:rsidTr="00657E02">
        <w:tc>
          <w:tcPr>
            <w:tcW w:w="7650" w:type="dxa"/>
          </w:tcPr>
          <w:p w14:paraId="4003E5A0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 xml:space="preserve">Gesprekken – overig </w:t>
            </w:r>
          </w:p>
        </w:tc>
      </w:tr>
      <w:tr w:rsidR="000F0297" w:rsidRPr="009349C0" w14:paraId="790637AC" w14:textId="77777777" w:rsidTr="00657E02">
        <w:tc>
          <w:tcPr>
            <w:tcW w:w="7650" w:type="dxa"/>
          </w:tcPr>
          <w:p w14:paraId="6BC257E2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 xml:space="preserve">Specificatie per belgroep (betreft 5 à 6 belgroepen) </w:t>
            </w:r>
          </w:p>
          <w:p w14:paraId="19B27A35" w14:textId="77777777" w:rsidR="000F0297" w:rsidRPr="009349C0" w:rsidRDefault="000F0297" w:rsidP="000F0297">
            <w:pPr>
              <w:pStyle w:val="Lijstalinea"/>
              <w:numPr>
                <w:ilvl w:val="0"/>
                <w:numId w:val="1"/>
              </w:num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aantal geslaagde doorverbonden gesprekken</w:t>
            </w:r>
          </w:p>
          <w:p w14:paraId="6F06F587" w14:textId="77777777" w:rsidR="000F0297" w:rsidRPr="009349C0" w:rsidRDefault="000F0297" w:rsidP="000F0297">
            <w:pPr>
              <w:pStyle w:val="Lijstalinea"/>
              <w:numPr>
                <w:ilvl w:val="0"/>
                <w:numId w:val="1"/>
              </w:num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>aantal gesprekken waarbij doorverbinden niet mogelijk was (onbereikbaar)</w:t>
            </w:r>
          </w:p>
        </w:tc>
      </w:tr>
    </w:tbl>
    <w:p w14:paraId="55E4FE5C" w14:textId="77777777" w:rsidR="000F0297" w:rsidRPr="009349C0" w:rsidRDefault="000F0297" w:rsidP="000F0297">
      <w:pPr>
        <w:rPr>
          <w:rFonts w:ascii="Palatino Linotype" w:hAnsi="Palatino Linotype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F0297" w:rsidRPr="0028590C" w14:paraId="6C2A6B48" w14:textId="77777777" w:rsidTr="00657E02">
        <w:tc>
          <w:tcPr>
            <w:tcW w:w="7650" w:type="dxa"/>
            <w:shd w:val="clear" w:color="auto" w:fill="D9D9D9" w:themeFill="background1" w:themeFillShade="D9"/>
          </w:tcPr>
          <w:p w14:paraId="4CFEF5D9" w14:textId="77777777" w:rsidR="000F0297" w:rsidRPr="0028590C" w:rsidRDefault="000F0297" w:rsidP="00657E02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28590C">
              <w:rPr>
                <w:rFonts w:ascii="Palatino Linotype" w:hAnsi="Palatino Linotype"/>
                <w:b/>
                <w:bCs/>
                <w:sz w:val="21"/>
                <w:szCs w:val="21"/>
              </w:rPr>
              <w:t>Op basis van technische meting</w:t>
            </w:r>
          </w:p>
        </w:tc>
      </w:tr>
      <w:tr w:rsidR="000F0297" w:rsidRPr="009349C0" w14:paraId="0DB1C40D" w14:textId="77777777" w:rsidTr="00657E02">
        <w:tc>
          <w:tcPr>
            <w:tcW w:w="7650" w:type="dxa"/>
          </w:tcPr>
          <w:p w14:paraId="3262A71D" w14:textId="77777777" w:rsidR="000F0297" w:rsidRPr="009349C0" w:rsidRDefault="000F0297" w:rsidP="00657E02">
            <w:pPr>
              <w:rPr>
                <w:rFonts w:ascii="Palatino Linotype" w:hAnsi="Palatino Linotype"/>
                <w:sz w:val="21"/>
                <w:szCs w:val="21"/>
              </w:rPr>
            </w:pPr>
            <w:r w:rsidRPr="009349C0">
              <w:rPr>
                <w:rFonts w:ascii="Palatino Linotype" w:hAnsi="Palatino Linotype"/>
                <w:sz w:val="21"/>
                <w:szCs w:val="21"/>
              </w:rPr>
              <w:t xml:space="preserve">Belasting beschikbare kanalen </w:t>
            </w:r>
          </w:p>
        </w:tc>
      </w:tr>
    </w:tbl>
    <w:p w14:paraId="0A0159B0" w14:textId="77777777" w:rsidR="0064780D" w:rsidRDefault="0064780D"/>
    <w:sectPr w:rsidR="0064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248"/>
    <w:multiLevelType w:val="hybridMultilevel"/>
    <w:tmpl w:val="805CE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pStyle w:val="Kop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8396">
    <w:abstractNumId w:val="0"/>
  </w:num>
  <w:num w:numId="2" w16cid:durableId="51773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97"/>
    <w:rsid w:val="000F0297"/>
    <w:rsid w:val="0064780D"/>
    <w:rsid w:val="00F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5C3B"/>
  <w15:chartTrackingRefBased/>
  <w15:docId w15:val="{076C3D14-7EA2-42C7-AF23-8042573D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0297"/>
  </w:style>
  <w:style w:type="paragraph" w:styleId="Kop1">
    <w:name w:val="heading 1"/>
    <w:basedOn w:val="Standaard"/>
    <w:next w:val="Standaard"/>
    <w:link w:val="Kop1Char"/>
    <w:uiPriority w:val="9"/>
    <w:qFormat/>
    <w:rsid w:val="000F0297"/>
    <w:pPr>
      <w:keepNext/>
      <w:keepLines/>
      <w:numPr>
        <w:numId w:val="1"/>
      </w:numPr>
      <w:spacing w:before="480" w:after="0" w:line="240" w:lineRule="auto"/>
      <w:ind w:left="432" w:hanging="432"/>
      <w:jc w:val="both"/>
      <w:outlineLvl w:val="0"/>
    </w:pPr>
    <w:rPr>
      <w:rFonts w:ascii="Palatino Linotype" w:eastAsiaTheme="majorEastAsia" w:hAnsi="Palatino Linotype" w:cstheme="majorBidi"/>
      <w:b/>
      <w:bCs/>
      <w:color w:val="008000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F0297"/>
    <w:pPr>
      <w:keepNext/>
      <w:keepLines/>
      <w:numPr>
        <w:ilvl w:val="1"/>
        <w:numId w:val="1"/>
      </w:numPr>
      <w:spacing w:before="240" w:after="0" w:line="276" w:lineRule="auto"/>
      <w:outlineLvl w:val="1"/>
    </w:pPr>
    <w:rPr>
      <w:rFonts w:ascii="Palatino Linotype" w:eastAsiaTheme="majorEastAsia" w:hAnsi="Palatino Linotype" w:cstheme="majorBidi"/>
      <w:b/>
      <w:bCs/>
      <w:color w:val="008000"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0F02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2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02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0297"/>
    <w:rPr>
      <w:sz w:val="20"/>
      <w:szCs w:val="20"/>
    </w:rPr>
  </w:style>
  <w:style w:type="table" w:styleId="Tabelraster">
    <w:name w:val="Table Grid"/>
    <w:basedOn w:val="Standaardtabel"/>
    <w:uiPriority w:val="59"/>
    <w:rsid w:val="000F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0F0297"/>
  </w:style>
  <w:style w:type="character" w:customStyle="1" w:styleId="Kop1Char">
    <w:name w:val="Kop 1 Char"/>
    <w:basedOn w:val="Standaardalinea-lettertype"/>
    <w:link w:val="Kop1"/>
    <w:uiPriority w:val="9"/>
    <w:rsid w:val="000F0297"/>
    <w:rPr>
      <w:rFonts w:ascii="Palatino Linotype" w:eastAsiaTheme="majorEastAsia" w:hAnsi="Palatino Linotype" w:cstheme="majorBidi"/>
      <w:b/>
      <w:bCs/>
      <w:color w:val="008000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F0297"/>
    <w:rPr>
      <w:rFonts w:ascii="Palatino Linotype" w:eastAsiaTheme="majorEastAsia" w:hAnsi="Palatino Linotype" w:cstheme="majorBidi"/>
      <w:b/>
      <w:bCs/>
      <w:color w:val="008000"/>
      <w:sz w:val="24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Marjo Potters</cp:lastModifiedBy>
  <cp:revision>1</cp:revision>
  <dcterms:created xsi:type="dcterms:W3CDTF">2022-11-25T11:51:00Z</dcterms:created>
  <dcterms:modified xsi:type="dcterms:W3CDTF">2022-11-26T10:45:00Z</dcterms:modified>
</cp:coreProperties>
</file>