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Bijlage </w:t>
      </w:r>
      <w:r w:rsidR="00465BA7">
        <w:rPr>
          <w:rFonts w:ascii="Calibri" w:hAnsi="Calibri" w:cs="Calibri"/>
          <w:b/>
          <w:bCs/>
          <w:sz w:val="24"/>
          <w:szCs w:val="24"/>
        </w:rPr>
        <w:t>C</w:t>
      </w:r>
      <w:bookmarkStart w:id="0" w:name="_GoBack"/>
      <w:bookmarkEnd w:id="0"/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CAR verzekering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De opdrachtgever sluit een Construction </w:t>
      </w:r>
      <w:proofErr w:type="spellStart"/>
      <w:r>
        <w:rPr>
          <w:rFonts w:ascii="Calibri" w:hAnsi="Calibri" w:cs="Calibri"/>
        </w:rPr>
        <w:t>All</w:t>
      </w:r>
      <w:proofErr w:type="spellEnd"/>
      <w:r>
        <w:rPr>
          <w:rFonts w:ascii="Calibri" w:hAnsi="Calibri" w:cs="Calibri"/>
        </w:rPr>
        <w:t xml:space="preserve"> Risk-verzekering (CAR-verzekering) af voor de werken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het bestek tot een bedrag van de aannemingssom, verhoogd met de kosten van werken door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derden, honoraria en directiekosten.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looptijd van de CAR-verzekering is vanaf de datum van aanvang van het werk tot en met het einde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van de onderhoudstermijn. De dekking bij eerdere ingebruikneming door de opdrachtgever voor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oplevering wordt beperkt tot de dekking welke de CAR-verzekering biedt tijdens 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onderhoudstermijn, zodat van dit onderdeel reeds alsdan overgang van risico plaatsvindt.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Verzekerden zullen zijn: de verzekeringnemer, de opdrachtgever c.q. de bouwdirectie, 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hoofdaannemer, aannemer(s), onderaannemer(s), installateur(s), ontwerper(s), architect(en),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adviseur(s), constructeur(s), de eigenaar van het werk en voor zover nog niet genoemde bij het werk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betrokken partijen die in verband met het verzekerde werk op het bouw- /montageterrein aanwezig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zijn.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de navolgende dekkingen tot de in de polis genoemde bedragen: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het werk tegen materiële schade;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als gevolg van wettelijke aansprakelijkheid van de verzekerden jegens derden;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aan bestaande eigendommen van de opdrachtgever;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eigendommen van de bouwdirectie en personeel.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onder andere geen dekking tegen: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bedrijfsschade zoals schade door stilstand of vertraging van de werkzaamheden, waarvoor 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ene verzekerde partij tegenover de andere aansprakelijk mocht zijn;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schade, direct of indirect ontstaan als gevolg van opzet, grove schuld of grove nalatigheid van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verzekerde.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Aannemersmaterieel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Door de CAR-verzekering worden slechts schaden gedekt welke zich op de bouwplaats en/of in 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directe omgeving daarvan voordoen. Schaden, welke optreden of in de werkplaats van de aannemer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dan wel van zijn onderaannemers(s), zijn derhalve niet gedekt. De aannemer dient zichzelf tegen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dergelijke schaden te verzekeren.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Het eigen risico komt in alle gevallen voor rekening van de aannemer.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uit hoofde van de CAR-verzekering uit te betalen vergoeding van schade geschiedt aan 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opdrachtgever die vervolgens de schadepenningen doet toekomen aan degene die hierop aanspraak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maakt. Rechtstreekse uitbetaling aan degene die hierop aanspraak maakt kan alleen geschieden na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uitdrukkelijke schriftelijke machtiging van de opdrachtgever.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Een kopie van de polis met de verzekeringsvoorwaarden zal zo spoedig mogelijk na afsluiten, op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diens verzoek aan de aannemer worden verstrekt.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aansprakelijkheid van de aannemer volgens de wet of het bestek wordt niet beperkt, verminderd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 gewijzigd door de CAR-verzekering en ontslaat de aannemer niet van zijn verplichting alle schade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volledig te herstellen en het werk volgens het bestek op te leveren.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Indien door welke oorzaak dan ook, enige schade of niet volledig volgens de polisvoorwaarden of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de verwachtingen van de aannemer wordt geëffectueerd, zal dit nimmer tot enigerlei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verplichting van de opdrachtgever tot betalen van schadevergoeding aan de aannemer leiden.</w:t>
      </w: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Met uitzondering van de Rubriek Aansprakelijkheid, secundaire dekking, zal voor alle overige</w:t>
      </w:r>
    </w:p>
    <w:p w:rsidR="00077F0B" w:rsidRDefault="00ED25E3" w:rsidP="00ED25E3">
      <w:r>
        <w:rPr>
          <w:rFonts w:ascii="Calibri" w:hAnsi="Calibri" w:cs="Calibri"/>
        </w:rPr>
        <w:t>verzekerde rubrieken de CAR-verzekering een primaire dekking verlenen.</w:t>
      </w:r>
    </w:p>
    <w:sectPr w:rsidR="00077F0B" w:rsidSect="00ED25E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E3"/>
    <w:rsid w:val="002B1387"/>
    <w:rsid w:val="003C49C6"/>
    <w:rsid w:val="0045604F"/>
    <w:rsid w:val="00465BA7"/>
    <w:rsid w:val="00770A6E"/>
    <w:rsid w:val="00933EE7"/>
    <w:rsid w:val="009D4084"/>
    <w:rsid w:val="00BC663D"/>
    <w:rsid w:val="00C82076"/>
    <w:rsid w:val="00D8748D"/>
    <w:rsid w:val="00DD35BA"/>
    <w:rsid w:val="00E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3C24"/>
  <w15:docId w15:val="{B6FECE93-A486-4A5E-BD38-17EE5001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van Vliet</dc:creator>
  <cp:lastModifiedBy>Ellen van Vliet</cp:lastModifiedBy>
  <cp:revision>4</cp:revision>
  <cp:lastPrinted>2020-06-18T09:17:00Z</cp:lastPrinted>
  <dcterms:created xsi:type="dcterms:W3CDTF">2018-06-13T11:33:00Z</dcterms:created>
  <dcterms:modified xsi:type="dcterms:W3CDTF">2020-06-18T09:17:00Z</dcterms:modified>
</cp:coreProperties>
</file>