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418C2" w14:textId="7FAF3020" w:rsidR="002859EC" w:rsidRPr="004B6729" w:rsidRDefault="008E418E" w:rsidP="002859EC">
      <w:pPr>
        <w:pStyle w:val="KopBijlage"/>
        <w:rPr>
          <w:color w:val="auto"/>
          <w:sz w:val="36"/>
        </w:rPr>
      </w:pPr>
      <w:bookmarkStart w:id="0" w:name="_Toc33545748"/>
      <w:r>
        <w:rPr>
          <w:color w:val="auto"/>
          <w:sz w:val="36"/>
        </w:rPr>
        <w:t>Nota van Inlichtingen</w:t>
      </w:r>
      <w:r w:rsidR="002859EC" w:rsidRPr="004B6729">
        <w:rPr>
          <w:color w:val="auto"/>
          <w:sz w:val="36"/>
        </w:rPr>
        <w:t xml:space="preserve"> </w:t>
      </w:r>
      <w:bookmarkEnd w:id="0"/>
      <w:r w:rsidR="009B1234">
        <w:rPr>
          <w:color w:val="auto"/>
          <w:sz w:val="36"/>
        </w:rPr>
        <w:t>2</w:t>
      </w:r>
    </w:p>
    <w:p w14:paraId="5E169FE5" w14:textId="77777777" w:rsidR="00346716" w:rsidRPr="00B33892" w:rsidRDefault="00346716" w:rsidP="00346716">
      <w:pPr>
        <w:pStyle w:val="Geenafstand"/>
        <w:rPr>
          <w:rFonts w:ascii="Calibri" w:hAnsi="Calibri"/>
          <w:b/>
          <w:sz w:val="20"/>
          <w:szCs w:val="20"/>
        </w:rPr>
      </w:pPr>
    </w:p>
    <w:p w14:paraId="1366EF4E" w14:textId="03EBD2F9" w:rsidR="037D1F77" w:rsidRDefault="037D1F77" w:rsidP="037D1F77">
      <w:pPr>
        <w:pStyle w:val="Geenafstand"/>
        <w:rPr>
          <w:rFonts w:ascii="Calibri" w:hAnsi="Calibri"/>
          <w:b/>
          <w:bCs/>
          <w:sz w:val="20"/>
          <w:szCs w:val="20"/>
        </w:rPr>
      </w:pPr>
    </w:p>
    <w:p w14:paraId="2500F0BB" w14:textId="77777777" w:rsidR="00346716" w:rsidRPr="006B57AB" w:rsidRDefault="00346716" w:rsidP="00346716">
      <w:pPr>
        <w:spacing w:after="0" w:line="240" w:lineRule="auto"/>
        <w:rPr>
          <w:rFonts w:ascii="Calibri" w:hAnsi="Calibri"/>
          <w:szCs w:val="20"/>
        </w:rPr>
      </w:pPr>
    </w:p>
    <w:tbl>
      <w:tblPr>
        <w:tblStyle w:val="Tabelraster1"/>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559"/>
        <w:gridCol w:w="3132"/>
        <w:gridCol w:w="7479"/>
      </w:tblGrid>
      <w:tr w:rsidR="005A5E89" w:rsidRPr="002859EC" w14:paraId="6363CC96" w14:textId="4161A3C0" w:rsidTr="005A5E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tcPr>
          <w:p w14:paraId="301FF5EC" w14:textId="77777777" w:rsidR="005A5E89" w:rsidRPr="009A17C0" w:rsidRDefault="005A5E89" w:rsidP="009A17C0">
            <w:pPr>
              <w:spacing w:after="0" w:line="250" w:lineRule="atLeast"/>
              <w:rPr>
                <w:rFonts w:cs="Arial"/>
              </w:rPr>
            </w:pPr>
            <w:r w:rsidRPr="009A17C0">
              <w:rPr>
                <w:rFonts w:cs="Arial"/>
              </w:rPr>
              <w:t>Vraag nr.</w:t>
            </w:r>
          </w:p>
        </w:tc>
        <w:tc>
          <w:tcPr>
            <w:tcW w:w="2559" w:type="dxa"/>
          </w:tcPr>
          <w:p w14:paraId="552A3D38" w14:textId="77777777" w:rsidR="005A5E89" w:rsidRPr="004B6729" w:rsidRDefault="005A5E89" w:rsidP="002859EC">
            <w:pPr>
              <w:spacing w:after="0" w:line="250" w:lineRule="atLeast"/>
              <w:cnfStyle w:val="100000000000" w:firstRow="1" w:lastRow="0" w:firstColumn="0" w:lastColumn="0" w:oddVBand="0" w:evenVBand="0" w:oddHBand="0" w:evenHBand="0" w:firstRowFirstColumn="0" w:firstRowLastColumn="0" w:lastRowFirstColumn="0" w:lastRowLastColumn="0"/>
              <w:rPr>
                <w:rFonts w:cs="Arial"/>
              </w:rPr>
            </w:pPr>
            <w:r w:rsidRPr="004B6729">
              <w:rPr>
                <w:rFonts w:cs="Arial"/>
              </w:rPr>
              <w:t>Betreft document/</w:t>
            </w:r>
          </w:p>
          <w:p w14:paraId="507B690E" w14:textId="357F60D6" w:rsidR="005A5E89" w:rsidRPr="004B6729" w:rsidRDefault="005A5E89" w:rsidP="002859EC">
            <w:pPr>
              <w:spacing w:after="0" w:line="250" w:lineRule="atLeast"/>
              <w:cnfStyle w:val="100000000000" w:firstRow="1" w:lastRow="0" w:firstColumn="0" w:lastColumn="0" w:oddVBand="0" w:evenVBand="0" w:oddHBand="0" w:evenHBand="0" w:firstRowFirstColumn="0" w:firstRowLastColumn="0" w:lastRowFirstColumn="0" w:lastRowLastColumn="0"/>
              <w:rPr>
                <w:rFonts w:cs="Arial"/>
              </w:rPr>
            </w:pPr>
            <w:r w:rsidRPr="004B6729">
              <w:rPr>
                <w:rFonts w:cs="Arial"/>
              </w:rPr>
              <w:t>paragraaf/paginanummer</w:t>
            </w:r>
          </w:p>
        </w:tc>
        <w:tc>
          <w:tcPr>
            <w:tcW w:w="3132" w:type="dxa"/>
          </w:tcPr>
          <w:p w14:paraId="297A2484" w14:textId="77777777" w:rsidR="005A5E89" w:rsidRPr="004B6729" w:rsidRDefault="005A5E89" w:rsidP="002859EC">
            <w:pPr>
              <w:spacing w:after="0" w:line="250" w:lineRule="atLeast"/>
              <w:cnfStyle w:val="100000000000" w:firstRow="1" w:lastRow="0" w:firstColumn="0" w:lastColumn="0" w:oddVBand="0" w:evenVBand="0" w:oddHBand="0" w:evenHBand="0" w:firstRowFirstColumn="0" w:firstRowLastColumn="0" w:lastRowFirstColumn="0" w:lastRowLastColumn="0"/>
              <w:rPr>
                <w:rFonts w:cs="Arial"/>
              </w:rPr>
            </w:pPr>
            <w:r w:rsidRPr="004B6729">
              <w:rPr>
                <w:rFonts w:cs="Arial"/>
              </w:rPr>
              <w:t>Vraag</w:t>
            </w:r>
          </w:p>
        </w:tc>
        <w:tc>
          <w:tcPr>
            <w:tcW w:w="7479" w:type="dxa"/>
          </w:tcPr>
          <w:p w14:paraId="382D3EB7" w14:textId="77777777" w:rsidR="005A5E89" w:rsidRPr="004B6729" w:rsidRDefault="005A5E89" w:rsidP="00C22EE0">
            <w:pPr>
              <w:spacing w:after="0" w:line="250" w:lineRule="atLeast"/>
              <w:cnfStyle w:val="100000000000" w:firstRow="1" w:lastRow="0" w:firstColumn="0" w:lastColumn="0" w:oddVBand="0" w:evenVBand="0" w:oddHBand="0" w:evenHBand="0" w:firstRowFirstColumn="0" w:firstRowLastColumn="0" w:lastRowFirstColumn="0" w:lastRowLastColumn="0"/>
              <w:rPr>
                <w:rFonts w:cs="Arial"/>
              </w:rPr>
            </w:pPr>
            <w:r w:rsidRPr="004B6729">
              <w:rPr>
                <w:rFonts w:cs="Arial"/>
              </w:rPr>
              <w:t xml:space="preserve">Antwoord </w:t>
            </w:r>
          </w:p>
          <w:p w14:paraId="59D3D6BD" w14:textId="3ACBCD25" w:rsidR="005A5E89" w:rsidRPr="004B6729" w:rsidRDefault="005A5E89" w:rsidP="00C22EE0">
            <w:pPr>
              <w:spacing w:after="0" w:line="250" w:lineRule="atLeast"/>
              <w:cnfStyle w:val="100000000000" w:firstRow="1" w:lastRow="0" w:firstColumn="0" w:lastColumn="0" w:oddVBand="0" w:evenVBand="0" w:oddHBand="0" w:evenHBand="0" w:firstRowFirstColumn="0" w:firstRowLastColumn="0" w:lastRowFirstColumn="0" w:lastRowLastColumn="0"/>
              <w:rPr>
                <w:rFonts w:cs="Arial"/>
              </w:rPr>
            </w:pPr>
            <w:r w:rsidRPr="004B6729">
              <w:rPr>
                <w:rFonts w:cs="Arial"/>
              </w:rPr>
              <w:t>(in te vullen door de VRK)</w:t>
            </w:r>
          </w:p>
        </w:tc>
      </w:tr>
      <w:tr w:rsidR="005A5E89" w:rsidRPr="00CD6D3F" w14:paraId="1C1FC1EE" w14:textId="100404F5" w:rsidTr="005A5E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tcPr>
          <w:p w14:paraId="06AC7D4C" w14:textId="64A3523F"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auto"/>
              <w:left w:val="single" w:sz="4" w:space="0" w:color="auto"/>
              <w:bottom w:val="single" w:sz="4" w:space="0" w:color="auto"/>
              <w:right w:val="single" w:sz="4" w:space="0" w:color="auto"/>
            </w:tcBorders>
          </w:tcPr>
          <w:p w14:paraId="224F882E" w14:textId="4D48947A" w:rsidR="005A5E89" w:rsidRPr="004B672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theme="minorHAnsi"/>
              </w:rPr>
              <w:t>Eis 104, Bijlage 22 Kengetallen</w:t>
            </w:r>
          </w:p>
        </w:tc>
        <w:tc>
          <w:tcPr>
            <w:tcW w:w="3132" w:type="dxa"/>
            <w:tcBorders>
              <w:top w:val="single" w:sz="4" w:space="0" w:color="auto"/>
              <w:left w:val="single" w:sz="4" w:space="0" w:color="auto"/>
              <w:bottom w:val="single" w:sz="4" w:space="0" w:color="auto"/>
              <w:right w:val="single" w:sz="4" w:space="0" w:color="auto"/>
            </w:tcBorders>
          </w:tcPr>
          <w:p w14:paraId="7474F538" w14:textId="77777777" w:rsidR="005A5E89" w:rsidRDefault="005A5E89" w:rsidP="000F3343">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Het besluit met betrekking tot de kijkversie in het huidige systeem heeft grote impact op de scope van de conversie.</w:t>
            </w:r>
          </w:p>
          <w:p w14:paraId="45F04A92" w14:textId="77777777" w:rsidR="005A5E89" w:rsidRDefault="005A5E89" w:rsidP="000F3343">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 Is AD bereid om inschrijvers zo mogelijk eerder dan in NvI 2 te voorzien van informatie omtrent de kijkversie?</w:t>
            </w:r>
          </w:p>
          <w:p w14:paraId="60280FB2" w14:textId="2E69AC2A" w:rsidR="005A5E89" w:rsidRPr="004B672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theme="minorHAnsi"/>
              </w:rPr>
              <w:t>2. Als deze informatie bij NvI 2 verstrekt wordt, is AD dan bereid om inschrijvers antwoord te geven op eventuele vragen die daar nog uit voortkomen?</w:t>
            </w:r>
          </w:p>
        </w:tc>
        <w:tc>
          <w:tcPr>
            <w:tcW w:w="7479" w:type="dxa"/>
          </w:tcPr>
          <w:p w14:paraId="2D728570" w14:textId="474324BE" w:rsidR="005A5E8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pPr>
            <w:r>
              <w:t>1. VRK realiseert zich dat de kijkfunctie een grote impact heeft op de scope van de conversie. Er is echter nog geen antwoord op de vraag of er een kijkfunctie beschikbaar wordt gesteld tegen een redelijke prijs en kan derhalve nog geen nadere informatie verstrekken. Vooralsnog dient inschrijver uit te gaan van het gestelde in de aanbestedingsstukken.</w:t>
            </w:r>
          </w:p>
          <w:p w14:paraId="4EEFEC07" w14:textId="77777777" w:rsidR="005A5E8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pPr>
          </w:p>
          <w:p w14:paraId="053EEFB8" w14:textId="2853AB26" w:rsidR="005A5E8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pPr>
            <w:r>
              <w:t>2. Daar is geen tijd meer voor.</w:t>
            </w:r>
          </w:p>
        </w:tc>
      </w:tr>
      <w:tr w:rsidR="005A5E89" w:rsidRPr="00CD6D3F" w14:paraId="0EF3D46E" w14:textId="2828BAA4" w:rsidTr="005A5E89">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095F9684" w14:textId="689720DD"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auto"/>
              <w:left w:val="single" w:sz="4" w:space="0" w:color="auto"/>
              <w:bottom w:val="single" w:sz="4" w:space="0" w:color="auto"/>
              <w:right w:val="single" w:sz="4" w:space="0" w:color="auto"/>
            </w:tcBorders>
          </w:tcPr>
          <w:p w14:paraId="331DEB45" w14:textId="26FE9B08" w:rsidR="005A5E89" w:rsidRPr="004B672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theme="minorHAnsi"/>
              </w:rPr>
              <w:t>Eis 104, Bijlage 22 Kengetallen</w:t>
            </w:r>
          </w:p>
        </w:tc>
        <w:tc>
          <w:tcPr>
            <w:tcW w:w="3132" w:type="dxa"/>
            <w:tcBorders>
              <w:top w:val="single" w:sz="4" w:space="0" w:color="auto"/>
              <w:left w:val="single" w:sz="4" w:space="0" w:color="auto"/>
              <w:bottom w:val="single" w:sz="4" w:space="0" w:color="auto"/>
              <w:right w:val="single" w:sz="4" w:space="0" w:color="auto"/>
            </w:tcBorders>
          </w:tcPr>
          <w:p w14:paraId="108E383C"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De huidige scope van de conversie conform Bijlage Kengetallen roept bij Inschrijver de volgende vragen op:</w:t>
            </w:r>
          </w:p>
          <w:p w14:paraId="3B0FFD5C"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1. Liever voorkomt Inschrijver vervuiling door gegevens van oud-medewerkers (uit dienst). Mocht het toch noodzakelijk zijn, met hoeveel oud-medewerkers </w:t>
            </w:r>
            <w:r>
              <w:rPr>
                <w:rFonts w:cstheme="minorHAnsi"/>
              </w:rPr>
              <w:lastRenderedPageBreak/>
              <w:t>dient Inschrijver rekening te houden?</w:t>
            </w:r>
          </w:p>
          <w:p w14:paraId="6F7788A9"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2. Bedoelt AD met ‘Salaris gerelateerde gegevens’ de loonstroken en loonstaten, in de vorm van documenten? De schaal is immers al vastgelegd in de ‘Historische aanstellingsgegevens’.</w:t>
            </w:r>
          </w:p>
          <w:p w14:paraId="57C2BE38"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rPr>
                <w:rFonts w:cstheme="minorHAnsi"/>
              </w:rPr>
            </w:pPr>
            <w:r>
              <w:t xml:space="preserve">3. Ervan uitgaande dat u </w:t>
            </w:r>
            <w:r>
              <w:rPr>
                <w:rFonts w:cstheme="minorHAnsi"/>
              </w:rPr>
              <w:t>met ‘Salaris gerelateerde gegevens’ inderdaad de loonstroken en loonstaten bedoelt, is het voor AD akkoord als</w:t>
            </w:r>
            <w:r>
              <w:rPr>
                <w:color w:val="FF0000"/>
              </w:rPr>
              <w:t xml:space="preserve"> </w:t>
            </w:r>
            <w:r>
              <w:rPr>
                <w:rFonts w:cstheme="minorHAnsi"/>
              </w:rPr>
              <w:t>loonstroken en loonstaten van oud medewerkers in een totaalbestand ingelezen worden in het E-HRM systeem?</w:t>
            </w:r>
          </w:p>
          <w:p w14:paraId="1DD77B14" w14:textId="650849E0" w:rsidR="005A5E89" w:rsidRPr="004B672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theme="minorHAnsi"/>
              </w:rPr>
              <w:t>4. Kan AD akkoord gaan met het inlezen van de personeelsdossiers van oud-medewerkers (uit dienst) zonder dat voor deze medewerkers een medewerker met een medewerkernummer wordt aangemaakt? Persoonsgegevens worden in dat geval in de omschrijving van het document vastgelegd.</w:t>
            </w:r>
          </w:p>
        </w:tc>
        <w:tc>
          <w:tcPr>
            <w:tcW w:w="7479" w:type="dxa"/>
          </w:tcPr>
          <w:p w14:paraId="69E95DA5" w14:textId="0C6C42BF"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r>
              <w:lastRenderedPageBreak/>
              <w:t>1: 800 medewerkers</w:t>
            </w:r>
          </w:p>
          <w:p w14:paraId="65A4FB5B" w14:textId="77777777"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p>
          <w:p w14:paraId="18F8E44F" w14:textId="6FC20AE3"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r>
              <w:t>2 Dat is juist.</w:t>
            </w:r>
          </w:p>
          <w:p w14:paraId="138B643B" w14:textId="77777777"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p>
          <w:p w14:paraId="743E7159" w14:textId="1C502CC6"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r>
              <w:t>3 Wanneer het totaalbestand per medewerker wordt geconverteerd kan VRK hiermee akkoord gaan.</w:t>
            </w:r>
          </w:p>
          <w:p w14:paraId="0691B70F" w14:textId="77777777"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p>
          <w:p w14:paraId="3D8CECFC" w14:textId="736D6174"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r>
              <w:t>4. Dat is niet akkoord.</w:t>
            </w:r>
          </w:p>
        </w:tc>
      </w:tr>
      <w:tr w:rsidR="005A5E89" w:rsidRPr="00CD6D3F" w14:paraId="71A2A22E" w14:textId="0F55BED0" w:rsidTr="005A5E89">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3B2932D6" w14:textId="08D4A04C"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auto"/>
              <w:left w:val="single" w:sz="4" w:space="0" w:color="auto"/>
              <w:bottom w:val="single" w:sz="4" w:space="0" w:color="auto"/>
              <w:right w:val="single" w:sz="4" w:space="0" w:color="auto"/>
            </w:tcBorders>
          </w:tcPr>
          <w:p w14:paraId="36902265" w14:textId="0A0706EC" w:rsidR="005A5E89" w:rsidRPr="004B672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theme="minorHAnsi"/>
              </w:rPr>
              <w:t>Eis 130</w:t>
            </w:r>
          </w:p>
        </w:tc>
        <w:tc>
          <w:tcPr>
            <w:tcW w:w="3132" w:type="dxa"/>
            <w:tcBorders>
              <w:top w:val="single" w:sz="4" w:space="0" w:color="auto"/>
              <w:left w:val="single" w:sz="4" w:space="0" w:color="auto"/>
              <w:bottom w:val="single" w:sz="4" w:space="0" w:color="auto"/>
              <w:right w:val="single" w:sz="4" w:space="0" w:color="auto"/>
            </w:tcBorders>
          </w:tcPr>
          <w:p w14:paraId="4AA13877" w14:textId="77777777" w:rsidR="005A5E89" w:rsidRDefault="005A5E89" w:rsidP="000F3343">
            <w:pPr>
              <w:cnfStyle w:val="000000100000" w:firstRow="0" w:lastRow="0" w:firstColumn="0" w:lastColumn="0" w:oddVBand="0" w:evenVBand="0" w:oddHBand="1" w:evenHBand="0" w:firstRowFirstColumn="0" w:firstRowLastColumn="0" w:lastRowFirstColumn="0" w:lastRowLastColumn="0"/>
            </w:pPr>
            <w:r>
              <w:t xml:space="preserve">Inschrijver begrijpt hoe de eis uitgelegd dient te worden, maar </w:t>
            </w:r>
            <w:r>
              <w:lastRenderedPageBreak/>
              <w:t>is net als andere vragenstellers van mening dat het buitensporig, onredelijk en disproportioneel is om naast de aansprakelijkheden uit de GIBIT ook nog eens een zeer hoge boete op te nemen.</w:t>
            </w:r>
          </w:p>
          <w:p w14:paraId="260017EE" w14:textId="77777777" w:rsidR="005A5E89" w:rsidRDefault="005A5E89" w:rsidP="000F3343">
            <w:pPr>
              <w:cnfStyle w:val="000000100000" w:firstRow="0" w:lastRow="0" w:firstColumn="0" w:lastColumn="0" w:oddVBand="0" w:evenVBand="0" w:oddHBand="1" w:evenHBand="0" w:firstRowFirstColumn="0" w:firstRowLastColumn="0" w:lastRowFirstColumn="0" w:lastRowLastColumn="0"/>
            </w:pPr>
            <w:r>
              <w:t>Inschrijver kan dan ook niet akkoord gaan met een boete van 1% van het jaarbedrag. Alleen al omdat het jaarbedrag meer betreft dan alleen de onderhoudskosten. Het systeem van Inschrijver wordt bijvoorbeeld doorlopend van nieuwe functionaliteiten voorzien die de AD binnen het jaarbedrag kan gebruiken.</w:t>
            </w:r>
          </w:p>
          <w:p w14:paraId="6CA2D21C" w14:textId="77777777" w:rsidR="005A5E89" w:rsidRDefault="005A5E89" w:rsidP="000F3343">
            <w:pPr>
              <w:cnfStyle w:val="000000100000" w:firstRow="0" w:lastRow="0" w:firstColumn="0" w:lastColumn="0" w:oddVBand="0" w:evenVBand="0" w:oddHBand="1" w:evenHBand="0" w:firstRowFirstColumn="0" w:firstRowLastColumn="0" w:lastRowFirstColumn="0" w:lastRowLastColumn="0"/>
            </w:pPr>
            <w:r>
              <w:t>Daarnaast zal het opleggen van deze boete in de uitvoering leiden tot praktische bezwaren en discussie. AD kan zich daarom afvragen wat zij ermee opschiet.</w:t>
            </w:r>
          </w:p>
          <w:p w14:paraId="3D637568" w14:textId="77777777" w:rsidR="005A5E89" w:rsidRDefault="005A5E89" w:rsidP="000F3343">
            <w:pPr>
              <w:cnfStyle w:val="000000100000" w:firstRow="0" w:lastRow="0" w:firstColumn="0" w:lastColumn="0" w:oddVBand="0" w:evenVBand="0" w:oddHBand="1" w:evenHBand="0" w:firstRowFirstColumn="0" w:firstRowLastColumn="0" w:lastRowFirstColumn="0" w:lastRowLastColumn="0"/>
            </w:pPr>
            <w:r>
              <w:t>Verder kent het systeem van Inschrijver in de afgelopen jaren een beschikbaarheid van bijna 100% (en dat niet alleen binnen de tijd waarin de applicatie volgens de VRK beschikbaar dient te zijn).</w:t>
            </w:r>
          </w:p>
          <w:p w14:paraId="528450AF" w14:textId="2B9BECBA" w:rsidR="005A5E89" w:rsidRPr="004B672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lastRenderedPageBreak/>
              <w:t>Inschrijver vraagt AD dringend om het schrappen van deze eis te heroverwegen.</w:t>
            </w:r>
          </w:p>
        </w:tc>
        <w:tc>
          <w:tcPr>
            <w:tcW w:w="7479" w:type="dxa"/>
          </w:tcPr>
          <w:p w14:paraId="6785ED6E" w14:textId="246316AB" w:rsidR="005A5E8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pPr>
            <w:r>
              <w:lastRenderedPageBreak/>
              <w:t xml:space="preserve">VRK zal een maximum van 20% van het jaarbedrag als plafond opnemen.  </w:t>
            </w:r>
          </w:p>
        </w:tc>
      </w:tr>
      <w:tr w:rsidR="005A5E89" w:rsidRPr="00CD6D3F" w14:paraId="29512EF8" w14:textId="275B9B82" w:rsidTr="005A5E89">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0734BC72" w14:textId="60162733"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auto"/>
              <w:left w:val="single" w:sz="4" w:space="0" w:color="auto"/>
              <w:bottom w:val="single" w:sz="4" w:space="0" w:color="auto"/>
              <w:right w:val="single" w:sz="4" w:space="0" w:color="auto"/>
            </w:tcBorders>
          </w:tcPr>
          <w:p w14:paraId="0D2E0D1A" w14:textId="17D55C29" w:rsidR="005A5E89" w:rsidRPr="004B672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Beschrijvend document § 2.2</w:t>
            </w:r>
          </w:p>
        </w:tc>
        <w:tc>
          <w:tcPr>
            <w:tcW w:w="3132" w:type="dxa"/>
            <w:tcBorders>
              <w:top w:val="single" w:sz="4" w:space="0" w:color="auto"/>
              <w:left w:val="single" w:sz="4" w:space="0" w:color="auto"/>
              <w:bottom w:val="single" w:sz="4" w:space="0" w:color="auto"/>
              <w:right w:val="single" w:sz="4" w:space="0" w:color="auto"/>
            </w:tcBorders>
          </w:tcPr>
          <w:p w14:paraId="6F3D5A66"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 xml:space="preserve">U geeft aan dat u bij het publiceren van NvI 2 de nieuwe concept beschrijvingen gaat verstrekken. </w:t>
            </w:r>
          </w:p>
          <w:p w14:paraId="1FC1DC2A"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rPr>
                <w:rFonts w:eastAsia="Calibri"/>
              </w:rPr>
            </w:pPr>
            <w:r>
              <w:rPr>
                <w:rFonts w:eastAsia="Calibri"/>
              </w:rPr>
              <w:t>1. Kan AD bevestigen dat hiermee de scope van de implementatie niet wijzigt ten opzichte van de eerste versie van de concept beschrijvingen?</w:t>
            </w:r>
          </w:p>
          <w:p w14:paraId="3AB94DF3" w14:textId="6B27FA51" w:rsidR="005A5E89" w:rsidRPr="004B672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theme="minorHAnsi"/>
              </w:rPr>
              <w:t>2. Is AD bereid om inschrijvers na nota twee antwoord te geven op eventuele vragen die nog uit voortkomen uit de publicatie van de nieuwe concept beschrijvingen?</w:t>
            </w:r>
          </w:p>
        </w:tc>
        <w:tc>
          <w:tcPr>
            <w:tcW w:w="7479" w:type="dxa"/>
          </w:tcPr>
          <w:p w14:paraId="501A1C13" w14:textId="77777777" w:rsidR="005A5E89" w:rsidRDefault="005A5E89" w:rsidP="00E62F80">
            <w:pPr>
              <w:pStyle w:val="Lijstalinea"/>
              <w:numPr>
                <w:ilvl w:val="0"/>
                <w:numId w:val="28"/>
              </w:numPr>
              <w:spacing w:after="0" w:line="250" w:lineRule="atLeast"/>
              <w:cnfStyle w:val="000000010000" w:firstRow="0" w:lastRow="0" w:firstColumn="0" w:lastColumn="0" w:oddVBand="0" w:evenVBand="0" w:oddHBand="0" w:evenHBand="1" w:firstRowFirstColumn="0" w:firstRowLastColumn="0" w:lastRowFirstColumn="0" w:lastRowLastColumn="0"/>
            </w:pPr>
            <w:r w:rsidRPr="00E62F80">
              <w:t>De scope van de implementatie wijzigt hierbij niet.</w:t>
            </w:r>
          </w:p>
          <w:p w14:paraId="00698B32" w14:textId="5BC4765C" w:rsidR="005A5E89" w:rsidRPr="00E62F80" w:rsidRDefault="005A5E89" w:rsidP="00E62F80">
            <w:pPr>
              <w:pStyle w:val="Lijstalinea"/>
              <w:numPr>
                <w:ilvl w:val="0"/>
                <w:numId w:val="28"/>
              </w:numPr>
              <w:spacing w:after="0" w:line="250" w:lineRule="atLeast"/>
              <w:cnfStyle w:val="000000010000" w:firstRow="0" w:lastRow="0" w:firstColumn="0" w:lastColumn="0" w:oddVBand="0" w:evenVBand="0" w:oddHBand="0" w:evenHBand="1" w:firstRowFirstColumn="0" w:firstRowLastColumn="0" w:lastRowFirstColumn="0" w:lastRowLastColumn="0"/>
            </w:pPr>
            <w:r>
              <w:t>Dat is gelet op de planning helaas niet mogelijk.</w:t>
            </w:r>
          </w:p>
        </w:tc>
      </w:tr>
      <w:tr w:rsidR="005A5E89" w:rsidRPr="00CD6D3F" w14:paraId="132CECD8" w14:textId="1F75C314" w:rsidTr="005A5E89">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2A839A77" w14:textId="4CEAB415"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auto"/>
              <w:left w:val="single" w:sz="4" w:space="0" w:color="auto"/>
              <w:bottom w:val="single" w:sz="4" w:space="0" w:color="auto"/>
              <w:right w:val="single" w:sz="4" w:space="0" w:color="auto"/>
            </w:tcBorders>
          </w:tcPr>
          <w:p w14:paraId="15C98DD1" w14:textId="63E8D6A6" w:rsidR="005A5E89" w:rsidRPr="004B672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 xml:space="preserve">NvI 1 vraag 11 </w:t>
            </w:r>
          </w:p>
        </w:tc>
        <w:tc>
          <w:tcPr>
            <w:tcW w:w="3132" w:type="dxa"/>
            <w:tcBorders>
              <w:top w:val="single" w:sz="4" w:space="0" w:color="auto"/>
              <w:left w:val="single" w:sz="4" w:space="0" w:color="auto"/>
              <w:bottom w:val="single" w:sz="4" w:space="0" w:color="auto"/>
              <w:right w:val="single" w:sz="4" w:space="0" w:color="auto"/>
            </w:tcBorders>
          </w:tcPr>
          <w:p w14:paraId="70524272" w14:textId="767F8687" w:rsidR="005A5E89" w:rsidRPr="004B672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In antwoord 11 geeft u aan dat er in sommige gevallen een uitzondering op deze eis is. Kunt u aangeven in welke gevallen dat van toepassing kan zijn, zodat controleerbaar is dat aan de eis wordt voldaan.</w:t>
            </w:r>
          </w:p>
        </w:tc>
        <w:tc>
          <w:tcPr>
            <w:tcW w:w="7479" w:type="dxa"/>
          </w:tcPr>
          <w:p w14:paraId="18F54594" w14:textId="039D36B7" w:rsidR="005A5E8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pPr>
            <w:r>
              <w:t>Uitzonderingsgevallen worden beoordeeld op basis van de technische beschrijving en de impact op de beheerswerkzaamheden voor de afdeling ICT van VRK. Zonder technische beschrijvingen is het onmogelijk om dit controleerbaar voor inschrijver te maken aangezien VRK  geen eisen hoeft te stellen aan deze Plug-ins, danwel add-ons omdat ze geen uitgangspunt vormen voor het beleid.</w:t>
            </w:r>
          </w:p>
          <w:p w14:paraId="03C9901D" w14:textId="1912542E" w:rsidR="005A5E8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pPr>
            <w:r>
              <w:t>Wanneer de hoeveelheid gebruikers beperkt is zal dit niet tot een grote impact leiden voor de beheerswerkzaamheden. .</w:t>
            </w:r>
          </w:p>
        </w:tc>
      </w:tr>
      <w:tr w:rsidR="005A5E89" w:rsidRPr="00CD6D3F" w14:paraId="79BF8EB3" w14:textId="64A9FD8B" w:rsidTr="005A5E89">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3D86D690" w14:textId="630B5A53"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auto"/>
              <w:left w:val="single" w:sz="4" w:space="0" w:color="auto"/>
              <w:bottom w:val="single" w:sz="4" w:space="0" w:color="auto"/>
              <w:right w:val="single" w:sz="4" w:space="0" w:color="auto"/>
            </w:tcBorders>
          </w:tcPr>
          <w:p w14:paraId="78E21FB6" w14:textId="1558DC49" w:rsidR="005A5E89" w:rsidRPr="004B672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NvI 1 vraag 53</w:t>
            </w:r>
          </w:p>
        </w:tc>
        <w:tc>
          <w:tcPr>
            <w:tcW w:w="3132" w:type="dxa"/>
            <w:tcBorders>
              <w:top w:val="single" w:sz="4" w:space="0" w:color="auto"/>
              <w:left w:val="single" w:sz="4" w:space="0" w:color="auto"/>
              <w:bottom w:val="single" w:sz="4" w:space="0" w:color="auto"/>
              <w:right w:val="single" w:sz="4" w:space="0" w:color="auto"/>
            </w:tcBorders>
          </w:tcPr>
          <w:p w14:paraId="15E77B50" w14:textId="0D079E16" w:rsidR="005A5E89" w:rsidRPr="004B672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 xml:space="preserve">Inschrijver verzoekt opdrachtgever om ook de aansprakelijkheid per jaar in proportie te brengen met onderhavige opdracht en deze </w:t>
            </w:r>
            <w:r>
              <w:lastRenderedPageBreak/>
              <w:t>dan ook verder te beperken tot maximaal 10x de jaarlijkse opdrachtwaarde. Zonder een verdere beperking zal leverancier verdere handelingen met betrekking tot deze aanbesteding heroverwegen.</w:t>
            </w:r>
          </w:p>
        </w:tc>
        <w:tc>
          <w:tcPr>
            <w:tcW w:w="7479" w:type="dxa"/>
          </w:tcPr>
          <w:p w14:paraId="6870B72D" w14:textId="618C2A69" w:rsidR="005A5E89" w:rsidRDefault="005A5E89" w:rsidP="52BCE11F">
            <w:pPr>
              <w:spacing w:after="0" w:line="250" w:lineRule="atLeast"/>
              <w:cnfStyle w:val="000000010000" w:firstRow="0" w:lastRow="0" w:firstColumn="0" w:lastColumn="0" w:oddVBand="0" w:evenVBand="0" w:oddHBand="0" w:evenHBand="1" w:firstRowFirstColumn="0" w:firstRowLastColumn="0" w:lastRowFirstColumn="0" w:lastRowLastColumn="0"/>
              <w:rPr>
                <w:rFonts w:eastAsia="Calibri"/>
              </w:rPr>
            </w:pPr>
            <w:r>
              <w:lastRenderedPageBreak/>
              <w:t>VRK zal een beperking opnemen van maximaal 15 keer de jaarlijkse opdrachtwaarde.</w:t>
            </w:r>
          </w:p>
        </w:tc>
      </w:tr>
      <w:tr w:rsidR="005A5E89" w:rsidRPr="00CD6D3F" w14:paraId="20696D75" w14:textId="142E8675" w:rsidTr="005A5E89">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44D2646F" w14:textId="4595140B"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auto"/>
              <w:left w:val="single" w:sz="4" w:space="0" w:color="auto"/>
              <w:bottom w:val="single" w:sz="4" w:space="0" w:color="auto"/>
              <w:right w:val="single" w:sz="4" w:space="0" w:color="auto"/>
            </w:tcBorders>
          </w:tcPr>
          <w:p w14:paraId="5663D675" w14:textId="784862FE" w:rsidR="005A5E89" w:rsidRPr="004B672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 NvI 1 vraag 54 </w:t>
            </w:r>
          </w:p>
        </w:tc>
        <w:tc>
          <w:tcPr>
            <w:tcW w:w="3132" w:type="dxa"/>
            <w:tcBorders>
              <w:top w:val="single" w:sz="4" w:space="0" w:color="auto"/>
              <w:left w:val="single" w:sz="4" w:space="0" w:color="auto"/>
              <w:bottom w:val="single" w:sz="4" w:space="0" w:color="auto"/>
              <w:right w:val="single" w:sz="4" w:space="0" w:color="auto"/>
            </w:tcBorders>
          </w:tcPr>
          <w:p w14:paraId="4F272211" w14:textId="0C0AA289" w:rsidR="005A5E89" w:rsidRPr="004B672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In uw antwoord in de NvI geeft u geen beperking van de vrijwaring aan. Een dergelijke onbeperkte vrijwaring is disproportioneel en onevenwichtig. Inschrijver verzoekt dan ook nogmaals om een beperking per jaar in verhouding tot de waarde van de opdracht op te nemen.</w:t>
            </w:r>
          </w:p>
        </w:tc>
        <w:tc>
          <w:tcPr>
            <w:tcW w:w="7479" w:type="dxa"/>
          </w:tcPr>
          <w:p w14:paraId="57E901BB" w14:textId="4540FC1A" w:rsidR="005A5E8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pPr>
            <w:r>
              <w:t>Dat is niet akkoord.</w:t>
            </w:r>
          </w:p>
        </w:tc>
      </w:tr>
      <w:tr w:rsidR="005A5E89" w:rsidRPr="00CD6D3F" w14:paraId="6D8985DA" w14:textId="37E635C8" w:rsidTr="005A5E89">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0798D1FC" w14:textId="032EC770"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auto"/>
              <w:left w:val="single" w:sz="4" w:space="0" w:color="auto"/>
              <w:bottom w:val="single" w:sz="4" w:space="0" w:color="auto"/>
              <w:right w:val="single" w:sz="4" w:space="0" w:color="auto"/>
            </w:tcBorders>
          </w:tcPr>
          <w:p w14:paraId="0CBC7808" w14:textId="0F0A29C7" w:rsidR="005A5E89" w:rsidRPr="004B672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NvI 1 vraag 60</w:t>
            </w:r>
          </w:p>
        </w:tc>
        <w:tc>
          <w:tcPr>
            <w:tcW w:w="3132" w:type="dxa"/>
            <w:tcBorders>
              <w:top w:val="single" w:sz="4" w:space="0" w:color="auto"/>
              <w:left w:val="single" w:sz="4" w:space="0" w:color="auto"/>
              <w:bottom w:val="single" w:sz="4" w:space="0" w:color="auto"/>
              <w:right w:val="single" w:sz="4" w:space="0" w:color="auto"/>
            </w:tcBorders>
          </w:tcPr>
          <w:p w14:paraId="35558953" w14:textId="13F18020" w:rsidR="005A5E89" w:rsidRPr="004B672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 xml:space="preserve">U geeft aan dat voor de platformprovider dezelfde BCR zouden moeten gelden. Dit is echter niet mogelijk aangezien de BCR specifiek voor inschrijver en haar groepsmaatschappijen zijn opgesteld (BCR kunnen alleen intra-concern gelden). Inschrijver is met de platformprovider de door de EU goedgekeurde standaardclausules overeengekomen, verwerking is beperkt tot het inzien/verwerken van naam, achternaam en e-mailadres van deze gebruikers </w:t>
            </w:r>
            <w:r>
              <w:lastRenderedPageBreak/>
              <w:t>van het e-learning systeem. Graag uw goedkeuring.</w:t>
            </w:r>
          </w:p>
        </w:tc>
        <w:tc>
          <w:tcPr>
            <w:tcW w:w="7479" w:type="dxa"/>
          </w:tcPr>
          <w:p w14:paraId="009D80E4" w14:textId="131A14B7" w:rsidR="005A5E89" w:rsidRDefault="005A5E89" w:rsidP="5B7B646B">
            <w:pPr>
              <w:spacing w:after="0" w:line="250" w:lineRule="atLeast"/>
              <w:cnfStyle w:val="000000010000" w:firstRow="0" w:lastRow="0" w:firstColumn="0" w:lastColumn="0" w:oddVBand="0" w:evenVBand="0" w:oddHBand="0" w:evenHBand="1" w:firstRowFirstColumn="0" w:firstRowLastColumn="0" w:lastRowFirstColumn="0" w:lastRowLastColumn="0"/>
            </w:pPr>
            <w:r w:rsidRPr="5B7B646B">
              <w:rPr>
                <w:rFonts w:eastAsiaTheme="minorEastAsia" w:cstheme="minorBidi"/>
              </w:rPr>
              <w:lastRenderedPageBreak/>
              <w:t xml:space="preserve">Dat is niet akkoord. </w:t>
            </w:r>
          </w:p>
          <w:p w14:paraId="7E69EA05" w14:textId="78A33198" w:rsidR="005A5E89" w:rsidRDefault="005A5E89" w:rsidP="5B7B646B">
            <w:pPr>
              <w:spacing w:after="0" w:line="250" w:lineRule="atLeast"/>
              <w:cnfStyle w:val="000000010000" w:firstRow="0" w:lastRow="0" w:firstColumn="0" w:lastColumn="0" w:oddVBand="0" w:evenVBand="0" w:oddHBand="0" w:evenHBand="1" w:firstRowFirstColumn="0" w:firstRowLastColumn="0" w:lastRowFirstColumn="0" w:lastRowLastColumn="0"/>
            </w:pPr>
            <w:r w:rsidRPr="36C2CC60">
              <w:rPr>
                <w:rFonts w:eastAsiaTheme="minorEastAsia" w:cstheme="minorBidi"/>
              </w:rPr>
              <w:t xml:space="preserve">VRK kan daarmee alleen akkoord gaan als Inschrijver voldoet aan het meest recente modelcontract, ook bekend onder de naam Standard Contractual Clauses (zie bijgaande link). Daarin moet rekenschap zijn gegeven aan de aanbevelingen die de EDPB heeft opgesteld. De gegevensbescherming via de Standard Contractual Clauses  dient gelijkwaardig te zijn aan de eisen die in Europa gelden.  </w:t>
            </w:r>
          </w:p>
          <w:p w14:paraId="51654B52" w14:textId="5C240A9E" w:rsidR="005A5E89" w:rsidRDefault="005A5E89" w:rsidP="52BCE11F">
            <w:pPr>
              <w:spacing w:after="0" w:line="250" w:lineRule="atLeast"/>
              <w:cnfStyle w:val="000000010000" w:firstRow="0" w:lastRow="0" w:firstColumn="0" w:lastColumn="0" w:oddVBand="0" w:evenVBand="0" w:oddHBand="0" w:evenHBand="1" w:firstRowFirstColumn="0" w:firstRowLastColumn="0" w:lastRowFirstColumn="0" w:lastRowLastColumn="0"/>
            </w:pPr>
            <w:r w:rsidRPr="5B7B646B">
              <w:rPr>
                <w:rFonts w:ascii="Calibri" w:eastAsia="Calibri" w:hAnsi="Calibri" w:cs="Calibri"/>
                <w:color w:val="000000" w:themeColor="text1"/>
                <w:sz w:val="24"/>
                <w:szCs w:val="24"/>
              </w:rPr>
              <w:t xml:space="preserve"> </w:t>
            </w:r>
          </w:p>
          <w:p w14:paraId="4BB44505" w14:textId="3CFB702E" w:rsidR="005A5E89" w:rsidRDefault="005A5E89" w:rsidP="52BCE11F">
            <w:pPr>
              <w:spacing w:after="0" w:line="250" w:lineRule="atLeast"/>
              <w:cnfStyle w:val="000000010000" w:firstRow="0" w:lastRow="0" w:firstColumn="0" w:lastColumn="0" w:oddVBand="0" w:evenVBand="0" w:oddHBand="0" w:evenHBand="1" w:firstRowFirstColumn="0" w:firstRowLastColumn="0" w:lastRowFirstColumn="0" w:lastRowLastColumn="0"/>
            </w:pPr>
            <w:r w:rsidRPr="5B7B646B">
              <w:rPr>
                <w:rFonts w:ascii="Calibri" w:eastAsia="Calibri" w:hAnsi="Calibri" w:cs="Calibri"/>
                <w:color w:val="000000" w:themeColor="text1"/>
                <w:sz w:val="24"/>
                <w:szCs w:val="24"/>
              </w:rPr>
              <w:t xml:space="preserve"> </w:t>
            </w:r>
          </w:p>
          <w:p w14:paraId="1FC238DC" w14:textId="1D4819B0" w:rsidR="005A5E89" w:rsidRDefault="005A5E89" w:rsidP="52BCE11F">
            <w:pPr>
              <w:spacing w:after="0" w:line="250" w:lineRule="atLeast"/>
              <w:cnfStyle w:val="000000010000" w:firstRow="0" w:lastRow="0" w:firstColumn="0" w:lastColumn="0" w:oddVBand="0" w:evenVBand="0" w:oddHBand="0" w:evenHBand="1" w:firstRowFirstColumn="0" w:firstRowLastColumn="0" w:lastRowFirstColumn="0" w:lastRowLastColumn="0"/>
            </w:pPr>
            <w:hyperlink r:id="rId8">
              <w:r w:rsidRPr="5B7B646B">
                <w:rPr>
                  <w:rStyle w:val="Hyperlink"/>
                  <w:rFonts w:ascii="Calibri" w:eastAsia="Calibri" w:hAnsi="Calibri" w:cs="Calibri"/>
                  <w:sz w:val="24"/>
                  <w:szCs w:val="24"/>
                </w:rPr>
                <w:t>https://autoriteitpersoonsgegevens.nl/nl/nieuws/nieuw-modelcontract-voor-veilige-doorgifte-persoonsgegevens</w:t>
              </w:r>
            </w:hyperlink>
          </w:p>
          <w:p w14:paraId="15AA0197" w14:textId="387673BE" w:rsidR="005A5E89" w:rsidRDefault="005A5E89" w:rsidP="5B7B646B">
            <w:pPr>
              <w:spacing w:after="0" w:line="250" w:lineRule="atLeast"/>
              <w:cnfStyle w:val="000000010000" w:firstRow="0" w:lastRow="0" w:firstColumn="0" w:lastColumn="0" w:oddVBand="0" w:evenVBand="0" w:oddHBand="0" w:evenHBand="1" w:firstRowFirstColumn="0" w:firstRowLastColumn="0" w:lastRowFirstColumn="0" w:lastRowLastColumn="0"/>
              <w:rPr>
                <w:rFonts w:eastAsia="Calibri"/>
                <w:highlight w:val="yellow"/>
              </w:rPr>
            </w:pPr>
          </w:p>
        </w:tc>
      </w:tr>
      <w:tr w:rsidR="005A5E89" w:rsidRPr="00CD6D3F" w14:paraId="547D089F" w14:textId="1328F49F" w:rsidTr="005A5E89">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4FE1011E" w14:textId="34A5B435"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auto"/>
              <w:left w:val="single" w:sz="4" w:space="0" w:color="auto"/>
              <w:bottom w:val="single" w:sz="4" w:space="0" w:color="auto"/>
              <w:right w:val="single" w:sz="4" w:space="0" w:color="auto"/>
            </w:tcBorders>
          </w:tcPr>
          <w:p w14:paraId="05F4BEBC" w14:textId="32CD1462" w:rsidR="005A5E89" w:rsidRPr="004B672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NvI 1 vraag 64</w:t>
            </w:r>
          </w:p>
        </w:tc>
        <w:tc>
          <w:tcPr>
            <w:tcW w:w="3132" w:type="dxa"/>
            <w:tcBorders>
              <w:top w:val="single" w:sz="4" w:space="0" w:color="auto"/>
              <w:left w:val="single" w:sz="4" w:space="0" w:color="auto"/>
              <w:bottom w:val="single" w:sz="4" w:space="0" w:color="auto"/>
              <w:right w:val="single" w:sz="4" w:space="0" w:color="auto"/>
            </w:tcBorders>
          </w:tcPr>
          <w:p w14:paraId="1945D5D1" w14:textId="0093B565" w:rsidR="005A5E89" w:rsidRPr="004B672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Inschrijver wijst erop dat binnen het kader van de Nederlandse wetgeving er altijd een periode moet worden gegund waarin een inschrijver eventuele gebreken kan herstellen. Inschrijver doelt hier met name op de volgende passage uit artikel 6.4 uit de overeenkomst: "blijkt dat de Opdrachtnemer niet (meer) voldoet aan de minimumeisen die de Opdrachtgever in hoofdstuk [7] en Bijlage [11] van het Beschrijvend Document heeft gesteld aan het verrichten van de SAAS-Diensten." Graag uw toelichting.</w:t>
            </w:r>
          </w:p>
        </w:tc>
        <w:tc>
          <w:tcPr>
            <w:tcW w:w="7479" w:type="dxa"/>
          </w:tcPr>
          <w:p w14:paraId="253D4145" w14:textId="767A4FB5" w:rsidR="005A5E8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pPr>
            <w:r>
              <w:t>Dat is niet akkoord. In de limitatief opgenomen gevallen mag Opdrachtgever overgaan tot (gedeeltelijke) opzegging of ontbinding.</w:t>
            </w:r>
          </w:p>
        </w:tc>
      </w:tr>
      <w:tr w:rsidR="005A5E89" w:rsidRPr="00CD6D3F" w14:paraId="23894007" w14:textId="2311D768" w:rsidTr="005A5E89">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5BC0AD47" w14:textId="53FF28A7"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auto"/>
              <w:left w:val="single" w:sz="4" w:space="0" w:color="auto"/>
              <w:bottom w:val="single" w:sz="4" w:space="0" w:color="auto"/>
              <w:right w:val="single" w:sz="4" w:space="0" w:color="auto"/>
            </w:tcBorders>
          </w:tcPr>
          <w:p w14:paraId="09C45DC1" w14:textId="3DA2833D" w:rsidR="005A5E89" w:rsidRPr="004B672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NvI 1 vraag 65</w:t>
            </w:r>
          </w:p>
        </w:tc>
        <w:tc>
          <w:tcPr>
            <w:tcW w:w="3132" w:type="dxa"/>
            <w:tcBorders>
              <w:top w:val="single" w:sz="4" w:space="0" w:color="auto"/>
              <w:left w:val="single" w:sz="4" w:space="0" w:color="auto"/>
              <w:bottom w:val="single" w:sz="4" w:space="0" w:color="auto"/>
              <w:right w:val="single" w:sz="4" w:space="0" w:color="auto"/>
            </w:tcBorders>
          </w:tcPr>
          <w:p w14:paraId="4D4D6A3D" w14:textId="1E9180B2" w:rsidR="005A5E89" w:rsidRPr="004B672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Inschrijver kan geen boetes accepteren en verzoekt aanbestedende dienst deze bepaling en eis 130 te heroverwegen.</w:t>
            </w:r>
          </w:p>
        </w:tc>
        <w:tc>
          <w:tcPr>
            <w:tcW w:w="7479" w:type="dxa"/>
          </w:tcPr>
          <w:p w14:paraId="7E817CFB" w14:textId="5C7C7612" w:rsidR="005A5E89" w:rsidRDefault="005A5E89" w:rsidP="52BCE11F">
            <w:pPr>
              <w:spacing w:after="0" w:line="250" w:lineRule="atLeast"/>
              <w:cnfStyle w:val="000000010000" w:firstRow="0" w:lastRow="0" w:firstColumn="0" w:lastColumn="0" w:oddVBand="0" w:evenVBand="0" w:oddHBand="0" w:evenHBand="1" w:firstRowFirstColumn="0" w:firstRowLastColumn="0" w:lastRowFirstColumn="0" w:lastRowLastColumn="0"/>
              <w:rPr>
                <w:rFonts w:eastAsia="Calibri"/>
              </w:rPr>
            </w:pPr>
            <w:r w:rsidRPr="37AC88CC">
              <w:rPr>
                <w:rFonts w:eastAsia="Calibri"/>
              </w:rPr>
              <w:t xml:space="preserve">Dat is niet akkoord, wel zal VRK </w:t>
            </w:r>
            <w:r>
              <w:t>een maximum van 20% van het jaarbedrag als plafond opnemen.</w:t>
            </w:r>
          </w:p>
        </w:tc>
      </w:tr>
      <w:tr w:rsidR="005A5E89" w:rsidRPr="00CD6D3F" w14:paraId="74D634D3" w14:textId="5FCD23CD" w:rsidTr="005A5E89">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009B12D4" w14:textId="77777777"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auto"/>
              <w:left w:val="single" w:sz="4" w:space="0" w:color="auto"/>
              <w:bottom w:val="single" w:sz="4" w:space="0" w:color="auto"/>
              <w:right w:val="single" w:sz="4" w:space="0" w:color="auto"/>
            </w:tcBorders>
          </w:tcPr>
          <w:p w14:paraId="582DF0F5" w14:textId="4F03012F" w:rsidR="005A5E8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pPr>
            <w:r>
              <w:t>NvI vraag 67</w:t>
            </w:r>
          </w:p>
        </w:tc>
        <w:tc>
          <w:tcPr>
            <w:tcW w:w="3132" w:type="dxa"/>
            <w:tcBorders>
              <w:top w:val="single" w:sz="4" w:space="0" w:color="auto"/>
              <w:left w:val="single" w:sz="4" w:space="0" w:color="auto"/>
              <w:bottom w:val="single" w:sz="4" w:space="0" w:color="auto"/>
              <w:right w:val="single" w:sz="4" w:space="0" w:color="auto"/>
            </w:tcBorders>
          </w:tcPr>
          <w:p w14:paraId="7581CBB5" w14:textId="41513DB8" w:rsidR="005A5E89" w:rsidRDefault="005A5E89" w:rsidP="000F3343">
            <w:pPr>
              <w:cnfStyle w:val="000000100000" w:firstRow="0" w:lastRow="0" w:firstColumn="0" w:lastColumn="0" w:oddVBand="0" w:evenVBand="0" w:oddHBand="1" w:evenHBand="0" w:firstRowFirstColumn="0" w:firstRowLastColumn="0" w:lastRowFirstColumn="0" w:lastRowLastColumn="0"/>
            </w:pPr>
            <w:r>
              <w:t xml:space="preserve">Inschrijver wijst er nogmaals op dat opdrachtgever niet in staat zal zijn om de dienstverlening zelfstandig voort te zetten zonder HR- en payroll leverancier en herhaalt haar verzoek om de woorden “of Opdrachtgever zelf” </w:t>
            </w:r>
            <w:r>
              <w:lastRenderedPageBreak/>
              <w:t>uit dit artikel te verwijderen. Graag uw akkoord.</w:t>
            </w:r>
          </w:p>
        </w:tc>
        <w:tc>
          <w:tcPr>
            <w:tcW w:w="7479" w:type="dxa"/>
          </w:tcPr>
          <w:p w14:paraId="5BE3567F" w14:textId="3725EB71" w:rsidR="005A5E89" w:rsidRDefault="005A5E89" w:rsidP="52BCE11F">
            <w:pPr>
              <w:spacing w:after="0" w:line="250" w:lineRule="atLeast"/>
              <w:cnfStyle w:val="000000100000" w:firstRow="0" w:lastRow="0" w:firstColumn="0" w:lastColumn="0" w:oddVBand="0" w:evenVBand="0" w:oddHBand="1" w:evenHBand="0" w:firstRowFirstColumn="0" w:firstRowLastColumn="0" w:lastRowFirstColumn="0" w:lastRowLastColumn="0"/>
              <w:rPr>
                <w:highlight w:val="yellow"/>
              </w:rPr>
            </w:pPr>
            <w:r>
              <w:lastRenderedPageBreak/>
              <w:t xml:space="preserve">Dat is niet akkoord. VRK houdt vast aan het eerder gegeven antwoord.    </w:t>
            </w:r>
          </w:p>
        </w:tc>
      </w:tr>
      <w:tr w:rsidR="005A5E89" w:rsidRPr="00CD6D3F" w14:paraId="58CB2B04" w14:textId="244B4DDA" w:rsidTr="005A5E89">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5F2942C3" w14:textId="77777777"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auto"/>
              <w:left w:val="single" w:sz="4" w:space="0" w:color="auto"/>
              <w:bottom w:val="single" w:sz="4" w:space="0" w:color="auto"/>
              <w:right w:val="single" w:sz="4" w:space="0" w:color="auto"/>
            </w:tcBorders>
          </w:tcPr>
          <w:p w14:paraId="4CF31299" w14:textId="64B986EC"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r>
              <w:t>Eis 40</w:t>
            </w:r>
          </w:p>
        </w:tc>
        <w:tc>
          <w:tcPr>
            <w:tcW w:w="3132" w:type="dxa"/>
            <w:tcBorders>
              <w:top w:val="single" w:sz="4" w:space="0" w:color="auto"/>
              <w:left w:val="single" w:sz="4" w:space="0" w:color="auto"/>
              <w:bottom w:val="single" w:sz="4" w:space="0" w:color="auto"/>
              <w:right w:val="single" w:sz="4" w:space="0" w:color="auto"/>
            </w:tcBorders>
          </w:tcPr>
          <w:p w14:paraId="241D56AB" w14:textId="3C79E5B9" w:rsidR="005A5E89" w:rsidRDefault="005A5E89" w:rsidP="000F3343">
            <w:pPr>
              <w:cnfStyle w:val="000000010000" w:firstRow="0" w:lastRow="0" w:firstColumn="0" w:lastColumn="0" w:oddVBand="0" w:evenVBand="0" w:oddHBand="0" w:evenHBand="1" w:firstRowFirstColumn="0" w:firstRowLastColumn="0" w:lastRowFirstColumn="0" w:lastRowLastColumn="0"/>
            </w:pPr>
            <w:r>
              <w:t>De Servicedesk ondersteunt uw Expertgebruikers (geregistreerde contactpersonen). Indien er informatie nodig is over een melding van of storing bij een eindgebruiker, verzamelt de Exertgebruiker deze en neemt dit op in de Service Request. Graag uw akkoord op deze werkwijze.</w:t>
            </w:r>
          </w:p>
        </w:tc>
        <w:tc>
          <w:tcPr>
            <w:tcW w:w="7479" w:type="dxa"/>
          </w:tcPr>
          <w:p w14:paraId="77F669F3" w14:textId="3A68C10D"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r>
              <w:t>Dat is akkoord.</w:t>
            </w:r>
          </w:p>
        </w:tc>
      </w:tr>
      <w:tr w:rsidR="005A5E89" w:rsidRPr="00CD6D3F" w14:paraId="448C662C" w14:textId="1A01832E" w:rsidTr="005A5E89">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0B3B8DE6" w14:textId="77777777"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auto"/>
              <w:left w:val="single" w:sz="4" w:space="0" w:color="auto"/>
              <w:bottom w:val="single" w:sz="4" w:space="0" w:color="auto"/>
              <w:right w:val="single" w:sz="4" w:space="0" w:color="auto"/>
            </w:tcBorders>
          </w:tcPr>
          <w:p w14:paraId="06BF781D" w14:textId="2B6EC9D1" w:rsidR="005A5E8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pPr>
            <w:r>
              <w:t xml:space="preserve">NvI 1 vraag 103 </w:t>
            </w:r>
          </w:p>
        </w:tc>
        <w:tc>
          <w:tcPr>
            <w:tcW w:w="3132" w:type="dxa"/>
            <w:tcBorders>
              <w:top w:val="single" w:sz="4" w:space="0" w:color="auto"/>
              <w:left w:val="single" w:sz="4" w:space="0" w:color="auto"/>
              <w:bottom w:val="single" w:sz="4" w:space="0" w:color="auto"/>
              <w:right w:val="single" w:sz="4" w:space="0" w:color="auto"/>
            </w:tcBorders>
          </w:tcPr>
          <w:p w14:paraId="7A6FB5EA" w14:textId="54412812" w:rsidR="005A5E89" w:rsidRDefault="005A5E89" w:rsidP="000F3343">
            <w:pPr>
              <w:cnfStyle w:val="000000100000" w:firstRow="0" w:lastRow="0" w:firstColumn="0" w:lastColumn="0" w:oddVBand="0" w:evenVBand="0" w:oddHBand="1" w:evenHBand="0" w:firstRowFirstColumn="0" w:firstRowLastColumn="0" w:lastRowFirstColumn="0" w:lastRowLastColumn="0"/>
            </w:pPr>
            <w:bookmarkStart w:id="1" w:name="_Hlk97907183"/>
            <w:r>
              <w:t xml:space="preserve">Bij de voorgestelde taakverdeling in eis 9 wordt de verantwoordelijkheid van een groot aantal taken, zoals de realisatie van de salarisverwerking conform wet- en regelgeving en communicatie derde partijen, bij aanbestedende dienst gelegd. Akkoord gaan met het voorstel in vraag 103 betekent, anders dan in de huidige situatie, dat de verantwoordelijkheid van de verwerking en communicatie derde partijen bij aanbestedende dienst komt te liggen. In de huidige situatie wordt, na de druk op de knop het proces gecontroleerd uitgevoerd door de </w:t>
            </w:r>
            <w:r>
              <w:lastRenderedPageBreak/>
              <w:t>leverancier waarmee u maximaal ontzorgd wordt. Is het daadwerkelijk wenselijk dat deze verantwoordelijkheid bij VRK komt te liggen en daarmee dus ook de dienstverlening om het proces gecontroleerd uit te voeren vervalt? Graag uw toelichting.</w:t>
            </w:r>
            <w:bookmarkEnd w:id="1"/>
          </w:p>
        </w:tc>
        <w:tc>
          <w:tcPr>
            <w:tcW w:w="7479" w:type="dxa"/>
          </w:tcPr>
          <w:p w14:paraId="7D0A9913" w14:textId="65A14FB4" w:rsidR="005A5E89" w:rsidRDefault="005A5E89" w:rsidP="000D7EC7">
            <w:pPr>
              <w:spacing w:line="250" w:lineRule="atLeast"/>
              <w:cnfStyle w:val="000000100000" w:firstRow="0" w:lastRow="0" w:firstColumn="0" w:lastColumn="0" w:oddVBand="0" w:evenVBand="0" w:oddHBand="1" w:evenHBand="0" w:firstRowFirstColumn="0" w:firstRowLastColumn="0" w:lastRowFirstColumn="0" w:lastRowLastColumn="0"/>
            </w:pPr>
            <w:r>
              <w:lastRenderedPageBreak/>
              <w:t xml:space="preserve">VRK kan de relatie met het antwoord op vraag 103 niet leggen. </w:t>
            </w:r>
          </w:p>
          <w:p w14:paraId="10464AA5" w14:textId="5D23CC3B" w:rsidR="005A5E89" w:rsidRDefault="005A5E89" w:rsidP="000D7EC7">
            <w:pPr>
              <w:spacing w:line="250" w:lineRule="atLeast"/>
              <w:cnfStyle w:val="000000100000" w:firstRow="0" w:lastRow="0" w:firstColumn="0" w:lastColumn="0" w:oddVBand="0" w:evenVBand="0" w:oddHBand="1" w:evenHBand="0" w:firstRowFirstColumn="0" w:firstRowLastColumn="0" w:lastRowFirstColumn="0" w:lastRowLastColumn="0"/>
              <w:rPr>
                <w:rFonts w:eastAsia="Arial" w:cs="Arial"/>
              </w:rPr>
            </w:pPr>
            <w:r>
              <w:t xml:space="preserve">Het antwoord op de vraag 103 uit Nvi 1 luidt: </w:t>
            </w:r>
            <w:r w:rsidRPr="0E7259F7">
              <w:rPr>
                <w:rFonts w:eastAsiaTheme="minorEastAsia" w:cstheme="minorBidi"/>
              </w:rPr>
              <w:t>Er dient voldaan te worden aan hetgeen is gesteld in</w:t>
            </w:r>
            <w:r w:rsidRPr="0E7259F7">
              <w:rPr>
                <w:rFonts w:eastAsia="Calibri"/>
              </w:rPr>
              <w:t xml:space="preserve"> </w:t>
            </w:r>
            <w:r w:rsidRPr="0E7259F7">
              <w:rPr>
                <w:rFonts w:eastAsiaTheme="minorEastAsia" w:cstheme="minorBidi"/>
              </w:rPr>
              <w:t>paragraaf 6.4:</w:t>
            </w:r>
            <w:r w:rsidRPr="0E7259F7">
              <w:rPr>
                <w:rFonts w:eastAsia="Calibri"/>
              </w:rPr>
              <w:t xml:space="preserve"> “</w:t>
            </w:r>
            <w:r w:rsidRPr="0E7259F7">
              <w:rPr>
                <w:rFonts w:eastAsia="Arial" w:cs="Arial"/>
              </w:rPr>
              <w:t>Indien de Inschrijver een beroep doet op de geschiktheid van een derde dient de Inschrijver (daarnaast) per kerncompetentie ten aanzien waarvan hij zich op een derde beroept een volledig door die derde rechtsgeldig ondertekende bijlage 6 in te dienen.”</w:t>
            </w:r>
            <w:r>
              <w:rPr>
                <w:rFonts w:eastAsia="Arial" w:cs="Arial"/>
              </w:rPr>
              <w:t xml:space="preserve"> </w:t>
            </w:r>
          </w:p>
          <w:p w14:paraId="25CD5F82" w14:textId="57E381B2" w:rsidR="005A5E89" w:rsidRDefault="005A5E89" w:rsidP="00C00B27">
            <w:pPr>
              <w:spacing w:line="250" w:lineRule="atLeast"/>
              <w:cnfStyle w:val="000000100000" w:firstRow="0" w:lastRow="0" w:firstColumn="0" w:lastColumn="0" w:oddVBand="0" w:evenVBand="0" w:oddHBand="1" w:evenHBand="0" w:firstRowFirstColumn="0" w:firstRowLastColumn="0" w:lastRowFirstColumn="0" w:lastRowLastColumn="0"/>
              <w:rPr>
                <w:rFonts w:eastAsia="Arial" w:cs="Arial"/>
              </w:rPr>
            </w:pPr>
            <w:r w:rsidRPr="7BBBA1D3">
              <w:rPr>
                <w:rFonts w:eastAsia="Arial" w:cs="Arial"/>
              </w:rPr>
              <w:t>De taakverdeling bij eis 9 is gebaseerd op de huidige dienstverlening met de huidige leverancier en VRK herkent de beweringen in deze vraag dan ook niet.</w:t>
            </w:r>
          </w:p>
          <w:p w14:paraId="47122FF0" w14:textId="2B764EFE" w:rsidR="005A5E89" w:rsidRPr="00C00B27" w:rsidRDefault="005A5E89" w:rsidP="00C00B27">
            <w:pPr>
              <w:spacing w:line="250" w:lineRule="atLeast"/>
              <w:cnfStyle w:val="000000100000" w:firstRow="0" w:lastRow="0" w:firstColumn="0" w:lastColumn="0" w:oddVBand="0" w:evenVBand="0" w:oddHBand="1" w:evenHBand="0" w:firstRowFirstColumn="0" w:firstRowLastColumn="0" w:lastRowFirstColumn="0" w:lastRowLastColumn="0"/>
              <w:rPr>
                <w:rFonts w:eastAsia="Calibri"/>
              </w:rPr>
            </w:pPr>
            <w:r>
              <w:rPr>
                <w:rFonts w:eastAsia="Calibri"/>
              </w:rPr>
              <w:t>Derhalve is het niet mogelijk om een toelichting te geven.</w:t>
            </w:r>
          </w:p>
        </w:tc>
      </w:tr>
      <w:tr w:rsidR="005A5E89" w:rsidRPr="00CD6D3F" w14:paraId="0B31A56F" w14:textId="0D8B3091" w:rsidTr="005A5E89">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45316755" w14:textId="77777777"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auto"/>
              <w:left w:val="single" w:sz="4" w:space="0" w:color="auto"/>
              <w:bottom w:val="single" w:sz="4" w:space="0" w:color="auto"/>
              <w:right w:val="single" w:sz="4" w:space="0" w:color="auto"/>
            </w:tcBorders>
          </w:tcPr>
          <w:p w14:paraId="13560817" w14:textId="62AB2FE0"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r>
              <w:t>NvI vraag 125</w:t>
            </w:r>
          </w:p>
        </w:tc>
        <w:tc>
          <w:tcPr>
            <w:tcW w:w="3132" w:type="dxa"/>
            <w:tcBorders>
              <w:top w:val="single" w:sz="4" w:space="0" w:color="auto"/>
              <w:left w:val="single" w:sz="4" w:space="0" w:color="auto"/>
              <w:bottom w:val="single" w:sz="4" w:space="0" w:color="auto"/>
              <w:right w:val="single" w:sz="4" w:space="0" w:color="auto"/>
            </w:tcBorders>
          </w:tcPr>
          <w:p w14:paraId="66811685" w14:textId="5C588F72" w:rsidR="005A5E89" w:rsidRDefault="005A5E89" w:rsidP="000F3343">
            <w:pPr>
              <w:cnfStyle w:val="000000010000" w:firstRow="0" w:lastRow="0" w:firstColumn="0" w:lastColumn="0" w:oddVBand="0" w:evenVBand="0" w:oddHBand="0" w:evenHBand="1" w:firstRowFirstColumn="0" w:firstRowLastColumn="0" w:lastRowFirstColumn="0" w:lastRowLastColumn="0"/>
            </w:pPr>
            <w:r>
              <w:t>In eis 120 geeft u aan dat verlofgegevens van het HR systeem naar Intus dienen te worden gestuurd en in eis 55 omgekeerd. Kunt u toelichten welke verlofgegevens u van het HR systeem naar Intus en vice versa verwacht en met welk doel?</w:t>
            </w:r>
          </w:p>
        </w:tc>
        <w:tc>
          <w:tcPr>
            <w:tcW w:w="7479" w:type="dxa"/>
          </w:tcPr>
          <w:p w14:paraId="2FD2D550" w14:textId="1670EC87"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r>
              <w:t>Verlof saldi begin van het jaar en verlof saldi aan het eind van het jaar. Inzicht in verlof saldi, financiële verantwoording.</w:t>
            </w:r>
          </w:p>
        </w:tc>
      </w:tr>
      <w:tr w:rsidR="005A5E89" w:rsidRPr="00CD6D3F" w14:paraId="3F23167F" w14:textId="005A0472" w:rsidTr="005A5E89">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43789543" w14:textId="77777777"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2FFA3" w14:textId="55084255" w:rsidR="005A5E8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pPr>
            <w:r>
              <w:t>Bijlage 22 Kengetallen v2.0</w:t>
            </w:r>
          </w:p>
        </w:tc>
        <w:tc>
          <w:tcPr>
            <w:tcW w:w="3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15D0F5" w14:textId="38E59A62" w:rsidR="005A5E89" w:rsidRDefault="005A5E89" w:rsidP="000F3343">
            <w:pPr>
              <w:cnfStyle w:val="000000100000" w:firstRow="0" w:lastRow="0" w:firstColumn="0" w:lastColumn="0" w:oddVBand="0" w:evenVBand="0" w:oddHBand="1" w:evenHBand="0" w:firstRowFirstColumn="0" w:firstRowLastColumn="0" w:lastRowFirstColumn="0" w:lastRowLastColumn="0"/>
            </w:pPr>
            <w:r>
              <w:t xml:space="preserve">U geeft aan dat uw organisatie 1500 PNIL telt. Kunt u aangeven wat deze PNIL precies zijn en welke functionaliteit is hiervoor nodig? </w:t>
            </w:r>
          </w:p>
        </w:tc>
        <w:tc>
          <w:tcPr>
            <w:tcW w:w="7479" w:type="dxa"/>
          </w:tcPr>
          <w:p w14:paraId="186930E7" w14:textId="2B965D31" w:rsidR="005A5E8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pPr>
            <w:r>
              <w:t>Personeel niet in loondienst. Alle medewerkers zonder arbeidsovereenkomst van de VRK. Registratie van persoons- en functie-gegevens zoals eerder beschreven in de documentatie.</w:t>
            </w:r>
          </w:p>
        </w:tc>
      </w:tr>
      <w:tr w:rsidR="005A5E89" w:rsidRPr="00CD6D3F" w14:paraId="523DA5CC" w14:textId="5A2E9AD0" w:rsidTr="005A5E89">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4B8983ED" w14:textId="77777777"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6FB74" w14:textId="5B6083D5"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r>
              <w:t>Eis 120/121</w:t>
            </w:r>
          </w:p>
        </w:tc>
        <w:tc>
          <w:tcPr>
            <w:tcW w:w="3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39819C" w14:textId="20AE613E" w:rsidR="005A5E89" w:rsidRDefault="005A5E89" w:rsidP="000F3343">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 xml:space="preserve">Kan opdrachtgever bevestigen dat de verlofrechten van medewerkers in het systeem van </w:t>
            </w:r>
            <w:r>
              <w:lastRenderedPageBreak/>
              <w:t>de opdrachtnemer bepaald worden?</w:t>
            </w:r>
          </w:p>
        </w:tc>
        <w:tc>
          <w:tcPr>
            <w:tcW w:w="7479" w:type="dxa"/>
          </w:tcPr>
          <w:p w14:paraId="48F5F65A" w14:textId="43DDBFD2"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r>
              <w:lastRenderedPageBreak/>
              <w:t>Dat is akkoord.</w:t>
            </w:r>
          </w:p>
        </w:tc>
      </w:tr>
      <w:tr w:rsidR="005A5E89" w:rsidRPr="00CD6D3F" w14:paraId="394F5F56" w14:textId="7BFC25C5" w:rsidTr="005A5E89">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288186C8" w14:textId="77777777"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C6C45" w14:textId="5CD53959" w:rsidR="005A5E8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pPr>
            <w:r>
              <w:t>NvI1 #12</w:t>
            </w:r>
          </w:p>
        </w:tc>
        <w:tc>
          <w:tcPr>
            <w:tcW w:w="3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60384" w14:textId="77777777" w:rsidR="005A5E89" w:rsidRDefault="005A5E89" w:rsidP="000F3343">
            <w:pPr>
              <w:cnfStyle w:val="000000100000" w:firstRow="0" w:lastRow="0" w:firstColumn="0" w:lastColumn="0" w:oddVBand="0" w:evenVBand="0" w:oddHBand="1" w:evenHBand="0" w:firstRowFirstColumn="0" w:firstRowLastColumn="0" w:lastRowFirstColumn="0" w:lastRowLastColumn="0"/>
            </w:pPr>
            <w:r>
              <w:t xml:space="preserve">Wij merken dat er aan de demo casussen veel aandacht en tijd is besteed. Dit geeft ons als Inschrijver een goed en duidelijk beeld van de gewenste werkwijze van de aan te schaffen e-HRM oplossing. U vraagt deze uit op basis van zoveel mogelijk Best Practices. Graag laat Inschrijver de Best Practices zien waarmee u de werking van onze e-HRM oplossing kan beoordelen. </w:t>
            </w:r>
          </w:p>
          <w:p w14:paraId="30C1C648" w14:textId="77777777" w:rsidR="005A5E89" w:rsidRDefault="005A5E89" w:rsidP="000F3343">
            <w:pPr>
              <w:cnfStyle w:val="000000100000" w:firstRow="0" w:lastRow="0" w:firstColumn="0" w:lastColumn="0" w:oddVBand="0" w:evenVBand="0" w:oddHBand="1" w:evenHBand="0" w:firstRowFirstColumn="0" w:firstRowLastColumn="0" w:lastRowFirstColumn="0" w:lastRowLastColumn="0"/>
            </w:pPr>
            <w:r>
              <w:t xml:space="preserve">De diepgang in details vergt extra veel inspanningen voor Inschrijvers die lijken op een voor VRK ingerichte omgeving. </w:t>
            </w:r>
          </w:p>
          <w:p w14:paraId="39723CBA" w14:textId="14E07E38" w:rsidR="005A5E89" w:rsidRDefault="005A5E89" w:rsidP="000F334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Nogmaals het verzoek om de demo op de werking van het systeem te beoordelen en de detaillering rondom persona’s te laten vervallen. Bent u daarmee akkoord?</w:t>
            </w:r>
          </w:p>
        </w:tc>
        <w:tc>
          <w:tcPr>
            <w:tcW w:w="7479" w:type="dxa"/>
          </w:tcPr>
          <w:p w14:paraId="1341F3A0" w14:textId="258E99AE" w:rsidR="005A5E89" w:rsidRDefault="005A5E89" w:rsidP="005365A1">
            <w:pPr>
              <w:spacing w:after="0" w:line="250" w:lineRule="atLeast"/>
              <w:cnfStyle w:val="000000100000" w:firstRow="0" w:lastRow="0" w:firstColumn="0" w:lastColumn="0" w:oddVBand="0" w:evenVBand="0" w:oddHBand="1" w:evenHBand="0" w:firstRowFirstColumn="0" w:firstRowLastColumn="0" w:lastRowFirstColumn="0" w:lastRowLastColumn="0"/>
            </w:pPr>
            <w:r>
              <w:t>Dat is akkoord.  Echter door gebruik te maken van de opgegeven informatie in de casus kunnen de verwachtingen beter gecontroleerd worden op juistheid waardoor de kans bestaat dat dit hoger gewaardeerd wordt. De keuze om gebruik te maken van de opgegeven data dan wel gebruik te maken van testdata is aan de inschrijver.</w:t>
            </w:r>
          </w:p>
        </w:tc>
      </w:tr>
      <w:tr w:rsidR="005A5E89" w:rsidRPr="00CD6D3F" w14:paraId="6F72543C" w14:textId="436136D3" w:rsidTr="005A5E89">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5DD3C742" w14:textId="77777777"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6D774"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r>
              <w:t>GIBIT 2020 art. 4.2i)</w:t>
            </w:r>
          </w:p>
          <w:p w14:paraId="20902810" w14:textId="35943DF4"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r>
              <w:t>NvI1 #13</w:t>
            </w:r>
          </w:p>
        </w:tc>
        <w:tc>
          <w:tcPr>
            <w:tcW w:w="3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DB5AB" w14:textId="1319980E" w:rsidR="005A5E89" w:rsidRDefault="005A5E89" w:rsidP="000F3343">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 xml:space="preserve">Zoals VRK aangeeft is Inschrijver verantwoordelijk voor de uitvoering van de implementatie, </w:t>
            </w:r>
            <w:r>
              <w:lastRenderedPageBreak/>
              <w:t>maar is zij hiervoor afhankelijk van de input van VRK. VRK stelt dat het aan Inschrijver is om aan VRK 'in het implementatieplan voorwaarden te stellen om te komen tot een succesvolle implementatie'. Voor een succesvolle uitvoering van het implementatieplan is Inschrijver dus afhankelijk van de voltooing van deze door Inschrijver aan VRK opgelegde voorwaarden, bij gebreke waarvan het implementatieplan door Inschrijver niet (tijdig) kan worden uitgevoerd. Is VRK het eens dat in een dergelijk geval, waarbij VRK niet (tijdig) voldoet aan de door Inschrijver gestelde voorwaarden (als gevolg waarvan het implementatieplan niet kan worden afgerond) er geen sprake is van overschrijding van een fatale termijn in de zin van dit artikel? Zo nee, welke garanties biedt VRK dat aan de aan haar gestelde voorwaarden in het implementatieplan (tijdig) wordt voldaan?</w:t>
            </w:r>
          </w:p>
        </w:tc>
        <w:tc>
          <w:tcPr>
            <w:tcW w:w="7479" w:type="dxa"/>
          </w:tcPr>
          <w:p w14:paraId="0381033D" w14:textId="7A8050F5"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r>
              <w:lastRenderedPageBreak/>
              <w:t xml:space="preserve">Dat is niet akkoord. VRK houdt vast aan de fatale termijn.  In het implementatieplan en de uitvoering daarvan dient  Inschrijver gebruik te maken </w:t>
            </w:r>
            <w:r>
              <w:lastRenderedPageBreak/>
              <w:t xml:space="preserve">van tussentijdse mijlpalen/deellevering, die ook dienen ter sturing van VRK, om tot een succesvolle implementatie te komen.  </w:t>
            </w:r>
          </w:p>
        </w:tc>
      </w:tr>
      <w:tr w:rsidR="005A5E89" w:rsidRPr="00CD6D3F" w14:paraId="32D66642" w14:textId="638297F3" w:rsidTr="005A5E89">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13EE9210" w14:textId="77777777"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AFF77" w14:textId="77777777" w:rsidR="005A5E89" w:rsidRDefault="005A5E89" w:rsidP="000F3343">
            <w:pPr>
              <w:cnfStyle w:val="000000100000" w:firstRow="0" w:lastRow="0" w:firstColumn="0" w:lastColumn="0" w:oddVBand="0" w:evenVBand="0" w:oddHBand="1" w:evenHBand="0" w:firstRowFirstColumn="0" w:firstRowLastColumn="0" w:lastRowFirstColumn="0" w:lastRowLastColumn="0"/>
            </w:pPr>
            <w:r>
              <w:t>GIBIT 2020 art. 8.10 ii)</w:t>
            </w:r>
          </w:p>
          <w:p w14:paraId="42663EB6" w14:textId="6D5762C7" w:rsidR="005A5E8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pPr>
            <w:r>
              <w:t>NvI1 #16</w:t>
            </w:r>
          </w:p>
        </w:tc>
        <w:tc>
          <w:tcPr>
            <w:tcW w:w="3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0B038" w14:textId="4C75515F" w:rsidR="005A5E89" w:rsidRDefault="005A5E89" w:rsidP="000F334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 xml:space="preserve">Ad 2: op het moment dat deze situatie zich voordoet en de </w:t>
            </w:r>
            <w:r>
              <w:lastRenderedPageBreak/>
              <w:t xml:space="preserve">toevoeging is niet opgenomen heeft Inschrijver een overeengekomen garantiebepaling geschonden. Indien de onderhavige toevoeging niet is opgenomen wordt de opgenomen omstandigheid (omstandigheid bij een derde/buiten de sfeer van Inschrijver) geacht onderdeel te zijn van de afgegeven garantie. Het zou op dat moment aan Inschrijver zijn om aan te tonen dat anders is overeengekomen (los van de verplichting van Inschrijver om aan te tonen dat sprake is van een omstandigheid bij een derde/buiten haar sfeer). Om deze discussie te voorkomen ziet Inschrijver de toevoeging alsnog graag opgenomen, nu dit volgens VRK reeds voortvloeit uit de wet zou er geen bezwaar moeten zijn om dit expliciet op te nemen. Kan VRK hiermee instemmen? Zo nee, kan VRK dan akkoord gaan met een beperking van de aansprakelijkheid voortvloeiend uit de schending van deze bepaling gelijk aan de </w:t>
            </w:r>
            <w:r>
              <w:lastRenderedPageBreak/>
              <w:t>aansprakelijkheidsbeperking overeengekomen in artikel 13.4?</w:t>
            </w:r>
          </w:p>
        </w:tc>
        <w:tc>
          <w:tcPr>
            <w:tcW w:w="7479" w:type="dxa"/>
          </w:tcPr>
          <w:p w14:paraId="240C27CF" w14:textId="32EBC334" w:rsidR="005A5E89" w:rsidRDefault="005A5E89" w:rsidP="6416F549">
            <w:pPr>
              <w:spacing w:after="0" w:line="250" w:lineRule="atLeast"/>
              <w:cnfStyle w:val="000000100000" w:firstRow="0" w:lastRow="0" w:firstColumn="0" w:lastColumn="0" w:oddVBand="0" w:evenVBand="0" w:oddHBand="1" w:evenHBand="0" w:firstRowFirstColumn="0" w:firstRowLastColumn="0" w:lastRowFirstColumn="0" w:lastRowLastColumn="0"/>
              <w:rPr>
                <w:rFonts w:eastAsia="Calibri"/>
              </w:rPr>
            </w:pPr>
            <w:r>
              <w:lastRenderedPageBreak/>
              <w:t>Dat is niet akkoord, wel wordt de aansprakelijkheid verder beperkt tot maximaal 15 keer de jaarlijkse opdrachtwaarde.</w:t>
            </w:r>
          </w:p>
        </w:tc>
      </w:tr>
      <w:tr w:rsidR="005A5E89" w:rsidRPr="00CD6D3F" w14:paraId="1F0924D4" w14:textId="0F079EB6" w:rsidTr="005A5E89">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57279C0B" w14:textId="77777777"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F84B3"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r>
              <w:t>GIBIT 2020 art.13.4</w:t>
            </w:r>
          </w:p>
          <w:p w14:paraId="259A42C4" w14:textId="0D52A30B"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r>
              <w:t>NvI1 #20</w:t>
            </w:r>
          </w:p>
        </w:tc>
        <w:tc>
          <w:tcPr>
            <w:tcW w:w="3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01AD8" w14:textId="36459292" w:rsidR="005A5E89" w:rsidRDefault="005A5E89" w:rsidP="000F3343">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Inschrijver acht de aanpassing van 10x naar 4x de jaarvergoeding een redelijke aanpassing, maar merkt op dat de maximale aansprakelijkheid nog altijd 20x de jaarvergoeding bedraagt. De oorspronkelijk geuite bezwaren (onverzekerbaarheid) blijven dan ook bestaan. Is VRK in dat kader alsnog bereid om de maximale aansprakelijkheid per jaar te laten vervallen dan wel te verlagen? Zo nee, waarom acht VRK een dergelijke aansprakelijkheidsbeperking in het licht van de stellingen van Inschrijver redelijk?</w:t>
            </w:r>
          </w:p>
        </w:tc>
        <w:tc>
          <w:tcPr>
            <w:tcW w:w="7479" w:type="dxa"/>
          </w:tcPr>
          <w:p w14:paraId="27F32111" w14:textId="23B7E228" w:rsidR="005A5E89" w:rsidRDefault="005A5E89" w:rsidP="6416F549">
            <w:pPr>
              <w:spacing w:after="0" w:line="250" w:lineRule="atLeast"/>
              <w:cnfStyle w:val="000000010000" w:firstRow="0" w:lastRow="0" w:firstColumn="0" w:lastColumn="0" w:oddVBand="0" w:evenVBand="0" w:oddHBand="0" w:evenHBand="1" w:firstRowFirstColumn="0" w:firstRowLastColumn="0" w:lastRowFirstColumn="0" w:lastRowLastColumn="0"/>
              <w:rPr>
                <w:rFonts w:eastAsia="Calibri"/>
              </w:rPr>
            </w:pPr>
            <w:r>
              <w:t>VRK zal een beperking opnemen van maximaal 15 keer de jaarlijkse opdrachtwaarde.</w:t>
            </w:r>
          </w:p>
          <w:p w14:paraId="32606A75" w14:textId="48CC411F" w:rsidR="005A5E89" w:rsidRDefault="005A5E89" w:rsidP="6416F549">
            <w:pPr>
              <w:spacing w:after="0" w:line="250" w:lineRule="atLeast"/>
              <w:cnfStyle w:val="000000010000" w:firstRow="0" w:lastRow="0" w:firstColumn="0" w:lastColumn="0" w:oddVBand="0" w:evenVBand="0" w:oddHBand="0" w:evenHBand="1" w:firstRowFirstColumn="0" w:firstRowLastColumn="0" w:lastRowFirstColumn="0" w:lastRowLastColumn="0"/>
              <w:rPr>
                <w:rFonts w:eastAsia="Calibri"/>
              </w:rPr>
            </w:pPr>
          </w:p>
        </w:tc>
      </w:tr>
      <w:tr w:rsidR="005A5E89" w:rsidRPr="00CD6D3F" w14:paraId="5DE0D504" w14:textId="653F46F8" w:rsidTr="005A5E89">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3C1BD6B7" w14:textId="77777777"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4C002" w14:textId="77777777" w:rsidR="005A5E89" w:rsidRDefault="005A5E89" w:rsidP="000F3343">
            <w:pPr>
              <w:cnfStyle w:val="000000100000" w:firstRow="0" w:lastRow="0" w:firstColumn="0" w:lastColumn="0" w:oddVBand="0" w:evenVBand="0" w:oddHBand="1" w:evenHBand="0" w:firstRowFirstColumn="0" w:firstRowLastColumn="0" w:lastRowFirstColumn="0" w:lastRowLastColumn="0"/>
            </w:pPr>
            <w:r>
              <w:t>GIBIT 2020 art.13.4</w:t>
            </w:r>
          </w:p>
          <w:p w14:paraId="1308F9E8" w14:textId="0516E5D2" w:rsidR="005A5E8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pPr>
            <w:r>
              <w:t>NvI1 #21</w:t>
            </w:r>
          </w:p>
        </w:tc>
        <w:tc>
          <w:tcPr>
            <w:tcW w:w="3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80170" w14:textId="5A7B5BA4" w:rsidR="005A5E89" w:rsidRDefault="005A5E89" w:rsidP="000F334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 xml:space="preserve">De door VRK aangegeven 'beperking van het schadebedrag hierboven' ziet uitsluitend op de hoogte van dit bedrag en niet op de verschillende posten waar dit bedrag betrekking op kan hebben. Door de posten niet te definiëren en/of te beperken kan in theorie de schade oneindig groot worden gesteld en heeft de </w:t>
            </w:r>
            <w:r>
              <w:lastRenderedPageBreak/>
              <w:t>hiervoor genoemde beperking slechts beperkte waarde: van een begrenzing van aansprakelijkheid is feitelijk geen sprake als het begrip schade dusdanig kan worden opgerekt dat de overeengekomen bovengrens bij iedere gelegenheid wordt 'bereikt'. Door het begrip 'directe schade' te hanteren wordt aansluiting gezocht bij de praktijk en werkt de beperking van de aansprakelijkheid ook daadwerkelijk als een bovengrens. Kan VRK alsnog akkoord gaan met een aanpassing van het schadebegrip tot 'directe schade' en zo niet, kan VRK aangeven waarom zij het redelijk acht dat in de onderhavige aanbesteding wordt afgeweken van deze in de praktijk gehanteerde definitie?</w:t>
            </w:r>
          </w:p>
        </w:tc>
        <w:tc>
          <w:tcPr>
            <w:tcW w:w="7479" w:type="dxa"/>
          </w:tcPr>
          <w:p w14:paraId="0126C7E5" w14:textId="7F7F16EC" w:rsidR="005A5E89" w:rsidRDefault="005A5E89" w:rsidP="6416F549">
            <w:pPr>
              <w:spacing w:after="0" w:line="250" w:lineRule="atLeast"/>
              <w:cnfStyle w:val="000000100000" w:firstRow="0" w:lastRow="0" w:firstColumn="0" w:lastColumn="0" w:oddVBand="0" w:evenVBand="0" w:oddHBand="1" w:evenHBand="0" w:firstRowFirstColumn="0" w:firstRowLastColumn="0" w:lastRowFirstColumn="0" w:lastRowLastColumn="0"/>
              <w:rPr>
                <w:rFonts w:eastAsia="Calibri"/>
              </w:rPr>
            </w:pPr>
            <w:r>
              <w:lastRenderedPageBreak/>
              <w:t>VRK zal een beperking opnemen van maximaal 15 keer de jaarlijkse opdrachtwaarde. Daarmee wordt de (theoretische) schade niet oneindig groot.</w:t>
            </w:r>
          </w:p>
          <w:p w14:paraId="47927E4C" w14:textId="3E347668" w:rsidR="005A5E89" w:rsidRDefault="005A5E89" w:rsidP="6416F549">
            <w:pPr>
              <w:spacing w:after="0" w:line="250" w:lineRule="atLeast"/>
              <w:cnfStyle w:val="000000100000" w:firstRow="0" w:lastRow="0" w:firstColumn="0" w:lastColumn="0" w:oddVBand="0" w:evenVBand="0" w:oddHBand="1" w:evenHBand="0" w:firstRowFirstColumn="0" w:firstRowLastColumn="0" w:lastRowFirstColumn="0" w:lastRowLastColumn="0"/>
              <w:rPr>
                <w:rFonts w:eastAsia="Calibri"/>
              </w:rPr>
            </w:pPr>
          </w:p>
        </w:tc>
      </w:tr>
      <w:tr w:rsidR="005A5E89" w:rsidRPr="00CD6D3F" w14:paraId="758DC95A" w14:textId="6138DEB9" w:rsidTr="005A5E89">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2B472080" w14:textId="77777777"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77ED1"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r>
              <w:t>GIBIT 2020 art. 15.5</w:t>
            </w:r>
          </w:p>
          <w:p w14:paraId="62B68951" w14:textId="0848E269"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r>
              <w:t>NvI1 #22</w:t>
            </w:r>
          </w:p>
        </w:tc>
        <w:tc>
          <w:tcPr>
            <w:tcW w:w="3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BED8D2" w14:textId="6F227862" w:rsidR="005A5E89" w:rsidRDefault="005A5E89" w:rsidP="000F3343">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 xml:space="preserve">Inschrijver begrijpt de gedachte achter de (hoogte van de) boete, maar acht een dergelijke boete geen basis voor een constructieve samenwerking, te meer niet nu (i) de hoogte van het bedrag disproportioneel is en </w:t>
            </w:r>
            <w:r>
              <w:lastRenderedPageBreak/>
              <w:t>(ii) de vergoeding van de door VRK geleden schade (conform artikel 13) verhaald kan worden. Voorts heeft Inschrijver er alle belang bij haar geheimhoudingsverplichtingen jegens VRK strikt na te leven nu overtreding van dergelijke bepalingen haar positie in de markt meer schaadt dan welke boetebepaling ook. Is VRK derhalve bereid om alsnog akkoord te gaan met de voorgestelde aanpassing? Zo nee, is VRK bereid het maximumbedrag te verlagen tot EUR 25.000,- per overtreding, waarbij een reeks van gebeurtenissen als één gebeurtenis wordt aangemerkt? Zo nee, kunt u aangeven waarom dit bedrag van EUR 25.000,- het beoogde doel niet zou bereiken en een bedrag van EUR 50.000,- wel?</w:t>
            </w:r>
          </w:p>
        </w:tc>
        <w:tc>
          <w:tcPr>
            <w:tcW w:w="7479" w:type="dxa"/>
          </w:tcPr>
          <w:p w14:paraId="5DC54BB4" w14:textId="42C3800E"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r>
              <w:lastRenderedPageBreak/>
              <w:t xml:space="preserve">Dat is niet akkoord. De hoogte van de boete </w:t>
            </w:r>
            <w:r w:rsidR="00923C9B">
              <w:t>houdt</w:t>
            </w:r>
            <w:r>
              <w:t xml:space="preserve"> naar de mening van VRK direct verband met de zorgvuldigheid waarmee Partijen omgaan met geheimhouding van verkregen informatie. </w:t>
            </w:r>
          </w:p>
        </w:tc>
      </w:tr>
      <w:tr w:rsidR="005A5E89" w:rsidRPr="00CD6D3F" w14:paraId="311C655E" w14:textId="09B6BB7A" w:rsidTr="005A5E89">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331C642C" w14:textId="77777777"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1482E" w14:textId="77777777" w:rsidR="005A5E89" w:rsidRDefault="005A5E89" w:rsidP="000F3343">
            <w:pPr>
              <w:cnfStyle w:val="000000100000" w:firstRow="0" w:lastRow="0" w:firstColumn="0" w:lastColumn="0" w:oddVBand="0" w:evenVBand="0" w:oddHBand="1" w:evenHBand="0" w:firstRowFirstColumn="0" w:firstRowLastColumn="0" w:lastRowFirstColumn="0" w:lastRowLastColumn="0"/>
            </w:pPr>
            <w:r>
              <w:t>GIBIT 2020 art. 17.3</w:t>
            </w:r>
          </w:p>
          <w:p w14:paraId="633BC1A0" w14:textId="4CEADADC" w:rsidR="005A5E8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pPr>
            <w:r>
              <w:t>NvI1 #24</w:t>
            </w:r>
          </w:p>
        </w:tc>
        <w:tc>
          <w:tcPr>
            <w:tcW w:w="3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DB1511" w14:textId="77777777" w:rsidR="005A5E89" w:rsidRDefault="005A5E89" w:rsidP="000F3343">
            <w:pPr>
              <w:cnfStyle w:val="000000100000" w:firstRow="0" w:lastRow="0" w:firstColumn="0" w:lastColumn="0" w:oddVBand="0" w:evenVBand="0" w:oddHBand="1" w:evenHBand="0" w:firstRowFirstColumn="0" w:firstRowLastColumn="0" w:lastRowFirstColumn="0" w:lastRowLastColumn="0"/>
            </w:pPr>
            <w:r>
              <w:t xml:space="preserve">De door Inschrijver bedoelde gebruiksvoorwaarden betreffen niet commerciele afspraken en geven een duidelijk(er)e omschrijving van  de gebruiksrechten van de door </w:t>
            </w:r>
            <w:r>
              <w:lastRenderedPageBreak/>
              <w:t>Inschrijver gehanteerde SaaS-oplossing. Inschrijver begrijpt dat VRK geen uitspraken over deze gebruiksvoorwaarden kan doen zonder hier voorafgaand kennis van te hebben genomen, maar is VRK desondanks bereid om, na gunning, te onderzoeken of de door Inschrijver gehanteerde gebruiksvoorwaarden beter aansluiten dan de onderhavige generieke bepaling? Zo nee, waarom niet?</w:t>
            </w:r>
          </w:p>
          <w:p w14:paraId="06800892" w14:textId="6C9B5A80" w:rsidR="005A5E89" w:rsidRDefault="005A5E89" w:rsidP="000F334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p>
        </w:tc>
        <w:tc>
          <w:tcPr>
            <w:tcW w:w="7479" w:type="dxa"/>
          </w:tcPr>
          <w:p w14:paraId="4242F01E" w14:textId="21DC5B07" w:rsidR="005A5E8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pPr>
            <w:r>
              <w:lastRenderedPageBreak/>
              <w:t xml:space="preserve">Dat is niet akkoord. Na gunning kan niet meer over voorwaarden worden onderhandeld. Dit zou andere partijen aan wie niet gegund is, mogelijk kunnen benadelen. </w:t>
            </w:r>
          </w:p>
        </w:tc>
      </w:tr>
      <w:tr w:rsidR="005A5E89" w:rsidRPr="00CD6D3F" w14:paraId="6226361D" w14:textId="69396FFB" w:rsidTr="005A5E89">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58AE1A14" w14:textId="77777777"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423A3"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r>
              <w:t xml:space="preserve">Verwerkersovereenkomst </w:t>
            </w:r>
          </w:p>
          <w:p w14:paraId="7A9804B8"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r>
              <w:t>art. 4.3</w:t>
            </w:r>
          </w:p>
          <w:p w14:paraId="2A2B5AFE" w14:textId="34FA0540"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r>
              <w:t>NvI1 #26</w:t>
            </w:r>
          </w:p>
        </w:tc>
        <w:tc>
          <w:tcPr>
            <w:tcW w:w="3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E8110" w14:textId="76A82C35" w:rsidR="005A5E89" w:rsidRDefault="005A5E89" w:rsidP="000F3343">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Zie de oorspronkelijk vraag van Inschrijver: het is voor Inschrijver praktisch niet uitvoerbaar om aan al haar klanten voorafgaand melding te maken van verwerking buiten de EER. Dit is ook niet nodig nu Inschrijver toezegt uitsluitend persoonsgegevens buiten de EER te verwerken conform (artikel 45 en 46) AVG. Een melding aan Inschrijver zal ook te allen tijde plaatsvinden, alleen niet per sé vooraf. Is dit voor VRK akkoord?</w:t>
            </w:r>
          </w:p>
        </w:tc>
        <w:tc>
          <w:tcPr>
            <w:tcW w:w="7479" w:type="dxa"/>
          </w:tcPr>
          <w:p w14:paraId="5B89CE71" w14:textId="4C203E1A"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r>
              <w:t>Dat is niet akkoord. Het betreft immers alleen een mededeling vooraf en geen verzoek tot goedkeuring door VRK.</w:t>
            </w:r>
          </w:p>
        </w:tc>
      </w:tr>
      <w:tr w:rsidR="005A5E89" w:rsidRPr="00CD6D3F" w14:paraId="5A5EB7C2" w14:textId="533B59AE" w:rsidTr="005A5E89">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13457CBC" w14:textId="77777777"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B4E3CB" w14:textId="77777777" w:rsidR="005A5E89" w:rsidRDefault="005A5E89" w:rsidP="000F3343">
            <w:pPr>
              <w:cnfStyle w:val="000000100000" w:firstRow="0" w:lastRow="0" w:firstColumn="0" w:lastColumn="0" w:oddVBand="0" w:evenVBand="0" w:oddHBand="1" w:evenHBand="0" w:firstRowFirstColumn="0" w:firstRowLastColumn="0" w:lastRowFirstColumn="0" w:lastRowLastColumn="0"/>
            </w:pPr>
            <w:r>
              <w:t>Overeenkomst van overheidsopdracht art. 6.4</w:t>
            </w:r>
          </w:p>
          <w:p w14:paraId="6BCEFE0E" w14:textId="3293A403" w:rsidR="005A5E8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pPr>
            <w:r>
              <w:t>NvI1 #30</w:t>
            </w:r>
          </w:p>
        </w:tc>
        <w:tc>
          <w:tcPr>
            <w:tcW w:w="3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F53D0B" w14:textId="6507C295" w:rsidR="005A5E89" w:rsidRDefault="005A5E89" w:rsidP="000F334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Kan VRK nader toelichten waarom zij statische, algemene, oudere documenten laat prevaleren boven dynamische, specifieke, recente documenten? Wat is de reden dat VRK aan deze volgorde wenst vast te houden?</w:t>
            </w:r>
          </w:p>
        </w:tc>
        <w:tc>
          <w:tcPr>
            <w:tcW w:w="7479" w:type="dxa"/>
          </w:tcPr>
          <w:p w14:paraId="26EC4A5E" w14:textId="4B198D72" w:rsidR="005A5E8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pPr>
            <w:r>
              <w:t xml:space="preserve">VRK houdt vast aan de rangorde die de positie van VRK als opdrachtgever het beste beschermt.  </w:t>
            </w:r>
          </w:p>
        </w:tc>
      </w:tr>
      <w:tr w:rsidR="005A5E89" w:rsidRPr="00CD6D3F" w14:paraId="2B990CBB" w14:textId="2732745D" w:rsidTr="005A5E89">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007B7C1E" w14:textId="77777777"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0B082"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r>
              <w:t>Overeenkomst van overheidsopdracht art. 6.4</w:t>
            </w:r>
          </w:p>
          <w:p w14:paraId="1C552B92" w14:textId="7C405805"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r>
              <w:t>NvI1 #32</w:t>
            </w:r>
          </w:p>
        </w:tc>
        <w:tc>
          <w:tcPr>
            <w:tcW w:w="3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53B03" w14:textId="4B7DAE21" w:rsidR="005A5E89" w:rsidRDefault="005A5E89" w:rsidP="000F3343">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Kan VRK nader toelichten wat zij verstaat onder de voorwaarde dat ' instandhouding van de overeenkomst in redelijkheid niet van haar kan worden verlangd', nu dit een arbitraire voorwaarde lijkt die VRK naar willekeur kan inroepen? Is VRK bereid deze bepaling van het artikel te laten vervallen? Zo nee, kan VRK nader toelichten hoe dit artikel zich verhoudt tot de reeds opgenomen ' onvoorziene omstandigheden'  die een ontbinding rechtvaardigen? Kan Inschrijver voorbeelden geven van omstandigheden die niet als onvoorzien kwalificeren, maar er wel toe leiden dat instandhouding van de overeenkomst redelijkerwijs niet kan worden verlangd?</w:t>
            </w:r>
          </w:p>
        </w:tc>
        <w:tc>
          <w:tcPr>
            <w:tcW w:w="7479" w:type="dxa"/>
          </w:tcPr>
          <w:p w14:paraId="55A6D845" w14:textId="67865AD5" w:rsidR="005A5E89" w:rsidRDefault="005A5E89" w:rsidP="6416F549">
            <w:pPr>
              <w:spacing w:after="0" w:line="250" w:lineRule="atLeast"/>
              <w:cnfStyle w:val="000000010000" w:firstRow="0" w:lastRow="0" w:firstColumn="0" w:lastColumn="0" w:oddVBand="0" w:evenVBand="0" w:oddHBand="0" w:evenHBand="1" w:firstRowFirstColumn="0" w:firstRowLastColumn="0" w:lastRowFirstColumn="0" w:lastRowLastColumn="0"/>
            </w:pPr>
            <w:r>
              <w:t xml:space="preserve">Vooropgesteld dient te worden dat VRK deze voorwaarde niet lichtvaardig zal inroepen, stopzetting van de dienstverlening is immers niet in het directe belang van VRK. Een -overigens zeer onwaarschijnlijk- voorbeeld zou kunnen zijn dat de financiering van VRK wordt stopgezet.   </w:t>
            </w:r>
          </w:p>
        </w:tc>
      </w:tr>
      <w:tr w:rsidR="005A5E89" w:rsidRPr="00CD6D3F" w14:paraId="2EC8B52B" w14:textId="1AFF95F0" w:rsidTr="005A5E89">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4EDD6E07" w14:textId="77777777"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DFAA3" w14:textId="77777777" w:rsidR="005A5E89" w:rsidRDefault="005A5E89" w:rsidP="000F3343">
            <w:pPr>
              <w:cnfStyle w:val="000000100000" w:firstRow="0" w:lastRow="0" w:firstColumn="0" w:lastColumn="0" w:oddVBand="0" w:evenVBand="0" w:oddHBand="1" w:evenHBand="0" w:firstRowFirstColumn="0" w:firstRowLastColumn="0" w:lastRowFirstColumn="0" w:lastRowLastColumn="0"/>
            </w:pPr>
            <w:r>
              <w:t>Overeenkomst van overheidsopdracht art. 10.2</w:t>
            </w:r>
          </w:p>
          <w:p w14:paraId="1FD2E693" w14:textId="74D5001A" w:rsidR="005A5E89" w:rsidRDefault="005A5E89" w:rsidP="000F3343">
            <w:pPr>
              <w:spacing w:after="0" w:line="250" w:lineRule="atLeast"/>
              <w:cnfStyle w:val="000000100000" w:firstRow="0" w:lastRow="0" w:firstColumn="0" w:lastColumn="0" w:oddVBand="0" w:evenVBand="0" w:oddHBand="1" w:evenHBand="0" w:firstRowFirstColumn="0" w:firstRowLastColumn="0" w:lastRowFirstColumn="0" w:lastRowLastColumn="0"/>
            </w:pPr>
            <w:r>
              <w:t>NvI1 #33</w:t>
            </w:r>
          </w:p>
        </w:tc>
        <w:tc>
          <w:tcPr>
            <w:tcW w:w="3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1CAD3" w14:textId="77777777" w:rsidR="005A5E89" w:rsidRDefault="005A5E89" w:rsidP="000F3343">
            <w:pPr>
              <w:cnfStyle w:val="000000100000" w:firstRow="0" w:lastRow="0" w:firstColumn="0" w:lastColumn="0" w:oddVBand="0" w:evenVBand="0" w:oddHBand="1" w:evenHBand="0" w:firstRowFirstColumn="0" w:firstRowLastColumn="0" w:lastRowFirstColumn="0" w:lastRowLastColumn="0"/>
            </w:pPr>
            <w:r>
              <w:t>"Indien VRK vast wenst te houden aan de 'boete' zoals opgenomen in 130 PvE dan is het niet meer dan redelijk dat Inschrijver bij het boven de norm voldoen aan de uptime-eisen een bonus verkrijgt: kan VRK er mee instemmen dat Inschrijver bij het boven de norm voldoen aan de uptime-eisen een bonus factureert van 1% van de onderhoudsfactuur op jaarbasis? Zo nee, waarom acht VRK deze bonus niet redelijk (en de opgelegde boete wel)?</w:t>
            </w:r>
          </w:p>
          <w:p w14:paraId="78E45BAF" w14:textId="6A7ED159" w:rsidR="005A5E89" w:rsidRDefault="005A5E89" w:rsidP="000F334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In alle gevallen zou de hoogte van het bedrag gekoppeld moeten zijn aan dat deel van de onderhoudsfactuur dat aan de uptime gerelateerd is, kan VRK hiermee instemmen? Zo nee, waarom niet?"</w:t>
            </w:r>
          </w:p>
        </w:tc>
        <w:tc>
          <w:tcPr>
            <w:tcW w:w="7479" w:type="dxa"/>
          </w:tcPr>
          <w:p w14:paraId="5A27EA3C" w14:textId="61B51B78" w:rsidR="005A5E89" w:rsidRDefault="005A5E89" w:rsidP="6416F549">
            <w:pPr>
              <w:spacing w:after="0" w:line="250" w:lineRule="atLeast"/>
              <w:cnfStyle w:val="000000100000" w:firstRow="0" w:lastRow="0" w:firstColumn="0" w:lastColumn="0" w:oddVBand="0" w:evenVBand="0" w:oddHBand="1" w:evenHBand="0" w:firstRowFirstColumn="0" w:firstRowLastColumn="0" w:lastRowFirstColumn="0" w:lastRowLastColumn="0"/>
              <w:rPr>
                <w:rFonts w:eastAsia="Calibri"/>
              </w:rPr>
            </w:pPr>
            <w:r>
              <w:t xml:space="preserve">Dat is niet akkoord, </w:t>
            </w:r>
            <w:r w:rsidRPr="36C2CC60">
              <w:rPr>
                <w:rFonts w:eastAsia="Calibri"/>
              </w:rPr>
              <w:t xml:space="preserve">wel zal VRK </w:t>
            </w:r>
            <w:r>
              <w:t>een maximum van 20% van het jaarbedrag als plafond opnemen. VRK acht het redelijk dat een eventueel boven de norm presteren van Inschrijver reeds voldoende wordt gecompenseerd door het te betalen jaarbedrag.</w:t>
            </w:r>
          </w:p>
        </w:tc>
      </w:tr>
      <w:tr w:rsidR="005A5E89" w:rsidRPr="00CD6D3F" w14:paraId="4254DFE6" w14:textId="46CED8A6" w:rsidTr="005A5E89">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12CF9963" w14:textId="77777777"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B2A2E"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r>
              <w:t>PvE Eis 130</w:t>
            </w:r>
          </w:p>
          <w:p w14:paraId="413C2BC7" w14:textId="7B3DE7BF" w:rsidR="005A5E89" w:rsidRDefault="005A5E89" w:rsidP="000F3343">
            <w:pPr>
              <w:spacing w:after="0" w:line="250" w:lineRule="atLeast"/>
              <w:cnfStyle w:val="000000010000" w:firstRow="0" w:lastRow="0" w:firstColumn="0" w:lastColumn="0" w:oddVBand="0" w:evenVBand="0" w:oddHBand="0" w:evenHBand="1" w:firstRowFirstColumn="0" w:firstRowLastColumn="0" w:lastRowFirstColumn="0" w:lastRowLastColumn="0"/>
            </w:pPr>
            <w:r>
              <w:t>NvI1 #33</w:t>
            </w:r>
          </w:p>
        </w:tc>
        <w:tc>
          <w:tcPr>
            <w:tcW w:w="3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07DB4"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r>
              <w:t xml:space="preserve">U geeft het volgende aan: </w:t>
            </w:r>
          </w:p>
          <w:p w14:paraId="75132AD8"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p>
          <w:p w14:paraId="7B5F931B"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r>
              <w:t xml:space="preserve">1. Bij elke verstoring die (binnen de tijd waarin de applicatie beschikbaar dient te zijn) 60 minuten of langer duurt, waarbij de applicatie niet beschikbaar is, </w:t>
            </w:r>
            <w:r>
              <w:lastRenderedPageBreak/>
              <w:t>wordt 1% van het jaarbedrag in mindering gebracht op de factuur in de eerste maand na afloop van de 12 maanden.</w:t>
            </w:r>
          </w:p>
          <w:p w14:paraId="1C9B6FB7"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p>
          <w:p w14:paraId="12199188"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r>
              <w:t xml:space="preserve">Een beloning maakt geen onderdeel uit van de gekozen service level systematiek. </w:t>
            </w:r>
          </w:p>
          <w:p w14:paraId="79F0BDE8"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p>
          <w:p w14:paraId="23B273A1"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r>
              <w:t>2. In eis 130 stelt VRK het volgende: Indien niet aan de uptime-eisen wordt voldaan is de VRK gerechtigd om 'per uur / niet beschikbaar' 1% van de onderhoudsfactuur op jaarbasis terug te vorderen (ernstige calamiteiten en overmacht uitgezonderd).</w:t>
            </w:r>
          </w:p>
          <w:p w14:paraId="100AB531"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p>
          <w:p w14:paraId="05D5DA24"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r>
              <w:t>Dit lijkt in ogen van Inschrijver niet consistent, immers in situatie 1 zal een overschrijding van 5 dagen leiden tot 1% penalty en in situatie 2 tot meer dan 100% penalty.</w:t>
            </w:r>
          </w:p>
          <w:p w14:paraId="781E5989"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p>
          <w:p w14:paraId="3F5DE165"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r>
              <w:lastRenderedPageBreak/>
              <w:t>Vragen van Inschrijver rondom dit onderwerp:</w:t>
            </w:r>
          </w:p>
          <w:p w14:paraId="0F9CA6A7"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p>
          <w:p w14:paraId="07B208AC" w14:textId="77777777" w:rsidR="005A5E89" w:rsidRDefault="005A5E89" w:rsidP="000F3343">
            <w:pPr>
              <w:numPr>
                <w:ilvl w:val="0"/>
                <w:numId w:val="26"/>
              </w:numPr>
              <w:spacing w:after="0" w:line="240" w:lineRule="auto"/>
              <w:cnfStyle w:val="000000010000" w:firstRow="0" w:lastRow="0" w:firstColumn="0" w:lastColumn="0" w:oddVBand="0" w:evenVBand="0" w:oddHBand="0" w:evenHBand="1" w:firstRowFirstColumn="0" w:firstRowLastColumn="0" w:lastRowFirstColumn="0" w:lastRowLastColumn="0"/>
            </w:pPr>
            <w:r>
              <w:t>Welke van bovengenoemde regeling wilt u toepassen?</w:t>
            </w:r>
          </w:p>
          <w:p w14:paraId="54036435"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p>
          <w:p w14:paraId="21282829"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r>
              <w:t xml:space="preserve">In beide situatie geldt uiteraard dat Inschrijver er naar streeft zich te conformeren aan de SLA afspraken. Echter, indien deze niet gehaald worden vindt Inschrijver het realistischer om te werken met een maximalisering op jaarbasis van 7%. </w:t>
            </w:r>
          </w:p>
          <w:p w14:paraId="1C997DBF"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p>
          <w:p w14:paraId="4779BB7D" w14:textId="77777777" w:rsidR="005A5E89" w:rsidRDefault="005A5E89" w:rsidP="000F3343">
            <w:pPr>
              <w:numPr>
                <w:ilvl w:val="0"/>
                <w:numId w:val="27"/>
              </w:numPr>
              <w:spacing w:after="0" w:line="240" w:lineRule="auto"/>
              <w:cnfStyle w:val="000000010000" w:firstRow="0" w:lastRow="0" w:firstColumn="0" w:lastColumn="0" w:oddVBand="0" w:evenVBand="0" w:oddHBand="0" w:evenHBand="1" w:firstRowFirstColumn="0" w:firstRowLastColumn="0" w:lastRowFirstColumn="0" w:lastRowLastColumn="0"/>
            </w:pPr>
            <w:r>
              <w:t>Gaat u akkoord met een maximalisering van een penalty van 7% op jaarbasis?</w:t>
            </w:r>
          </w:p>
          <w:p w14:paraId="241A7F9B"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p>
          <w:p w14:paraId="279E24F1"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r>
              <w:t xml:space="preserve">Geen maximalisering en/of een hoger percentage vindt Inschrijver niet realistisch, niet in verhouding en niet werkbaar.  </w:t>
            </w:r>
          </w:p>
          <w:p w14:paraId="3C684FB4" w14:textId="78FBFDE6" w:rsidR="005A5E89" w:rsidRDefault="005A5E89" w:rsidP="000F3343">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pPr>
            <w:r>
              <w:t xml:space="preserve">Doelt u met 60 minuten / 1 uur een klokuur, oftewel 24 uur per dag tellend? Of doelt u een </w:t>
            </w:r>
            <w:r>
              <w:lastRenderedPageBreak/>
              <w:t>werkuur met een maximum aantal uren per dag? Indien u een werkuur bedoelt, dan graag uw toelichting op het maximum aantal uren per werkdag.</w:t>
            </w:r>
          </w:p>
        </w:tc>
        <w:tc>
          <w:tcPr>
            <w:tcW w:w="7479" w:type="dxa"/>
          </w:tcPr>
          <w:p w14:paraId="262FFF45" w14:textId="25198ECA" w:rsidR="005A5E89" w:rsidRDefault="005A5E89" w:rsidP="7CCB62BF">
            <w:pPr>
              <w:spacing w:after="0" w:line="250" w:lineRule="atLeast"/>
              <w:cnfStyle w:val="000000010000" w:firstRow="0" w:lastRow="0" w:firstColumn="0" w:lastColumn="0" w:oddVBand="0" w:evenVBand="0" w:oddHBand="0" w:evenHBand="1" w:firstRowFirstColumn="0" w:firstRowLastColumn="0" w:lastRowFirstColumn="0" w:lastRowLastColumn="0"/>
              <w:rPr>
                <w:rFonts w:eastAsia="Calibri" w:cs="Arial"/>
              </w:rPr>
            </w:pPr>
            <w:r w:rsidRPr="7CCB62BF">
              <w:rPr>
                <w:rFonts w:eastAsia="Calibri"/>
              </w:rPr>
              <w:lastRenderedPageBreak/>
              <w:t xml:space="preserve">Voor elke verstoring die 60 minuten of langer duurt, zal per 60 minuten (afgerond naar beneden) </w:t>
            </w:r>
            <w:r>
              <w:t xml:space="preserve">1% van het jaarbedrag in mindering gebracht worden op de factuur in de eerste maand na afloop van de 12 maanden. </w:t>
            </w:r>
          </w:p>
          <w:p w14:paraId="1435B543" w14:textId="10D49ED8" w:rsidR="005A5E89" w:rsidRDefault="005A5E89" w:rsidP="7CCB62BF">
            <w:pPr>
              <w:spacing w:after="0" w:line="250" w:lineRule="atLeast"/>
              <w:cnfStyle w:val="000000010000" w:firstRow="0" w:lastRow="0" w:firstColumn="0" w:lastColumn="0" w:oddVBand="0" w:evenVBand="0" w:oddHBand="0" w:evenHBand="1" w:firstRowFirstColumn="0" w:firstRowLastColumn="0" w:lastRowFirstColumn="0" w:lastRowLastColumn="0"/>
            </w:pPr>
          </w:p>
          <w:p w14:paraId="0ACD0854" w14:textId="67CFFCA7" w:rsidR="005A5E89" w:rsidRDefault="005A5E89" w:rsidP="7CCB62BF">
            <w:pPr>
              <w:spacing w:after="0" w:line="250" w:lineRule="atLeast"/>
              <w:cnfStyle w:val="000000010000" w:firstRow="0" w:lastRow="0" w:firstColumn="0" w:lastColumn="0" w:oddVBand="0" w:evenVBand="0" w:oddHBand="0" w:evenHBand="1" w:firstRowFirstColumn="0" w:firstRowLastColumn="0" w:lastRowFirstColumn="0" w:lastRowLastColumn="0"/>
              <w:rPr>
                <w:rFonts w:eastAsia="Calibri" w:cs="Arial"/>
              </w:rPr>
            </w:pPr>
            <w:r>
              <w:t xml:space="preserve">Voorbeelden: een aaneengesloten verstoring van 65 minuten telt als 60 minuten, een verstoring van 118 minuten, telt als 60 minuten. Een aaneengesloten verstoring van 125 minuten telt als twee keer 60 minuten. </w:t>
            </w:r>
          </w:p>
          <w:p w14:paraId="77C2FE67" w14:textId="1069D80D" w:rsidR="005A5E89" w:rsidRDefault="005A5E89" w:rsidP="7CCB62BF">
            <w:pPr>
              <w:spacing w:after="0" w:line="250" w:lineRule="atLeast"/>
              <w:cnfStyle w:val="000000010000" w:firstRow="0" w:lastRow="0" w:firstColumn="0" w:lastColumn="0" w:oddVBand="0" w:evenVBand="0" w:oddHBand="0" w:evenHBand="1" w:firstRowFirstColumn="0" w:firstRowLastColumn="0" w:lastRowFirstColumn="0" w:lastRowLastColumn="0"/>
              <w:rPr>
                <w:rFonts w:eastAsia="Calibri" w:cs="Arial"/>
              </w:rPr>
            </w:pPr>
          </w:p>
          <w:p w14:paraId="01CA8EB9" w14:textId="0D4EEE57" w:rsidR="005A5E89" w:rsidRDefault="005A5E89" w:rsidP="7CCB62BF">
            <w:pPr>
              <w:spacing w:after="0" w:line="250" w:lineRule="atLeast"/>
              <w:cnfStyle w:val="000000010000" w:firstRow="0" w:lastRow="0" w:firstColumn="0" w:lastColumn="0" w:oddVBand="0" w:evenVBand="0" w:oddHBand="0" w:evenHBand="1" w:firstRowFirstColumn="0" w:firstRowLastColumn="0" w:lastRowFirstColumn="0" w:lastRowLastColumn="0"/>
              <w:rPr>
                <w:rFonts w:eastAsia="Calibri"/>
              </w:rPr>
            </w:pPr>
            <w:r w:rsidRPr="7CCB62BF">
              <w:rPr>
                <w:rFonts w:eastAsia="Calibri"/>
              </w:rPr>
              <w:t xml:space="preserve">VRK zal </w:t>
            </w:r>
            <w:r>
              <w:t>een maximum van 20% van het jaarbedrag als plafond opnemen. .</w:t>
            </w:r>
          </w:p>
          <w:p w14:paraId="4C774462" w14:textId="61632E31" w:rsidR="005A5E89" w:rsidRDefault="005A5E89" w:rsidP="7CCB62BF">
            <w:pPr>
              <w:spacing w:after="0" w:line="250" w:lineRule="atLeast"/>
              <w:cnfStyle w:val="000000010000" w:firstRow="0" w:lastRow="0" w:firstColumn="0" w:lastColumn="0" w:oddVBand="0" w:evenVBand="0" w:oddHBand="0" w:evenHBand="1" w:firstRowFirstColumn="0" w:firstRowLastColumn="0" w:lastRowFirstColumn="0" w:lastRowLastColumn="0"/>
              <w:rPr>
                <w:rFonts w:eastAsia="Calibri" w:cs="Arial"/>
                <w:highlight w:val="yellow"/>
              </w:rPr>
            </w:pPr>
          </w:p>
          <w:p w14:paraId="085A390A" w14:textId="581682C6" w:rsidR="005A5E89" w:rsidRDefault="005A5E89" w:rsidP="36C2CC60">
            <w:pPr>
              <w:spacing w:after="0" w:line="250" w:lineRule="atLeast"/>
              <w:cnfStyle w:val="000000010000" w:firstRow="0" w:lastRow="0" w:firstColumn="0" w:lastColumn="0" w:oddVBand="0" w:evenVBand="0" w:oddHBand="0" w:evenHBand="1" w:firstRowFirstColumn="0" w:firstRowLastColumn="0" w:lastRowFirstColumn="0" w:lastRowLastColumn="0"/>
              <w:rPr>
                <w:rFonts w:eastAsia="Calibri"/>
                <w:highlight w:val="yellow"/>
              </w:rPr>
            </w:pPr>
          </w:p>
        </w:tc>
      </w:tr>
      <w:tr w:rsidR="005A5E89" w:rsidRPr="00CD6D3F" w14:paraId="749011C8" w14:textId="77777777" w:rsidTr="005A5E89">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5F5A5038" w14:textId="77777777" w:rsidR="005A5E89" w:rsidRPr="009A17C0" w:rsidRDefault="005A5E89" w:rsidP="000F3343">
            <w:pPr>
              <w:pStyle w:val="Lijstalinea"/>
              <w:numPr>
                <w:ilvl w:val="0"/>
                <w:numId w:val="3"/>
              </w:numPr>
              <w:spacing w:after="0" w:line="250" w:lineRule="atLeast"/>
              <w:rPr>
                <w:rFonts w:cs="Arial"/>
              </w:rPr>
            </w:pPr>
          </w:p>
        </w:tc>
        <w:tc>
          <w:tcPr>
            <w:tcW w:w="2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46DCE" w14:textId="1100F4AD" w:rsidR="005A5E89" w:rsidRDefault="005A5E89" w:rsidP="000F3343">
            <w:pPr>
              <w:cnfStyle w:val="000000100000" w:firstRow="0" w:lastRow="0" w:firstColumn="0" w:lastColumn="0" w:oddVBand="0" w:evenVBand="0" w:oddHBand="1" w:evenHBand="0" w:firstRowFirstColumn="0" w:firstRowLastColumn="0" w:lastRowFirstColumn="0" w:lastRowLastColumn="0"/>
            </w:pPr>
            <w:r>
              <w:t>Prijzenblad</w:t>
            </w:r>
          </w:p>
        </w:tc>
        <w:tc>
          <w:tcPr>
            <w:tcW w:w="3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EEBBF" w14:textId="77777777" w:rsidR="005A5E89" w:rsidRDefault="005A5E89" w:rsidP="1CFA1CDE">
            <w:pPr>
              <w:pStyle w:val="Normaalweb"/>
              <w:cnfStyle w:val="000000100000" w:firstRow="0" w:lastRow="0" w:firstColumn="0" w:lastColumn="0" w:oddVBand="0" w:evenVBand="0" w:oddHBand="1" w:evenHBand="0" w:firstRowFirstColumn="0" w:firstRowLastColumn="0" w:lastRowFirstColumn="0" w:lastRowLastColumn="0"/>
              <w:rPr>
                <w:b/>
                <w:bCs/>
              </w:rPr>
            </w:pPr>
            <w:r w:rsidRPr="1CFA1CDE">
              <w:rPr>
                <w:rFonts w:ascii="Arial" w:eastAsiaTheme="minorEastAsia" w:hAnsi="Arial" w:cstheme="minorBidi"/>
                <w:b/>
                <w:bCs/>
                <w:sz w:val="20"/>
                <w:szCs w:val="20"/>
              </w:rPr>
              <w:t>Inzake Implementatie:</w:t>
            </w:r>
          </w:p>
          <w:p w14:paraId="2CA6FF57" w14:textId="77777777" w:rsidR="005A5E89" w:rsidRDefault="005A5E89" w:rsidP="00E231AF">
            <w:pPr>
              <w:pStyle w:val="Normaalweb"/>
              <w:cnfStyle w:val="000000100000" w:firstRow="0" w:lastRow="0" w:firstColumn="0" w:lastColumn="0" w:oddVBand="0" w:evenVBand="0" w:oddHBand="1" w:evenHBand="0" w:firstRowFirstColumn="0" w:firstRowLastColumn="0" w:lastRowFirstColumn="0" w:lastRowLastColumn="0"/>
            </w:pPr>
            <w:r w:rsidRPr="1CFA1CDE">
              <w:rPr>
                <w:rFonts w:ascii="Arial" w:eastAsiaTheme="minorEastAsia" w:hAnsi="Arial" w:cstheme="minorBidi"/>
                <w:sz w:val="20"/>
                <w:szCs w:val="20"/>
              </w:rPr>
              <w:t>Voor Inschrijver is het ondoenlijk om voor alle losse functionaliteiten een prijs op te geven. Kunt u bevestigen dat €0,00 ingevuld mag worden voor de losse functionaliteiten en dat er (slechts) een totale implementatieprijs wordt opgegeven door Inschrijver? (door dit in te vullen bij 'Algemeen')? Graag uw bevestiging.</w:t>
            </w:r>
          </w:p>
          <w:p w14:paraId="58B53C2B" w14:textId="77777777" w:rsidR="005A5E89" w:rsidRDefault="005A5E89" w:rsidP="00E231AF">
            <w:pPr>
              <w:pStyle w:val="Normaalweb"/>
              <w:cnfStyle w:val="000000100000" w:firstRow="0" w:lastRow="0" w:firstColumn="0" w:lastColumn="0" w:oddVBand="0" w:evenVBand="0" w:oddHBand="1" w:evenHBand="0" w:firstRowFirstColumn="0" w:firstRowLastColumn="0" w:lastRowFirstColumn="0" w:lastRowLastColumn="0"/>
            </w:pPr>
          </w:p>
        </w:tc>
        <w:tc>
          <w:tcPr>
            <w:tcW w:w="7479" w:type="dxa"/>
          </w:tcPr>
          <w:p w14:paraId="09A0B017" w14:textId="3EE25E56" w:rsidR="005A5E89" w:rsidRDefault="005A5E89" w:rsidP="7487D7B8">
            <w:pPr>
              <w:spacing w:after="0" w:line="250" w:lineRule="atLeast"/>
              <w:cnfStyle w:val="000000100000" w:firstRow="0" w:lastRow="0" w:firstColumn="0" w:lastColumn="0" w:oddVBand="0" w:evenVBand="0" w:oddHBand="1" w:evenHBand="0" w:firstRowFirstColumn="0" w:firstRowLastColumn="0" w:lastRowFirstColumn="0" w:lastRowLastColumn="0"/>
              <w:rPr>
                <w:rFonts w:eastAsia="Calibri"/>
                <w:highlight w:val="yellow"/>
              </w:rPr>
            </w:pPr>
            <w:r w:rsidRPr="008B1725">
              <w:rPr>
                <w:rFonts w:eastAsia="Calibri"/>
              </w:rPr>
              <w:t>Dat is akkoord</w:t>
            </w:r>
            <w:r>
              <w:rPr>
                <w:rFonts w:eastAsia="Calibri"/>
              </w:rPr>
              <w:t xml:space="preserve">. Zie ook </w:t>
            </w:r>
            <w:r w:rsidR="00923C9B">
              <w:rPr>
                <w:rFonts w:eastAsia="Calibri"/>
              </w:rPr>
              <w:t xml:space="preserve">de </w:t>
            </w:r>
            <w:r>
              <w:rPr>
                <w:rFonts w:eastAsia="Calibri"/>
              </w:rPr>
              <w:t xml:space="preserve">toelichting op </w:t>
            </w:r>
            <w:r w:rsidR="00923C9B">
              <w:rPr>
                <w:rFonts w:eastAsia="Calibri"/>
              </w:rPr>
              <w:t xml:space="preserve">het </w:t>
            </w:r>
            <w:r>
              <w:rPr>
                <w:rFonts w:eastAsia="Calibri"/>
              </w:rPr>
              <w:t>prijzenblad.</w:t>
            </w:r>
          </w:p>
        </w:tc>
      </w:tr>
      <w:tr w:rsidR="005A5E89" w:rsidRPr="00CD6D3F" w14:paraId="38D3DB2F" w14:textId="77777777" w:rsidTr="005A5E89">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17" w:type="dxa"/>
          </w:tcPr>
          <w:p w14:paraId="4E2052E9" w14:textId="77777777" w:rsidR="005A5E89" w:rsidRDefault="005A5E89" w:rsidP="000F3343">
            <w:pPr>
              <w:pStyle w:val="Lijstalinea"/>
              <w:numPr>
                <w:ilvl w:val="0"/>
                <w:numId w:val="3"/>
              </w:numPr>
              <w:spacing w:after="0" w:line="250" w:lineRule="atLeast"/>
              <w:rPr>
                <w:rFonts w:cs="Arial"/>
              </w:rPr>
            </w:pPr>
          </w:p>
        </w:tc>
        <w:tc>
          <w:tcPr>
            <w:tcW w:w="2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98CE9" w14:textId="2959BA65" w:rsidR="005A5E89" w:rsidRDefault="005A5E89" w:rsidP="000F3343">
            <w:pPr>
              <w:cnfStyle w:val="000000010000" w:firstRow="0" w:lastRow="0" w:firstColumn="0" w:lastColumn="0" w:oddVBand="0" w:evenVBand="0" w:oddHBand="0" w:evenHBand="1" w:firstRowFirstColumn="0" w:firstRowLastColumn="0" w:lastRowFirstColumn="0" w:lastRowLastColumn="0"/>
            </w:pPr>
            <w:r>
              <w:t>Prijzenblad</w:t>
            </w:r>
          </w:p>
        </w:tc>
        <w:tc>
          <w:tcPr>
            <w:tcW w:w="3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0ADAD" w14:textId="77777777" w:rsidR="005A5E89" w:rsidRDefault="005A5E89" w:rsidP="1CFA1CDE">
            <w:pPr>
              <w:pStyle w:val="Normaalweb"/>
              <w:cnfStyle w:val="000000010000" w:firstRow="0" w:lastRow="0" w:firstColumn="0" w:lastColumn="0" w:oddVBand="0" w:evenVBand="0" w:oddHBand="0" w:evenHBand="1" w:firstRowFirstColumn="0" w:firstRowLastColumn="0" w:lastRowFirstColumn="0" w:lastRowLastColumn="0"/>
              <w:rPr>
                <w:rFonts w:ascii="Arial" w:eastAsiaTheme="minorEastAsia" w:hAnsi="Arial" w:cstheme="minorBidi"/>
                <w:b/>
                <w:bCs/>
                <w:sz w:val="20"/>
                <w:szCs w:val="20"/>
              </w:rPr>
            </w:pPr>
            <w:r w:rsidRPr="1CFA1CDE">
              <w:rPr>
                <w:rFonts w:ascii="Arial" w:eastAsiaTheme="minorEastAsia" w:hAnsi="Arial" w:cstheme="minorBidi"/>
                <w:b/>
                <w:bCs/>
                <w:sz w:val="20"/>
                <w:szCs w:val="20"/>
              </w:rPr>
              <w:t>Inzake Jaarlijkse kosten software:</w:t>
            </w:r>
          </w:p>
          <w:p w14:paraId="42C36F48" w14:textId="77777777" w:rsidR="005A5E89" w:rsidRDefault="005A5E89" w:rsidP="1CFA1CDE">
            <w:pPr>
              <w:pStyle w:val="Normaalweb"/>
              <w:cnfStyle w:val="000000010000" w:firstRow="0" w:lastRow="0" w:firstColumn="0" w:lastColumn="0" w:oddVBand="0" w:evenVBand="0" w:oddHBand="0" w:evenHBand="1" w:firstRowFirstColumn="0" w:firstRowLastColumn="0" w:lastRowFirstColumn="0" w:lastRowLastColumn="0"/>
              <w:rPr>
                <w:rFonts w:ascii="Arial" w:eastAsiaTheme="minorEastAsia" w:hAnsi="Arial" w:cstheme="minorBidi"/>
                <w:sz w:val="20"/>
                <w:szCs w:val="20"/>
              </w:rPr>
            </w:pPr>
            <w:r w:rsidRPr="1CFA1CDE">
              <w:rPr>
                <w:rFonts w:ascii="Arial" w:eastAsiaTheme="minorEastAsia" w:hAnsi="Arial" w:cstheme="minorBidi"/>
                <w:sz w:val="20"/>
                <w:szCs w:val="20"/>
              </w:rPr>
              <w:t>Inschrijver hanteert bij soortgelijke uitvragen aan de VRK een softwarebundel prijs die de ondersteuning biedt op de gevraagde functionaliteit. De modulaire opbouw is net anders dan de opbouw in het Prijzenblad en het is ondoenlijk om hier een vertaalslag in te maken.</w:t>
            </w:r>
          </w:p>
          <w:p w14:paraId="5E910827" w14:textId="77777777" w:rsidR="005A5E89" w:rsidRDefault="005A5E89" w:rsidP="1CFA1CDE">
            <w:pPr>
              <w:pStyle w:val="Normaalweb"/>
              <w:cnfStyle w:val="000000010000" w:firstRow="0" w:lastRow="0" w:firstColumn="0" w:lastColumn="0" w:oddVBand="0" w:evenVBand="0" w:oddHBand="0" w:evenHBand="1" w:firstRowFirstColumn="0" w:firstRowLastColumn="0" w:lastRowFirstColumn="0" w:lastRowLastColumn="0"/>
              <w:rPr>
                <w:rFonts w:ascii="Arial" w:eastAsiaTheme="minorEastAsia" w:hAnsi="Arial" w:cstheme="minorBidi"/>
                <w:sz w:val="20"/>
                <w:szCs w:val="20"/>
              </w:rPr>
            </w:pPr>
            <w:r w:rsidRPr="1CFA1CDE">
              <w:rPr>
                <w:rFonts w:ascii="Arial" w:eastAsiaTheme="minorEastAsia" w:hAnsi="Arial" w:cstheme="minorBidi"/>
                <w:sz w:val="20"/>
                <w:szCs w:val="20"/>
              </w:rPr>
              <w:t>Is VRK akkoord als inschrijver 1 totaalprijs biedt op basis van gestelde functionaliteiten en opgegeven kengetallen.</w:t>
            </w:r>
          </w:p>
          <w:p w14:paraId="7CF2A8B1" w14:textId="77777777" w:rsidR="005A5E89" w:rsidRDefault="005A5E89" w:rsidP="00E231AF">
            <w:pPr>
              <w:pStyle w:val="Normaalweb"/>
              <w:cnfStyle w:val="000000010000" w:firstRow="0" w:lastRow="0" w:firstColumn="0" w:lastColumn="0" w:oddVBand="0" w:evenVBand="0" w:oddHBand="0" w:evenHBand="1" w:firstRowFirstColumn="0" w:firstRowLastColumn="0" w:lastRowFirstColumn="0" w:lastRowLastColumn="0"/>
              <w:rPr>
                <w:rFonts w:ascii="Arial" w:hAnsi="Arial" w:cs="Arial"/>
                <w:color w:val="191614"/>
              </w:rPr>
            </w:pPr>
            <w:r w:rsidRPr="1CFA1CDE">
              <w:rPr>
                <w:rFonts w:ascii="Arial" w:eastAsiaTheme="minorEastAsia" w:hAnsi="Arial" w:cstheme="minorBidi"/>
                <w:sz w:val="20"/>
                <w:szCs w:val="20"/>
              </w:rPr>
              <w:lastRenderedPageBreak/>
              <w:t>Zo ja, dan zal Inschrijver dit bedrag onder kopje Algemeen invullen.</w:t>
            </w:r>
            <w:r w:rsidRPr="1CFA1CDE">
              <w:rPr>
                <w:rFonts w:ascii="Arial" w:hAnsi="Arial" w:cs="Arial"/>
                <w:color w:val="191614"/>
              </w:rPr>
              <w:t> </w:t>
            </w:r>
          </w:p>
          <w:p w14:paraId="743F9F6F" w14:textId="77777777" w:rsidR="005A5E89" w:rsidRDefault="005A5E89" w:rsidP="000F3343">
            <w:pPr>
              <w:cnfStyle w:val="000000010000" w:firstRow="0" w:lastRow="0" w:firstColumn="0" w:lastColumn="0" w:oddVBand="0" w:evenVBand="0" w:oddHBand="0" w:evenHBand="1" w:firstRowFirstColumn="0" w:firstRowLastColumn="0" w:lastRowFirstColumn="0" w:lastRowLastColumn="0"/>
            </w:pPr>
          </w:p>
        </w:tc>
        <w:tc>
          <w:tcPr>
            <w:tcW w:w="7479" w:type="dxa"/>
          </w:tcPr>
          <w:p w14:paraId="35EF4FC4" w14:textId="158FE598" w:rsidR="005A5E89" w:rsidRDefault="005A5E89" w:rsidP="7487D7B8">
            <w:pPr>
              <w:spacing w:after="0" w:line="250" w:lineRule="atLeast"/>
              <w:cnfStyle w:val="000000010000" w:firstRow="0" w:lastRow="0" w:firstColumn="0" w:lastColumn="0" w:oddVBand="0" w:evenVBand="0" w:oddHBand="0" w:evenHBand="1" w:firstRowFirstColumn="0" w:firstRowLastColumn="0" w:lastRowFirstColumn="0" w:lastRowLastColumn="0"/>
              <w:rPr>
                <w:rFonts w:eastAsia="Calibri"/>
                <w:highlight w:val="yellow"/>
              </w:rPr>
            </w:pPr>
            <w:r w:rsidRPr="008B1725">
              <w:rPr>
                <w:rFonts w:eastAsia="Calibri"/>
              </w:rPr>
              <w:lastRenderedPageBreak/>
              <w:t>Dat is akkoord</w:t>
            </w:r>
            <w:r w:rsidR="00923C9B">
              <w:rPr>
                <w:rFonts w:eastAsia="Calibri"/>
              </w:rPr>
              <w:t xml:space="preserve">. </w:t>
            </w:r>
            <w:r w:rsidR="00923C9B">
              <w:rPr>
                <w:rFonts w:eastAsia="Calibri"/>
              </w:rPr>
              <w:t>Zie ook</w:t>
            </w:r>
            <w:r w:rsidR="00923C9B">
              <w:rPr>
                <w:rFonts w:eastAsia="Calibri"/>
              </w:rPr>
              <w:t xml:space="preserve"> de</w:t>
            </w:r>
            <w:r w:rsidR="00923C9B">
              <w:rPr>
                <w:rFonts w:eastAsia="Calibri"/>
              </w:rPr>
              <w:t xml:space="preserve"> toelichting op</w:t>
            </w:r>
            <w:r w:rsidR="00923C9B">
              <w:rPr>
                <w:rFonts w:eastAsia="Calibri"/>
              </w:rPr>
              <w:t xml:space="preserve"> het</w:t>
            </w:r>
            <w:r w:rsidR="00923C9B">
              <w:rPr>
                <w:rFonts w:eastAsia="Calibri"/>
              </w:rPr>
              <w:t xml:space="preserve"> prijzenblad.</w:t>
            </w:r>
          </w:p>
        </w:tc>
      </w:tr>
    </w:tbl>
    <w:p w14:paraId="4B4020C4" w14:textId="65FFCD8C" w:rsidR="007825ED" w:rsidRPr="00CD6D3F" w:rsidRDefault="007825ED" w:rsidP="36C2CC60">
      <w:pPr>
        <w:rPr>
          <w:rFonts w:eastAsia="Calibri"/>
          <w:szCs w:val="20"/>
        </w:rPr>
      </w:pPr>
    </w:p>
    <w:sectPr w:rsidR="007825ED" w:rsidRPr="00CD6D3F" w:rsidSect="0034671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257"/>
    <w:multiLevelType w:val="hybridMultilevel"/>
    <w:tmpl w:val="C660E35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7A742F0"/>
    <w:multiLevelType w:val="hybridMultilevel"/>
    <w:tmpl w:val="BCAC9DB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7EF0E6E"/>
    <w:multiLevelType w:val="hybridMultilevel"/>
    <w:tmpl w:val="1C8C680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11A632D6"/>
    <w:multiLevelType w:val="hybridMultilevel"/>
    <w:tmpl w:val="646A970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3072DA3"/>
    <w:multiLevelType w:val="hybridMultilevel"/>
    <w:tmpl w:val="182CA8B8"/>
    <w:lvl w:ilvl="0" w:tplc="0413000B">
      <w:start w:val="1"/>
      <w:numFmt w:val="bullet"/>
      <w:lvlText w:val=""/>
      <w:lvlJc w:val="left"/>
      <w:pPr>
        <w:ind w:left="1068" w:hanging="360"/>
      </w:pPr>
      <w:rPr>
        <w:rFonts w:ascii="Wingdings" w:hAnsi="Wingdings"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5" w15:restartNumberingAfterBreak="0">
    <w:nsid w:val="1490193B"/>
    <w:multiLevelType w:val="hybridMultilevel"/>
    <w:tmpl w:val="D1CABEFE"/>
    <w:lvl w:ilvl="0" w:tplc="73DEA8C4">
      <w:start w:val="1"/>
      <w:numFmt w:val="bullet"/>
      <w:lvlText w:val="-"/>
      <w:lvlJc w:val="left"/>
      <w:pPr>
        <w:ind w:left="720" w:hanging="360"/>
      </w:pPr>
      <w:rPr>
        <w:rFonts w:ascii="Calibri" w:eastAsiaTheme="minorHAnsi" w:hAnsi="Calibri" w:cs="Calibri"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4C50CA4"/>
    <w:multiLevelType w:val="hybridMultilevel"/>
    <w:tmpl w:val="228EF5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2D7E00"/>
    <w:multiLevelType w:val="multilevel"/>
    <w:tmpl w:val="54E8A82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21CC3BC0"/>
    <w:multiLevelType w:val="hybridMultilevel"/>
    <w:tmpl w:val="5F3283C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86D187D"/>
    <w:multiLevelType w:val="hybridMultilevel"/>
    <w:tmpl w:val="EDD6B6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78213D"/>
    <w:multiLevelType w:val="hybridMultilevel"/>
    <w:tmpl w:val="AACA9A7A"/>
    <w:lvl w:ilvl="0" w:tplc="CF848924">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1677C71"/>
    <w:multiLevelType w:val="hybridMultilevel"/>
    <w:tmpl w:val="8A20608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3192781E"/>
    <w:multiLevelType w:val="hybridMultilevel"/>
    <w:tmpl w:val="EC7C042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37917037"/>
    <w:multiLevelType w:val="multilevel"/>
    <w:tmpl w:val="8AB8565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3EA053AE"/>
    <w:multiLevelType w:val="hybridMultilevel"/>
    <w:tmpl w:val="167AAA0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3F2823B9"/>
    <w:multiLevelType w:val="hybridMultilevel"/>
    <w:tmpl w:val="234C9BF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425F70AF"/>
    <w:multiLevelType w:val="multilevel"/>
    <w:tmpl w:val="88689D3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52E84EAC"/>
    <w:multiLevelType w:val="multilevel"/>
    <w:tmpl w:val="CEA2D35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56D56778"/>
    <w:multiLevelType w:val="hybridMultilevel"/>
    <w:tmpl w:val="CC8C942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5BFE605C"/>
    <w:multiLevelType w:val="hybridMultilevel"/>
    <w:tmpl w:val="AB1E253E"/>
    <w:lvl w:ilvl="0" w:tplc="6A9446CE">
      <w:start w:val="1"/>
      <w:numFmt w:val="lowerLetter"/>
      <w:lvlText w:val="%1."/>
      <w:lvlJc w:val="left"/>
      <w:pPr>
        <w:ind w:left="720" w:hanging="360"/>
      </w:pPr>
      <w:rPr>
        <w:rFonts w:cstheme="minorHAnsi"/>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5F9A664F"/>
    <w:multiLevelType w:val="hybridMultilevel"/>
    <w:tmpl w:val="713C7C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6F355D"/>
    <w:multiLevelType w:val="multilevel"/>
    <w:tmpl w:val="C64835EA"/>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64DC0705"/>
    <w:multiLevelType w:val="hybridMultilevel"/>
    <w:tmpl w:val="E55A5B5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68FB4319"/>
    <w:multiLevelType w:val="hybridMultilevel"/>
    <w:tmpl w:val="70F4A50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6B2E1337"/>
    <w:multiLevelType w:val="hybridMultilevel"/>
    <w:tmpl w:val="CA8ABB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EC641A7"/>
    <w:multiLevelType w:val="hybridMultilevel"/>
    <w:tmpl w:val="D51292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F0A6845"/>
    <w:multiLevelType w:val="hybridMultilevel"/>
    <w:tmpl w:val="7EF0401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7FBB0CC5"/>
    <w:multiLevelType w:val="hybridMultilevel"/>
    <w:tmpl w:val="9A2E46D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21"/>
  </w:num>
  <w:num w:numId="2">
    <w:abstractNumId w:val="20"/>
  </w:num>
  <w:num w:numId="3">
    <w:abstractNumId w:val="25"/>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4"/>
  </w:num>
  <w:num w:numId="24">
    <w:abstractNumId w:val="16"/>
  </w:num>
  <w:num w:numId="25">
    <w:abstractNumId w:val="17"/>
  </w:num>
  <w:num w:numId="26">
    <w:abstractNumId w:val="7"/>
  </w:num>
  <w:num w:numId="27">
    <w:abstractNumId w:val="13"/>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716"/>
    <w:rsid w:val="00001599"/>
    <w:rsid w:val="0000253E"/>
    <w:rsid w:val="00004193"/>
    <w:rsid w:val="00011CFB"/>
    <w:rsid w:val="000120A6"/>
    <w:rsid w:val="000121DD"/>
    <w:rsid w:val="00012A37"/>
    <w:rsid w:val="000131F9"/>
    <w:rsid w:val="00026D6F"/>
    <w:rsid w:val="00030B93"/>
    <w:rsid w:val="000422AB"/>
    <w:rsid w:val="00047228"/>
    <w:rsid w:val="00051F9F"/>
    <w:rsid w:val="00060952"/>
    <w:rsid w:val="000624A7"/>
    <w:rsid w:val="0006267C"/>
    <w:rsid w:val="00062D5F"/>
    <w:rsid w:val="00062F59"/>
    <w:rsid w:val="00066464"/>
    <w:rsid w:val="000669F5"/>
    <w:rsid w:val="00072513"/>
    <w:rsid w:val="00074372"/>
    <w:rsid w:val="00080A06"/>
    <w:rsid w:val="00080C14"/>
    <w:rsid w:val="000831E9"/>
    <w:rsid w:val="000840A6"/>
    <w:rsid w:val="0009410B"/>
    <w:rsid w:val="00095EB6"/>
    <w:rsid w:val="000973B9"/>
    <w:rsid w:val="000A03AC"/>
    <w:rsid w:val="000B2847"/>
    <w:rsid w:val="000B6796"/>
    <w:rsid w:val="000C37AD"/>
    <w:rsid w:val="000C3D07"/>
    <w:rsid w:val="000C45C1"/>
    <w:rsid w:val="000C49C4"/>
    <w:rsid w:val="000C558E"/>
    <w:rsid w:val="000C77D8"/>
    <w:rsid w:val="000C7836"/>
    <w:rsid w:val="000D6697"/>
    <w:rsid w:val="000D6BB7"/>
    <w:rsid w:val="000D7EC7"/>
    <w:rsid w:val="000E053F"/>
    <w:rsid w:val="000E3D6E"/>
    <w:rsid w:val="000F1A74"/>
    <w:rsid w:val="000F24EC"/>
    <w:rsid w:val="000F282A"/>
    <w:rsid w:val="000F2C54"/>
    <w:rsid w:val="000F3343"/>
    <w:rsid w:val="000F4D18"/>
    <w:rsid w:val="000F612A"/>
    <w:rsid w:val="00105DBD"/>
    <w:rsid w:val="0011038F"/>
    <w:rsid w:val="00110B9D"/>
    <w:rsid w:val="001125F4"/>
    <w:rsid w:val="00112C93"/>
    <w:rsid w:val="001155B1"/>
    <w:rsid w:val="00115A71"/>
    <w:rsid w:val="00115FF4"/>
    <w:rsid w:val="00124FE0"/>
    <w:rsid w:val="001274F5"/>
    <w:rsid w:val="00130633"/>
    <w:rsid w:val="001308BC"/>
    <w:rsid w:val="001366E5"/>
    <w:rsid w:val="00137627"/>
    <w:rsid w:val="001400B7"/>
    <w:rsid w:val="00146D0C"/>
    <w:rsid w:val="00153C25"/>
    <w:rsid w:val="001567C2"/>
    <w:rsid w:val="001608DE"/>
    <w:rsid w:val="0016282E"/>
    <w:rsid w:val="00167277"/>
    <w:rsid w:val="00171A13"/>
    <w:rsid w:val="00173D9D"/>
    <w:rsid w:val="00174E15"/>
    <w:rsid w:val="00175627"/>
    <w:rsid w:val="00182332"/>
    <w:rsid w:val="00182554"/>
    <w:rsid w:val="00182EC3"/>
    <w:rsid w:val="00183C81"/>
    <w:rsid w:val="00184A37"/>
    <w:rsid w:val="00190C11"/>
    <w:rsid w:val="00192CD1"/>
    <w:rsid w:val="00193DA8"/>
    <w:rsid w:val="00197910"/>
    <w:rsid w:val="001A4F7B"/>
    <w:rsid w:val="001B77AF"/>
    <w:rsid w:val="001C2C28"/>
    <w:rsid w:val="001C6C08"/>
    <w:rsid w:val="001D153A"/>
    <w:rsid w:val="001E030A"/>
    <w:rsid w:val="001E0803"/>
    <w:rsid w:val="001E1FFE"/>
    <w:rsid w:val="001E2C38"/>
    <w:rsid w:val="001E5C5E"/>
    <w:rsid w:val="001E6FCC"/>
    <w:rsid w:val="001F2FBC"/>
    <w:rsid w:val="001F7046"/>
    <w:rsid w:val="001F7E06"/>
    <w:rsid w:val="002009EB"/>
    <w:rsid w:val="00202612"/>
    <w:rsid w:val="00207AD9"/>
    <w:rsid w:val="00216AC1"/>
    <w:rsid w:val="00221A19"/>
    <w:rsid w:val="00224936"/>
    <w:rsid w:val="002261C9"/>
    <w:rsid w:val="0022638E"/>
    <w:rsid w:val="0022771C"/>
    <w:rsid w:val="00234F1A"/>
    <w:rsid w:val="00241499"/>
    <w:rsid w:val="002424C9"/>
    <w:rsid w:val="002554DC"/>
    <w:rsid w:val="002600F8"/>
    <w:rsid w:val="00260C7A"/>
    <w:rsid w:val="002615B1"/>
    <w:rsid w:val="00262B82"/>
    <w:rsid w:val="002655FD"/>
    <w:rsid w:val="00272B28"/>
    <w:rsid w:val="00280D77"/>
    <w:rsid w:val="002841AB"/>
    <w:rsid w:val="002859EC"/>
    <w:rsid w:val="002913A3"/>
    <w:rsid w:val="0029508D"/>
    <w:rsid w:val="0029791A"/>
    <w:rsid w:val="002A6AE5"/>
    <w:rsid w:val="002B4E50"/>
    <w:rsid w:val="002B623A"/>
    <w:rsid w:val="002B70E8"/>
    <w:rsid w:val="002C0289"/>
    <w:rsid w:val="002C66EE"/>
    <w:rsid w:val="002D21D4"/>
    <w:rsid w:val="002D4C0D"/>
    <w:rsid w:val="002E1DDF"/>
    <w:rsid w:val="002E4388"/>
    <w:rsid w:val="002E5EA8"/>
    <w:rsid w:val="002E788D"/>
    <w:rsid w:val="003011DE"/>
    <w:rsid w:val="0030299C"/>
    <w:rsid w:val="00304CB8"/>
    <w:rsid w:val="00307580"/>
    <w:rsid w:val="00311511"/>
    <w:rsid w:val="00315B76"/>
    <w:rsid w:val="00317507"/>
    <w:rsid w:val="00322FED"/>
    <w:rsid w:val="00326918"/>
    <w:rsid w:val="00326BF6"/>
    <w:rsid w:val="003271E1"/>
    <w:rsid w:val="003329E9"/>
    <w:rsid w:val="003346BF"/>
    <w:rsid w:val="00334E65"/>
    <w:rsid w:val="00336B57"/>
    <w:rsid w:val="00341843"/>
    <w:rsid w:val="00346716"/>
    <w:rsid w:val="003514AB"/>
    <w:rsid w:val="00351BB5"/>
    <w:rsid w:val="003548ED"/>
    <w:rsid w:val="00356B7E"/>
    <w:rsid w:val="00356BE0"/>
    <w:rsid w:val="003608C8"/>
    <w:rsid w:val="003617A4"/>
    <w:rsid w:val="00364299"/>
    <w:rsid w:val="00364448"/>
    <w:rsid w:val="003746DB"/>
    <w:rsid w:val="00375119"/>
    <w:rsid w:val="0037760B"/>
    <w:rsid w:val="0038010D"/>
    <w:rsid w:val="00381075"/>
    <w:rsid w:val="00383D6E"/>
    <w:rsid w:val="003864FD"/>
    <w:rsid w:val="003927BC"/>
    <w:rsid w:val="00395615"/>
    <w:rsid w:val="0039697D"/>
    <w:rsid w:val="00396F28"/>
    <w:rsid w:val="003A0EE2"/>
    <w:rsid w:val="003A12E8"/>
    <w:rsid w:val="003A7377"/>
    <w:rsid w:val="003B0410"/>
    <w:rsid w:val="003B09B8"/>
    <w:rsid w:val="003B1BC6"/>
    <w:rsid w:val="003B4308"/>
    <w:rsid w:val="003B5F32"/>
    <w:rsid w:val="003C06F1"/>
    <w:rsid w:val="003C167A"/>
    <w:rsid w:val="003C2FB3"/>
    <w:rsid w:val="003C4924"/>
    <w:rsid w:val="003C7957"/>
    <w:rsid w:val="003D2202"/>
    <w:rsid w:val="003E16C1"/>
    <w:rsid w:val="003E249A"/>
    <w:rsid w:val="003E5A04"/>
    <w:rsid w:val="003E5D54"/>
    <w:rsid w:val="003F319B"/>
    <w:rsid w:val="003F32BB"/>
    <w:rsid w:val="003F3D61"/>
    <w:rsid w:val="003F602F"/>
    <w:rsid w:val="00401853"/>
    <w:rsid w:val="004079CE"/>
    <w:rsid w:val="00421259"/>
    <w:rsid w:val="004259C5"/>
    <w:rsid w:val="00427525"/>
    <w:rsid w:val="00427F04"/>
    <w:rsid w:val="00430601"/>
    <w:rsid w:val="004325B5"/>
    <w:rsid w:val="00435BF9"/>
    <w:rsid w:val="00435E22"/>
    <w:rsid w:val="004401F1"/>
    <w:rsid w:val="004403A2"/>
    <w:rsid w:val="00445A9F"/>
    <w:rsid w:val="00446CE3"/>
    <w:rsid w:val="00453D25"/>
    <w:rsid w:val="00453F77"/>
    <w:rsid w:val="00456296"/>
    <w:rsid w:val="00460624"/>
    <w:rsid w:val="0046328A"/>
    <w:rsid w:val="00464E7E"/>
    <w:rsid w:val="004663AE"/>
    <w:rsid w:val="00470E31"/>
    <w:rsid w:val="0047299E"/>
    <w:rsid w:val="00473542"/>
    <w:rsid w:val="00475C6E"/>
    <w:rsid w:val="00475F71"/>
    <w:rsid w:val="004805FF"/>
    <w:rsid w:val="00485EB5"/>
    <w:rsid w:val="00490D3C"/>
    <w:rsid w:val="00495D6B"/>
    <w:rsid w:val="00497B65"/>
    <w:rsid w:val="004A4277"/>
    <w:rsid w:val="004A502E"/>
    <w:rsid w:val="004A7469"/>
    <w:rsid w:val="004B4F9A"/>
    <w:rsid w:val="004B6729"/>
    <w:rsid w:val="004B76DA"/>
    <w:rsid w:val="004B7F6A"/>
    <w:rsid w:val="004C2010"/>
    <w:rsid w:val="004C4020"/>
    <w:rsid w:val="004C670D"/>
    <w:rsid w:val="004D65C5"/>
    <w:rsid w:val="004D7875"/>
    <w:rsid w:val="004E49EB"/>
    <w:rsid w:val="004E5160"/>
    <w:rsid w:val="004E5246"/>
    <w:rsid w:val="004E6B10"/>
    <w:rsid w:val="004E7150"/>
    <w:rsid w:val="004E73C2"/>
    <w:rsid w:val="004F5491"/>
    <w:rsid w:val="00500FF0"/>
    <w:rsid w:val="0051066E"/>
    <w:rsid w:val="00512132"/>
    <w:rsid w:val="00521918"/>
    <w:rsid w:val="005229D0"/>
    <w:rsid w:val="00532752"/>
    <w:rsid w:val="0053581C"/>
    <w:rsid w:val="005365A1"/>
    <w:rsid w:val="00551CAF"/>
    <w:rsid w:val="00553663"/>
    <w:rsid w:val="0055544F"/>
    <w:rsid w:val="005575CC"/>
    <w:rsid w:val="0056495E"/>
    <w:rsid w:val="00566FB0"/>
    <w:rsid w:val="0057091B"/>
    <w:rsid w:val="00571AA4"/>
    <w:rsid w:val="00577A4F"/>
    <w:rsid w:val="00577A70"/>
    <w:rsid w:val="00577BE0"/>
    <w:rsid w:val="00580798"/>
    <w:rsid w:val="0058188B"/>
    <w:rsid w:val="0058556E"/>
    <w:rsid w:val="0059470F"/>
    <w:rsid w:val="005A1647"/>
    <w:rsid w:val="005A5192"/>
    <w:rsid w:val="005A55F9"/>
    <w:rsid w:val="005A5E89"/>
    <w:rsid w:val="005A7B00"/>
    <w:rsid w:val="005B220B"/>
    <w:rsid w:val="005C187E"/>
    <w:rsid w:val="005C2429"/>
    <w:rsid w:val="005C5CAD"/>
    <w:rsid w:val="005C789C"/>
    <w:rsid w:val="005D0BE7"/>
    <w:rsid w:val="005E18F8"/>
    <w:rsid w:val="005E33A6"/>
    <w:rsid w:val="00600028"/>
    <w:rsid w:val="00601D1B"/>
    <w:rsid w:val="0060227E"/>
    <w:rsid w:val="00603FEA"/>
    <w:rsid w:val="00612853"/>
    <w:rsid w:val="006155FA"/>
    <w:rsid w:val="00615CF4"/>
    <w:rsid w:val="006163AC"/>
    <w:rsid w:val="00616F1E"/>
    <w:rsid w:val="00617AA7"/>
    <w:rsid w:val="00621662"/>
    <w:rsid w:val="00622319"/>
    <w:rsid w:val="006256BB"/>
    <w:rsid w:val="0063009D"/>
    <w:rsid w:val="0063113F"/>
    <w:rsid w:val="0063133B"/>
    <w:rsid w:val="00634013"/>
    <w:rsid w:val="0063658E"/>
    <w:rsid w:val="0064025B"/>
    <w:rsid w:val="00644B9B"/>
    <w:rsid w:val="00646ECC"/>
    <w:rsid w:val="00656743"/>
    <w:rsid w:val="00661E12"/>
    <w:rsid w:val="00662523"/>
    <w:rsid w:val="00664F6A"/>
    <w:rsid w:val="00667110"/>
    <w:rsid w:val="00667B03"/>
    <w:rsid w:val="006719B2"/>
    <w:rsid w:val="0067715B"/>
    <w:rsid w:val="00691DBC"/>
    <w:rsid w:val="00693BAB"/>
    <w:rsid w:val="00693C68"/>
    <w:rsid w:val="0069653F"/>
    <w:rsid w:val="006B178F"/>
    <w:rsid w:val="006B18BC"/>
    <w:rsid w:val="006B2529"/>
    <w:rsid w:val="006B2AE5"/>
    <w:rsid w:val="006B350D"/>
    <w:rsid w:val="006B453F"/>
    <w:rsid w:val="006B4D69"/>
    <w:rsid w:val="006B67D3"/>
    <w:rsid w:val="006C4580"/>
    <w:rsid w:val="006C5694"/>
    <w:rsid w:val="006D61FA"/>
    <w:rsid w:val="006D7F20"/>
    <w:rsid w:val="006E1C32"/>
    <w:rsid w:val="006E33E8"/>
    <w:rsid w:val="006E3A9B"/>
    <w:rsid w:val="006F09EB"/>
    <w:rsid w:val="006F2EBB"/>
    <w:rsid w:val="006F33C0"/>
    <w:rsid w:val="006F3679"/>
    <w:rsid w:val="0070558D"/>
    <w:rsid w:val="007057B4"/>
    <w:rsid w:val="00706381"/>
    <w:rsid w:val="00706A7C"/>
    <w:rsid w:val="00710818"/>
    <w:rsid w:val="0071395D"/>
    <w:rsid w:val="007139C8"/>
    <w:rsid w:val="00713AF9"/>
    <w:rsid w:val="0071626C"/>
    <w:rsid w:val="00717F9A"/>
    <w:rsid w:val="007219C4"/>
    <w:rsid w:val="007256D1"/>
    <w:rsid w:val="00725845"/>
    <w:rsid w:val="007261F7"/>
    <w:rsid w:val="00730E26"/>
    <w:rsid w:val="00731CE3"/>
    <w:rsid w:val="00733201"/>
    <w:rsid w:val="00735F64"/>
    <w:rsid w:val="00740497"/>
    <w:rsid w:val="0074192B"/>
    <w:rsid w:val="0074506C"/>
    <w:rsid w:val="00753492"/>
    <w:rsid w:val="0075687F"/>
    <w:rsid w:val="00771684"/>
    <w:rsid w:val="00771E76"/>
    <w:rsid w:val="00772C06"/>
    <w:rsid w:val="007751BB"/>
    <w:rsid w:val="00780078"/>
    <w:rsid w:val="007825ED"/>
    <w:rsid w:val="00782B3C"/>
    <w:rsid w:val="00784366"/>
    <w:rsid w:val="007851BC"/>
    <w:rsid w:val="00785C2A"/>
    <w:rsid w:val="00786014"/>
    <w:rsid w:val="0078613D"/>
    <w:rsid w:val="00786BF7"/>
    <w:rsid w:val="00787911"/>
    <w:rsid w:val="007903DE"/>
    <w:rsid w:val="00796D44"/>
    <w:rsid w:val="007A1079"/>
    <w:rsid w:val="007A1F78"/>
    <w:rsid w:val="007A3AA1"/>
    <w:rsid w:val="007A4550"/>
    <w:rsid w:val="007A566A"/>
    <w:rsid w:val="007A6795"/>
    <w:rsid w:val="007A6D4B"/>
    <w:rsid w:val="007B2759"/>
    <w:rsid w:val="007C0530"/>
    <w:rsid w:val="007C267F"/>
    <w:rsid w:val="007C2D46"/>
    <w:rsid w:val="007C577D"/>
    <w:rsid w:val="007E7B1B"/>
    <w:rsid w:val="007F4E41"/>
    <w:rsid w:val="007F6A18"/>
    <w:rsid w:val="00800B4B"/>
    <w:rsid w:val="00803C08"/>
    <w:rsid w:val="00805BEF"/>
    <w:rsid w:val="00810C2E"/>
    <w:rsid w:val="00821CF1"/>
    <w:rsid w:val="0082230F"/>
    <w:rsid w:val="008237D4"/>
    <w:rsid w:val="0083064F"/>
    <w:rsid w:val="008314C8"/>
    <w:rsid w:val="00833EB1"/>
    <w:rsid w:val="0083657C"/>
    <w:rsid w:val="00837A54"/>
    <w:rsid w:val="00844AD6"/>
    <w:rsid w:val="00845318"/>
    <w:rsid w:val="00846743"/>
    <w:rsid w:val="00851F80"/>
    <w:rsid w:val="00855EA9"/>
    <w:rsid w:val="008562C4"/>
    <w:rsid w:val="008611A0"/>
    <w:rsid w:val="00865A4C"/>
    <w:rsid w:val="0086697D"/>
    <w:rsid w:val="008724B5"/>
    <w:rsid w:val="008729CF"/>
    <w:rsid w:val="00874A36"/>
    <w:rsid w:val="008757E5"/>
    <w:rsid w:val="008761D0"/>
    <w:rsid w:val="008815EA"/>
    <w:rsid w:val="00886415"/>
    <w:rsid w:val="00886435"/>
    <w:rsid w:val="00887994"/>
    <w:rsid w:val="00891C0F"/>
    <w:rsid w:val="008944E0"/>
    <w:rsid w:val="00894D49"/>
    <w:rsid w:val="008966CA"/>
    <w:rsid w:val="008968AB"/>
    <w:rsid w:val="008A5F00"/>
    <w:rsid w:val="008A6117"/>
    <w:rsid w:val="008B1725"/>
    <w:rsid w:val="008B36EB"/>
    <w:rsid w:val="008B3B21"/>
    <w:rsid w:val="008B4F18"/>
    <w:rsid w:val="008B7E99"/>
    <w:rsid w:val="008C49E8"/>
    <w:rsid w:val="008C7568"/>
    <w:rsid w:val="008D058D"/>
    <w:rsid w:val="008D0D4D"/>
    <w:rsid w:val="008D2685"/>
    <w:rsid w:val="008D2E94"/>
    <w:rsid w:val="008D75E0"/>
    <w:rsid w:val="008E0B4E"/>
    <w:rsid w:val="008E418E"/>
    <w:rsid w:val="008E457D"/>
    <w:rsid w:val="008F3A61"/>
    <w:rsid w:val="008F3DDF"/>
    <w:rsid w:val="008F3F38"/>
    <w:rsid w:val="00910E49"/>
    <w:rsid w:val="00915840"/>
    <w:rsid w:val="00916A1E"/>
    <w:rsid w:val="009206DC"/>
    <w:rsid w:val="00923C9B"/>
    <w:rsid w:val="00925BA2"/>
    <w:rsid w:val="00926FC8"/>
    <w:rsid w:val="009310A7"/>
    <w:rsid w:val="0093111C"/>
    <w:rsid w:val="009328CA"/>
    <w:rsid w:val="009358EC"/>
    <w:rsid w:val="009375CF"/>
    <w:rsid w:val="00940902"/>
    <w:rsid w:val="009442D7"/>
    <w:rsid w:val="009522E7"/>
    <w:rsid w:val="0095315A"/>
    <w:rsid w:val="00953DCE"/>
    <w:rsid w:val="009574B7"/>
    <w:rsid w:val="0097271A"/>
    <w:rsid w:val="009727E3"/>
    <w:rsid w:val="00974643"/>
    <w:rsid w:val="0097524F"/>
    <w:rsid w:val="00977476"/>
    <w:rsid w:val="0098035C"/>
    <w:rsid w:val="00983842"/>
    <w:rsid w:val="00985BD8"/>
    <w:rsid w:val="00990513"/>
    <w:rsid w:val="00991067"/>
    <w:rsid w:val="00991D09"/>
    <w:rsid w:val="00993C9F"/>
    <w:rsid w:val="009943B9"/>
    <w:rsid w:val="009971D6"/>
    <w:rsid w:val="00997459"/>
    <w:rsid w:val="009A17C0"/>
    <w:rsid w:val="009A20C3"/>
    <w:rsid w:val="009A3B49"/>
    <w:rsid w:val="009A3D2D"/>
    <w:rsid w:val="009A5750"/>
    <w:rsid w:val="009A6195"/>
    <w:rsid w:val="009B1234"/>
    <w:rsid w:val="009B2FB0"/>
    <w:rsid w:val="009B4B5A"/>
    <w:rsid w:val="009C3EAC"/>
    <w:rsid w:val="009C72AF"/>
    <w:rsid w:val="009C7FD8"/>
    <w:rsid w:val="009D2799"/>
    <w:rsid w:val="009D2829"/>
    <w:rsid w:val="009D5A62"/>
    <w:rsid w:val="009E150D"/>
    <w:rsid w:val="009E1E93"/>
    <w:rsid w:val="009E2285"/>
    <w:rsid w:val="009E3D4C"/>
    <w:rsid w:val="009E75CC"/>
    <w:rsid w:val="009E7C97"/>
    <w:rsid w:val="009F26DC"/>
    <w:rsid w:val="009F48D6"/>
    <w:rsid w:val="009F6F70"/>
    <w:rsid w:val="00A04794"/>
    <w:rsid w:val="00A11F18"/>
    <w:rsid w:val="00A14380"/>
    <w:rsid w:val="00A21103"/>
    <w:rsid w:val="00A2525C"/>
    <w:rsid w:val="00A25EA2"/>
    <w:rsid w:val="00A27429"/>
    <w:rsid w:val="00A27E4C"/>
    <w:rsid w:val="00A27F05"/>
    <w:rsid w:val="00A3162A"/>
    <w:rsid w:val="00A374F1"/>
    <w:rsid w:val="00A40C66"/>
    <w:rsid w:val="00A413F6"/>
    <w:rsid w:val="00A473C9"/>
    <w:rsid w:val="00A47F16"/>
    <w:rsid w:val="00A50C77"/>
    <w:rsid w:val="00A5450F"/>
    <w:rsid w:val="00A54CEF"/>
    <w:rsid w:val="00A55FA9"/>
    <w:rsid w:val="00A5659B"/>
    <w:rsid w:val="00A56881"/>
    <w:rsid w:val="00A60E4C"/>
    <w:rsid w:val="00A6242B"/>
    <w:rsid w:val="00A62B36"/>
    <w:rsid w:val="00A662F9"/>
    <w:rsid w:val="00A66698"/>
    <w:rsid w:val="00A70994"/>
    <w:rsid w:val="00A71F6C"/>
    <w:rsid w:val="00A768D6"/>
    <w:rsid w:val="00A80FFE"/>
    <w:rsid w:val="00A8439F"/>
    <w:rsid w:val="00AA0A7E"/>
    <w:rsid w:val="00AB006F"/>
    <w:rsid w:val="00AB1388"/>
    <w:rsid w:val="00AB2D03"/>
    <w:rsid w:val="00AB5E4B"/>
    <w:rsid w:val="00AB6E4D"/>
    <w:rsid w:val="00AC0BC8"/>
    <w:rsid w:val="00AC0C88"/>
    <w:rsid w:val="00AC6310"/>
    <w:rsid w:val="00AD11AA"/>
    <w:rsid w:val="00AD3525"/>
    <w:rsid w:val="00AD35D0"/>
    <w:rsid w:val="00AD6DAD"/>
    <w:rsid w:val="00AE1A0D"/>
    <w:rsid w:val="00AE345E"/>
    <w:rsid w:val="00AE3BAD"/>
    <w:rsid w:val="00AE3EFA"/>
    <w:rsid w:val="00AE7B38"/>
    <w:rsid w:val="00AF2584"/>
    <w:rsid w:val="00AF60C2"/>
    <w:rsid w:val="00AF67F7"/>
    <w:rsid w:val="00B03303"/>
    <w:rsid w:val="00B10D1D"/>
    <w:rsid w:val="00B1337F"/>
    <w:rsid w:val="00B13516"/>
    <w:rsid w:val="00B15454"/>
    <w:rsid w:val="00B16480"/>
    <w:rsid w:val="00B17504"/>
    <w:rsid w:val="00B24954"/>
    <w:rsid w:val="00B2517C"/>
    <w:rsid w:val="00B25BCF"/>
    <w:rsid w:val="00B25F46"/>
    <w:rsid w:val="00B33675"/>
    <w:rsid w:val="00B33C0D"/>
    <w:rsid w:val="00B33D7E"/>
    <w:rsid w:val="00B40171"/>
    <w:rsid w:val="00B410EB"/>
    <w:rsid w:val="00B45178"/>
    <w:rsid w:val="00B45374"/>
    <w:rsid w:val="00B51D88"/>
    <w:rsid w:val="00B52CDA"/>
    <w:rsid w:val="00B53F2B"/>
    <w:rsid w:val="00B609FD"/>
    <w:rsid w:val="00B626E8"/>
    <w:rsid w:val="00B643F6"/>
    <w:rsid w:val="00B72060"/>
    <w:rsid w:val="00B75A91"/>
    <w:rsid w:val="00B819BA"/>
    <w:rsid w:val="00B85069"/>
    <w:rsid w:val="00B85E57"/>
    <w:rsid w:val="00B87A7E"/>
    <w:rsid w:val="00B9299C"/>
    <w:rsid w:val="00B96985"/>
    <w:rsid w:val="00BA17F5"/>
    <w:rsid w:val="00BA1F96"/>
    <w:rsid w:val="00BA77C1"/>
    <w:rsid w:val="00BB07B6"/>
    <w:rsid w:val="00BC44C9"/>
    <w:rsid w:val="00BC7C38"/>
    <w:rsid w:val="00BC7F8F"/>
    <w:rsid w:val="00BD26AA"/>
    <w:rsid w:val="00BD7F85"/>
    <w:rsid w:val="00BE06AA"/>
    <w:rsid w:val="00BE2D4D"/>
    <w:rsid w:val="00BE733A"/>
    <w:rsid w:val="00BE7918"/>
    <w:rsid w:val="00BF35F1"/>
    <w:rsid w:val="00BF5CB5"/>
    <w:rsid w:val="00C00B27"/>
    <w:rsid w:val="00C02A9E"/>
    <w:rsid w:val="00C049D6"/>
    <w:rsid w:val="00C122BA"/>
    <w:rsid w:val="00C21EC5"/>
    <w:rsid w:val="00C22EE0"/>
    <w:rsid w:val="00C23CAA"/>
    <w:rsid w:val="00C25925"/>
    <w:rsid w:val="00C267ED"/>
    <w:rsid w:val="00C32DB5"/>
    <w:rsid w:val="00C337B0"/>
    <w:rsid w:val="00C404BA"/>
    <w:rsid w:val="00C462F3"/>
    <w:rsid w:val="00C51258"/>
    <w:rsid w:val="00C5253F"/>
    <w:rsid w:val="00C56244"/>
    <w:rsid w:val="00C56616"/>
    <w:rsid w:val="00C577E9"/>
    <w:rsid w:val="00C6035E"/>
    <w:rsid w:val="00C65C6A"/>
    <w:rsid w:val="00C661FF"/>
    <w:rsid w:val="00C7493A"/>
    <w:rsid w:val="00C868F2"/>
    <w:rsid w:val="00C86C19"/>
    <w:rsid w:val="00C87B02"/>
    <w:rsid w:val="00C9178E"/>
    <w:rsid w:val="00C92A0E"/>
    <w:rsid w:val="00C96608"/>
    <w:rsid w:val="00C9717C"/>
    <w:rsid w:val="00CA11C0"/>
    <w:rsid w:val="00CA30E2"/>
    <w:rsid w:val="00CA4867"/>
    <w:rsid w:val="00CB36E2"/>
    <w:rsid w:val="00CB4957"/>
    <w:rsid w:val="00CC060B"/>
    <w:rsid w:val="00CC175B"/>
    <w:rsid w:val="00CD0EA3"/>
    <w:rsid w:val="00CD6D3F"/>
    <w:rsid w:val="00CD6F07"/>
    <w:rsid w:val="00CE0F0F"/>
    <w:rsid w:val="00CE343C"/>
    <w:rsid w:val="00CE3964"/>
    <w:rsid w:val="00CE3CF8"/>
    <w:rsid w:val="00CE58AD"/>
    <w:rsid w:val="00CE73ED"/>
    <w:rsid w:val="00CF1082"/>
    <w:rsid w:val="00CF456A"/>
    <w:rsid w:val="00CF513E"/>
    <w:rsid w:val="00CF592B"/>
    <w:rsid w:val="00D0117E"/>
    <w:rsid w:val="00D020D9"/>
    <w:rsid w:val="00D14186"/>
    <w:rsid w:val="00D14C67"/>
    <w:rsid w:val="00D228D5"/>
    <w:rsid w:val="00D235EC"/>
    <w:rsid w:val="00D3072F"/>
    <w:rsid w:val="00D40875"/>
    <w:rsid w:val="00D44845"/>
    <w:rsid w:val="00D45930"/>
    <w:rsid w:val="00D505C9"/>
    <w:rsid w:val="00D512AC"/>
    <w:rsid w:val="00D525EC"/>
    <w:rsid w:val="00D54574"/>
    <w:rsid w:val="00D61F85"/>
    <w:rsid w:val="00D72040"/>
    <w:rsid w:val="00D74D3D"/>
    <w:rsid w:val="00D75C4D"/>
    <w:rsid w:val="00D808C8"/>
    <w:rsid w:val="00D8226D"/>
    <w:rsid w:val="00D92E04"/>
    <w:rsid w:val="00D971FB"/>
    <w:rsid w:val="00DA2AB1"/>
    <w:rsid w:val="00DA3A7F"/>
    <w:rsid w:val="00DA6913"/>
    <w:rsid w:val="00DB30B5"/>
    <w:rsid w:val="00DB5844"/>
    <w:rsid w:val="00DB6FE1"/>
    <w:rsid w:val="00DC4988"/>
    <w:rsid w:val="00DC694D"/>
    <w:rsid w:val="00DD787B"/>
    <w:rsid w:val="00DE0EBF"/>
    <w:rsid w:val="00DE0EE9"/>
    <w:rsid w:val="00DE3476"/>
    <w:rsid w:val="00DE425B"/>
    <w:rsid w:val="00DE559F"/>
    <w:rsid w:val="00DE6CC8"/>
    <w:rsid w:val="00DF0177"/>
    <w:rsid w:val="00DF2EF6"/>
    <w:rsid w:val="00DF590D"/>
    <w:rsid w:val="00DF7331"/>
    <w:rsid w:val="00E02092"/>
    <w:rsid w:val="00E021DB"/>
    <w:rsid w:val="00E16D07"/>
    <w:rsid w:val="00E231AF"/>
    <w:rsid w:val="00E23233"/>
    <w:rsid w:val="00E34514"/>
    <w:rsid w:val="00E3645D"/>
    <w:rsid w:val="00E37EA0"/>
    <w:rsid w:val="00E40FBA"/>
    <w:rsid w:val="00E41698"/>
    <w:rsid w:val="00E42D39"/>
    <w:rsid w:val="00E4639F"/>
    <w:rsid w:val="00E50CC2"/>
    <w:rsid w:val="00E5300F"/>
    <w:rsid w:val="00E60EEB"/>
    <w:rsid w:val="00E62DBD"/>
    <w:rsid w:val="00E62F80"/>
    <w:rsid w:val="00E761AD"/>
    <w:rsid w:val="00E7787A"/>
    <w:rsid w:val="00E778FD"/>
    <w:rsid w:val="00E8172A"/>
    <w:rsid w:val="00E81AE0"/>
    <w:rsid w:val="00E8462C"/>
    <w:rsid w:val="00E85826"/>
    <w:rsid w:val="00E85D61"/>
    <w:rsid w:val="00E8700D"/>
    <w:rsid w:val="00E909B7"/>
    <w:rsid w:val="00E90EE4"/>
    <w:rsid w:val="00E91AB2"/>
    <w:rsid w:val="00E955D4"/>
    <w:rsid w:val="00E971C0"/>
    <w:rsid w:val="00EA7801"/>
    <w:rsid w:val="00EA7FDB"/>
    <w:rsid w:val="00EB0807"/>
    <w:rsid w:val="00EB1EA9"/>
    <w:rsid w:val="00EB243D"/>
    <w:rsid w:val="00EB28B2"/>
    <w:rsid w:val="00EB60FC"/>
    <w:rsid w:val="00EB6FDD"/>
    <w:rsid w:val="00EB74E2"/>
    <w:rsid w:val="00EC4C8E"/>
    <w:rsid w:val="00EC56AD"/>
    <w:rsid w:val="00EC7613"/>
    <w:rsid w:val="00ED0DDF"/>
    <w:rsid w:val="00ED2639"/>
    <w:rsid w:val="00ED31D7"/>
    <w:rsid w:val="00ED39F7"/>
    <w:rsid w:val="00ED7CC3"/>
    <w:rsid w:val="00EE1C30"/>
    <w:rsid w:val="00EF2EBC"/>
    <w:rsid w:val="00EF4229"/>
    <w:rsid w:val="00EF5978"/>
    <w:rsid w:val="00F00905"/>
    <w:rsid w:val="00F06231"/>
    <w:rsid w:val="00F21282"/>
    <w:rsid w:val="00F2420B"/>
    <w:rsid w:val="00F2743A"/>
    <w:rsid w:val="00F2786D"/>
    <w:rsid w:val="00F3056C"/>
    <w:rsid w:val="00F31DEC"/>
    <w:rsid w:val="00F33E5C"/>
    <w:rsid w:val="00F42811"/>
    <w:rsid w:val="00F44838"/>
    <w:rsid w:val="00F44A26"/>
    <w:rsid w:val="00F62411"/>
    <w:rsid w:val="00F65111"/>
    <w:rsid w:val="00F66038"/>
    <w:rsid w:val="00F676DB"/>
    <w:rsid w:val="00F7108F"/>
    <w:rsid w:val="00F72E8D"/>
    <w:rsid w:val="00F82EC6"/>
    <w:rsid w:val="00F870B8"/>
    <w:rsid w:val="00F878FB"/>
    <w:rsid w:val="00F90A14"/>
    <w:rsid w:val="00F919CA"/>
    <w:rsid w:val="00F96110"/>
    <w:rsid w:val="00FA1781"/>
    <w:rsid w:val="00FA3FE6"/>
    <w:rsid w:val="00FA56B1"/>
    <w:rsid w:val="00FA6D83"/>
    <w:rsid w:val="00FB2E59"/>
    <w:rsid w:val="00FC4C4A"/>
    <w:rsid w:val="00FC6E4A"/>
    <w:rsid w:val="00FC7B8C"/>
    <w:rsid w:val="00FD1E7A"/>
    <w:rsid w:val="00FD37BE"/>
    <w:rsid w:val="00FD54FD"/>
    <w:rsid w:val="00FE1F16"/>
    <w:rsid w:val="00FF031C"/>
    <w:rsid w:val="00FF1E8D"/>
    <w:rsid w:val="00FF249D"/>
    <w:rsid w:val="00FF38CB"/>
    <w:rsid w:val="00FF44A4"/>
    <w:rsid w:val="00FF4930"/>
    <w:rsid w:val="00FF50F0"/>
    <w:rsid w:val="0235A67A"/>
    <w:rsid w:val="028AB946"/>
    <w:rsid w:val="02CCC9EE"/>
    <w:rsid w:val="02D448CC"/>
    <w:rsid w:val="037D1F77"/>
    <w:rsid w:val="03BD4B0F"/>
    <w:rsid w:val="042752F5"/>
    <w:rsid w:val="042D847E"/>
    <w:rsid w:val="05FB0D53"/>
    <w:rsid w:val="07232BA0"/>
    <w:rsid w:val="075BFA71"/>
    <w:rsid w:val="08EEBFCB"/>
    <w:rsid w:val="091BF2A9"/>
    <w:rsid w:val="09AABF0C"/>
    <w:rsid w:val="0B1B62EB"/>
    <w:rsid w:val="0B3977E3"/>
    <w:rsid w:val="0B3AB935"/>
    <w:rsid w:val="0B559F35"/>
    <w:rsid w:val="0CD68996"/>
    <w:rsid w:val="0D47766E"/>
    <w:rsid w:val="0E7259F7"/>
    <w:rsid w:val="10B0E589"/>
    <w:rsid w:val="1115E1E4"/>
    <w:rsid w:val="118AA46F"/>
    <w:rsid w:val="1231BD88"/>
    <w:rsid w:val="132CA2BD"/>
    <w:rsid w:val="1401AEA8"/>
    <w:rsid w:val="14F5007F"/>
    <w:rsid w:val="169141FC"/>
    <w:rsid w:val="1712FD21"/>
    <w:rsid w:val="17C7B5CF"/>
    <w:rsid w:val="18BBF76E"/>
    <w:rsid w:val="19AECEBB"/>
    <w:rsid w:val="1A15C10F"/>
    <w:rsid w:val="1A4A9DE3"/>
    <w:rsid w:val="1A5FB555"/>
    <w:rsid w:val="1A6B94FD"/>
    <w:rsid w:val="1B4A9F1C"/>
    <w:rsid w:val="1C2B7795"/>
    <w:rsid w:val="1CFA1CDE"/>
    <w:rsid w:val="1D5F6543"/>
    <w:rsid w:val="1D8F6891"/>
    <w:rsid w:val="1E02BC09"/>
    <w:rsid w:val="1E691781"/>
    <w:rsid w:val="1F10A9F3"/>
    <w:rsid w:val="206BDA36"/>
    <w:rsid w:val="209351F7"/>
    <w:rsid w:val="20AC7A54"/>
    <w:rsid w:val="210ABEF0"/>
    <w:rsid w:val="21A0B843"/>
    <w:rsid w:val="23ED6F3E"/>
    <w:rsid w:val="23FE2B69"/>
    <w:rsid w:val="2406979B"/>
    <w:rsid w:val="25ED3FDB"/>
    <w:rsid w:val="26519FEE"/>
    <w:rsid w:val="27C57B5B"/>
    <w:rsid w:val="28B6899F"/>
    <w:rsid w:val="293F0519"/>
    <w:rsid w:val="29E686A2"/>
    <w:rsid w:val="2AA59CE9"/>
    <w:rsid w:val="2AD2CFC7"/>
    <w:rsid w:val="2ADAD57A"/>
    <w:rsid w:val="2B41311C"/>
    <w:rsid w:val="2C76A5DB"/>
    <w:rsid w:val="2CA7B915"/>
    <w:rsid w:val="2CF82218"/>
    <w:rsid w:val="2D945184"/>
    <w:rsid w:val="2EC31340"/>
    <w:rsid w:val="2FDF59D7"/>
    <w:rsid w:val="319D38B4"/>
    <w:rsid w:val="32785E3C"/>
    <w:rsid w:val="33968463"/>
    <w:rsid w:val="33AF79EF"/>
    <w:rsid w:val="34142E9D"/>
    <w:rsid w:val="363009B9"/>
    <w:rsid w:val="3660A07B"/>
    <w:rsid w:val="3674A82B"/>
    <w:rsid w:val="36C2CC60"/>
    <w:rsid w:val="37AC88CC"/>
    <w:rsid w:val="37FC70DC"/>
    <w:rsid w:val="382EF6BD"/>
    <w:rsid w:val="3882EB12"/>
    <w:rsid w:val="38E79FC0"/>
    <w:rsid w:val="3907B889"/>
    <w:rsid w:val="3998413D"/>
    <w:rsid w:val="39BD7CC3"/>
    <w:rsid w:val="39C8D4FF"/>
    <w:rsid w:val="3A17A56F"/>
    <w:rsid w:val="3B037ADC"/>
    <w:rsid w:val="3BB16F5E"/>
    <w:rsid w:val="3C3858E9"/>
    <w:rsid w:val="3D243E4C"/>
    <w:rsid w:val="3D5A208A"/>
    <w:rsid w:val="3E290945"/>
    <w:rsid w:val="3F668E8F"/>
    <w:rsid w:val="3F7E2514"/>
    <w:rsid w:val="3FC4D9A6"/>
    <w:rsid w:val="409F04FD"/>
    <w:rsid w:val="4137AAAF"/>
    <w:rsid w:val="435254C0"/>
    <w:rsid w:val="439B5D60"/>
    <w:rsid w:val="44BC2A1B"/>
    <w:rsid w:val="450D79C5"/>
    <w:rsid w:val="452F5031"/>
    <w:rsid w:val="45CE104E"/>
    <w:rsid w:val="461312C8"/>
    <w:rsid w:val="466CA2AA"/>
    <w:rsid w:val="47082BE9"/>
    <w:rsid w:val="479D0D19"/>
    <w:rsid w:val="4808730B"/>
    <w:rsid w:val="48ECA949"/>
    <w:rsid w:val="48FD3898"/>
    <w:rsid w:val="495AB3E6"/>
    <w:rsid w:val="49E0EAE8"/>
    <w:rsid w:val="4C244A0B"/>
    <w:rsid w:val="4DD0A9BB"/>
    <w:rsid w:val="4F3CEF6F"/>
    <w:rsid w:val="4F8EF6A1"/>
    <w:rsid w:val="4FF2F6DD"/>
    <w:rsid w:val="506B8A70"/>
    <w:rsid w:val="5165C5CB"/>
    <w:rsid w:val="52075AD1"/>
    <w:rsid w:val="52BCE11F"/>
    <w:rsid w:val="55163C6F"/>
    <w:rsid w:val="5544AAAD"/>
    <w:rsid w:val="5567658E"/>
    <w:rsid w:val="558881BD"/>
    <w:rsid w:val="5627FC17"/>
    <w:rsid w:val="56DE24F8"/>
    <w:rsid w:val="59F4CEE3"/>
    <w:rsid w:val="5B7B646B"/>
    <w:rsid w:val="5B992C8D"/>
    <w:rsid w:val="5BB1961B"/>
    <w:rsid w:val="5C336BE4"/>
    <w:rsid w:val="5C75672F"/>
    <w:rsid w:val="5D567494"/>
    <w:rsid w:val="5E950597"/>
    <w:rsid w:val="5E95C5DF"/>
    <w:rsid w:val="5ED25FAD"/>
    <w:rsid w:val="60319640"/>
    <w:rsid w:val="604CA92D"/>
    <w:rsid w:val="62CF9141"/>
    <w:rsid w:val="62FE9199"/>
    <w:rsid w:val="638449EF"/>
    <w:rsid w:val="63C811C4"/>
    <w:rsid w:val="6416F549"/>
    <w:rsid w:val="65050763"/>
    <w:rsid w:val="65091E54"/>
    <w:rsid w:val="65392217"/>
    <w:rsid w:val="65405465"/>
    <w:rsid w:val="6658118C"/>
    <w:rsid w:val="6742EADA"/>
    <w:rsid w:val="68026D9A"/>
    <w:rsid w:val="683CA825"/>
    <w:rsid w:val="68BE60A6"/>
    <w:rsid w:val="68C5C5AF"/>
    <w:rsid w:val="68DEBB3B"/>
    <w:rsid w:val="69316DB2"/>
    <w:rsid w:val="6A40E0E6"/>
    <w:rsid w:val="6C4FE617"/>
    <w:rsid w:val="6CA27BD2"/>
    <w:rsid w:val="6E0E32FD"/>
    <w:rsid w:val="6E4931C6"/>
    <w:rsid w:val="6E723339"/>
    <w:rsid w:val="6EEAC6CC"/>
    <w:rsid w:val="6F350733"/>
    <w:rsid w:val="6F8786D9"/>
    <w:rsid w:val="701D2E06"/>
    <w:rsid w:val="706ABA7D"/>
    <w:rsid w:val="70B28F9E"/>
    <w:rsid w:val="70E2B71C"/>
    <w:rsid w:val="726A52DA"/>
    <w:rsid w:val="7487D7B8"/>
    <w:rsid w:val="748C6F89"/>
    <w:rsid w:val="752CAC73"/>
    <w:rsid w:val="7935B2A7"/>
    <w:rsid w:val="79F87466"/>
    <w:rsid w:val="7A3CBB11"/>
    <w:rsid w:val="7B7D5C55"/>
    <w:rsid w:val="7BBBA1D3"/>
    <w:rsid w:val="7C650747"/>
    <w:rsid w:val="7C888666"/>
    <w:rsid w:val="7CCB62BF"/>
    <w:rsid w:val="7D6EFEF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7CA35"/>
  <w15:chartTrackingRefBased/>
  <w15:docId w15:val="{A3326E9E-AA5C-47C5-BF33-F4B98483B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6729"/>
    <w:pPr>
      <w:spacing w:after="200" w:line="276" w:lineRule="auto"/>
    </w:pPr>
    <w:rPr>
      <w:rFonts w:ascii="Arial" w:hAnsi="Arial"/>
      <w:sz w:val="20"/>
    </w:rPr>
  </w:style>
  <w:style w:type="paragraph" w:styleId="Kop1">
    <w:name w:val="heading 1"/>
    <w:next w:val="Standaard"/>
    <w:link w:val="Kop1Char"/>
    <w:unhideWhenUsed/>
    <w:qFormat/>
    <w:rsid w:val="008F3F38"/>
    <w:pPr>
      <w:keepNext/>
      <w:keepLines/>
      <w:numPr>
        <w:numId w:val="1"/>
      </w:numPr>
      <w:spacing w:after="0"/>
      <w:outlineLvl w:val="0"/>
    </w:pPr>
    <w:rPr>
      <w:rFonts w:ascii="Arial" w:eastAsia="Arial" w:hAnsi="Arial" w:cs="Arial"/>
      <w:b/>
      <w:color w:val="0188CC"/>
      <w:sz w:val="28"/>
      <w:lang w:eastAsia="nl-NL"/>
    </w:rPr>
  </w:style>
  <w:style w:type="paragraph" w:styleId="Kop2">
    <w:name w:val="heading 2"/>
    <w:basedOn w:val="Standaard"/>
    <w:next w:val="Standaard"/>
    <w:link w:val="Kop2Char"/>
    <w:uiPriority w:val="9"/>
    <w:unhideWhenUsed/>
    <w:qFormat/>
    <w:rsid w:val="00346716"/>
    <w:pPr>
      <w:keepNext/>
      <w:keepLines/>
      <w:spacing w:before="200" w:after="0"/>
      <w:outlineLvl w:val="1"/>
    </w:pPr>
    <w:rPr>
      <w:rFonts w:ascii="Calibri" w:eastAsiaTheme="majorEastAsia" w:hAnsi="Calibri" w:cstheme="majorBidi"/>
      <w:b/>
      <w:bCs/>
      <w:i/>
      <w:color w:val="FF330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346716"/>
    <w:rPr>
      <w:rFonts w:ascii="Calibri" w:eastAsiaTheme="majorEastAsia" w:hAnsi="Calibri" w:cstheme="majorBidi"/>
      <w:b/>
      <w:bCs/>
      <w:i/>
      <w:color w:val="FF3300"/>
      <w:sz w:val="20"/>
      <w:szCs w:val="26"/>
    </w:rPr>
  </w:style>
  <w:style w:type="table" w:customStyle="1" w:styleId="Lichtelijst-accent11">
    <w:name w:val="Lichte lijst - accent 11"/>
    <w:basedOn w:val="Standaardtabel"/>
    <w:uiPriority w:val="61"/>
    <w:rsid w:val="00346716"/>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Geenafstand">
    <w:name w:val="No Spacing"/>
    <w:uiPriority w:val="1"/>
    <w:qFormat/>
    <w:rsid w:val="00346716"/>
    <w:pPr>
      <w:spacing w:after="0" w:line="240" w:lineRule="auto"/>
    </w:pPr>
  </w:style>
  <w:style w:type="character" w:customStyle="1" w:styleId="Kop1Char">
    <w:name w:val="Kop 1 Char"/>
    <w:basedOn w:val="Standaardalinea-lettertype"/>
    <w:link w:val="Kop1"/>
    <w:rsid w:val="008F3F38"/>
    <w:rPr>
      <w:rFonts w:ascii="Arial" w:eastAsia="Arial" w:hAnsi="Arial" w:cs="Arial"/>
      <w:b/>
      <w:color w:val="0188CC"/>
      <w:sz w:val="28"/>
      <w:lang w:eastAsia="nl-NL"/>
    </w:rPr>
  </w:style>
  <w:style w:type="table" w:styleId="Rastertabel4-Accent2">
    <w:name w:val="Grid Table 4 Accent 2"/>
    <w:basedOn w:val="Standaardtabel"/>
    <w:uiPriority w:val="49"/>
    <w:rsid w:val="00CE0F0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KopBijlage">
    <w:name w:val="Kop Bijlage"/>
    <w:basedOn w:val="Standaard"/>
    <w:next w:val="Standaard"/>
    <w:qFormat/>
    <w:rsid w:val="002859EC"/>
    <w:pPr>
      <w:keepNext/>
      <w:pageBreakBefore/>
      <w:spacing w:after="0" w:line="600" w:lineRule="atLeast"/>
      <w:outlineLvl w:val="0"/>
    </w:pPr>
    <w:rPr>
      <w:rFonts w:eastAsia="MS Mincho" w:cs="Arial"/>
      <w:bCs/>
      <w:color w:val="00314E"/>
      <w:sz w:val="60"/>
      <w:szCs w:val="32"/>
      <w:lang w:eastAsia="nl-NL"/>
    </w:rPr>
  </w:style>
  <w:style w:type="character" w:styleId="Verwijzingopmerking">
    <w:name w:val="annotation reference"/>
    <w:basedOn w:val="Standaardalinea-lettertype"/>
    <w:uiPriority w:val="99"/>
    <w:unhideWhenUsed/>
    <w:rsid w:val="002859EC"/>
    <w:rPr>
      <w:sz w:val="16"/>
      <w:szCs w:val="16"/>
    </w:rPr>
  </w:style>
  <w:style w:type="paragraph" w:styleId="Tekstopmerking">
    <w:name w:val="annotation text"/>
    <w:basedOn w:val="Standaard"/>
    <w:link w:val="TekstopmerkingChar"/>
    <w:uiPriority w:val="99"/>
    <w:unhideWhenUsed/>
    <w:rsid w:val="002859EC"/>
    <w:pPr>
      <w:spacing w:after="0" w:line="240" w:lineRule="auto"/>
    </w:pPr>
    <w:rPr>
      <w:rFonts w:eastAsia="Times New Roman" w:cs="Times New Roman"/>
      <w:szCs w:val="20"/>
      <w:lang w:eastAsia="nl-NL"/>
    </w:rPr>
  </w:style>
  <w:style w:type="character" w:customStyle="1" w:styleId="TekstopmerkingChar">
    <w:name w:val="Tekst opmerking Char"/>
    <w:basedOn w:val="Standaardalinea-lettertype"/>
    <w:link w:val="Tekstopmerking"/>
    <w:uiPriority w:val="99"/>
    <w:rsid w:val="002859EC"/>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2859E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59EC"/>
    <w:rPr>
      <w:rFonts w:ascii="Segoe UI" w:hAnsi="Segoe UI" w:cs="Segoe UI"/>
      <w:sz w:val="18"/>
      <w:szCs w:val="18"/>
    </w:rPr>
  </w:style>
  <w:style w:type="table" w:customStyle="1" w:styleId="Tabelraster1">
    <w:name w:val="Tabelraster1"/>
    <w:basedOn w:val="Standaardtabel"/>
    <w:next w:val="Tabelraster"/>
    <w:rsid w:val="002859EC"/>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before="0" w:after="0" w:line="240" w:lineRule="auto"/>
      </w:pPr>
      <w:rPr>
        <w:rFonts w:ascii="Arial" w:hAnsi="Arial"/>
        <w:b/>
        <w:bCs/>
        <w:color w:val="FFFFFF" w:themeColor="background1"/>
        <w:sz w:val="18"/>
      </w:rPr>
      <w:tblPr/>
      <w:tcPr>
        <w:shd w:val="clear" w:color="auto" w:fill="00314E"/>
      </w:tcPr>
    </w:tblStylePr>
    <w:tblStylePr w:type="lastRow">
      <w:pPr>
        <w:spacing w:before="0" w:after="0" w:line="240" w:lineRule="auto"/>
      </w:pPr>
      <w:rPr>
        <w:b/>
        <w:bCs/>
      </w:rPr>
    </w:tblStylePr>
    <w:tblStylePr w:type="firstCol">
      <w:rPr>
        <w:b/>
        <w:bCs/>
      </w:rPr>
    </w:tblStylePr>
    <w:tblStylePr w:type="lastCol">
      <w:rPr>
        <w:b/>
        <w:bCs/>
      </w:r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285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Lijstalinea niv 1,Configuration Code,List Paragraph1,Kop 2 Blauw RIJK,Reference List,K2 Paragraaf,Opsomming,Code"/>
    <w:basedOn w:val="Standaard"/>
    <w:link w:val="LijstalineaChar"/>
    <w:uiPriority w:val="34"/>
    <w:qFormat/>
    <w:rsid w:val="0063113F"/>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1125F4"/>
    <w:pPr>
      <w:spacing w:after="200"/>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1125F4"/>
    <w:rPr>
      <w:rFonts w:ascii="Arial" w:eastAsia="Times New Roman" w:hAnsi="Arial" w:cs="Times New Roman"/>
      <w:b/>
      <w:bCs/>
      <w:sz w:val="20"/>
      <w:szCs w:val="20"/>
      <w:lang w:eastAsia="nl-NL"/>
    </w:rPr>
  </w:style>
  <w:style w:type="character" w:customStyle="1" w:styleId="LijstalineaChar">
    <w:name w:val="Lijstalinea Char"/>
    <w:aliases w:val="Lijstalinea niv 1 Char,Configuration Code Char,List Paragraph1 Char,Kop 2 Blauw RIJK Char,Reference List Char,K2 Paragraaf Char,Opsomming Char,Code Char"/>
    <w:basedOn w:val="Standaardalinea-lettertype"/>
    <w:link w:val="Lijstalinea"/>
    <w:uiPriority w:val="34"/>
    <w:locked/>
    <w:rsid w:val="0060227E"/>
    <w:rPr>
      <w:rFonts w:ascii="Arial" w:hAnsi="Arial"/>
      <w:sz w:val="20"/>
    </w:rPr>
  </w:style>
  <w:style w:type="character" w:styleId="Hyperlink">
    <w:name w:val="Hyperlink"/>
    <w:basedOn w:val="Standaardalinea-lettertype"/>
    <w:uiPriority w:val="99"/>
    <w:unhideWhenUsed/>
    <w:rPr>
      <w:color w:val="0563C1" w:themeColor="hyperlink"/>
      <w:u w:val="single"/>
    </w:rPr>
  </w:style>
  <w:style w:type="paragraph" w:styleId="Normaalweb">
    <w:name w:val="Normal (Web)"/>
    <w:basedOn w:val="Standaard"/>
    <w:uiPriority w:val="99"/>
    <w:semiHidden/>
    <w:unhideWhenUsed/>
    <w:rsid w:val="00AB1388"/>
    <w:pPr>
      <w:spacing w:after="0" w:line="240" w:lineRule="auto"/>
    </w:pPr>
    <w:rPr>
      <w:rFonts w:ascii="Times New Roman" w:hAnsi="Times New Roman" w:cs="Times New Roman"/>
      <w:sz w:val="24"/>
      <w:szCs w:val="24"/>
      <w:lang w:eastAsia="nl-NL"/>
    </w:rPr>
  </w:style>
  <w:style w:type="character" w:styleId="Zwaar">
    <w:name w:val="Strong"/>
    <w:basedOn w:val="Standaardalinea-lettertype"/>
    <w:uiPriority w:val="22"/>
    <w:qFormat/>
    <w:rsid w:val="00AB13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352113">
      <w:bodyDiv w:val="1"/>
      <w:marLeft w:val="0"/>
      <w:marRight w:val="0"/>
      <w:marTop w:val="0"/>
      <w:marBottom w:val="0"/>
      <w:divBdr>
        <w:top w:val="none" w:sz="0" w:space="0" w:color="auto"/>
        <w:left w:val="none" w:sz="0" w:space="0" w:color="auto"/>
        <w:bottom w:val="none" w:sz="0" w:space="0" w:color="auto"/>
        <w:right w:val="none" w:sz="0" w:space="0" w:color="auto"/>
      </w:divBdr>
    </w:div>
    <w:div w:id="596211077">
      <w:bodyDiv w:val="1"/>
      <w:marLeft w:val="0"/>
      <w:marRight w:val="0"/>
      <w:marTop w:val="0"/>
      <w:marBottom w:val="0"/>
      <w:divBdr>
        <w:top w:val="none" w:sz="0" w:space="0" w:color="auto"/>
        <w:left w:val="none" w:sz="0" w:space="0" w:color="auto"/>
        <w:bottom w:val="none" w:sz="0" w:space="0" w:color="auto"/>
        <w:right w:val="none" w:sz="0" w:space="0" w:color="auto"/>
      </w:divBdr>
    </w:div>
    <w:div w:id="643002265">
      <w:bodyDiv w:val="1"/>
      <w:marLeft w:val="0"/>
      <w:marRight w:val="0"/>
      <w:marTop w:val="0"/>
      <w:marBottom w:val="0"/>
      <w:divBdr>
        <w:top w:val="none" w:sz="0" w:space="0" w:color="auto"/>
        <w:left w:val="none" w:sz="0" w:space="0" w:color="auto"/>
        <w:bottom w:val="none" w:sz="0" w:space="0" w:color="auto"/>
        <w:right w:val="none" w:sz="0" w:space="0" w:color="auto"/>
      </w:divBdr>
    </w:div>
    <w:div w:id="126360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toriteitpersoonsgegevens.nl/nl/nieuws/nieuw-modelcontract-voor-veilige-doorgifte-persoonsgegeven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46b5d6c5-143d-4572-aae0-8dea39140122" xsi:nil="true"/>
    <MigrationWizIdPermissions xmlns="46b5d6c5-143d-4572-aae0-8dea39140122" xsi:nil="true"/>
    <MigrationWizIdPermissionLevels xmlns="46b5d6c5-143d-4572-aae0-8dea39140122" xsi:nil="true"/>
    <MigrationWizIdDocumentLibraryPermissions xmlns="46b5d6c5-143d-4572-aae0-8dea39140122" xsi:nil="true"/>
    <MigrationWizIdSecurityGroups xmlns="46b5d6c5-143d-4572-aae0-8dea3914012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CA8FA3574D214D9D4BA494D7941323" ma:contentTypeVersion="15" ma:contentTypeDescription="Create a new document." ma:contentTypeScope="" ma:versionID="e87d267d92dd595d93fc2aa6580ccf3b">
  <xsd:schema xmlns:xsd="http://www.w3.org/2001/XMLSchema" xmlns:xs="http://www.w3.org/2001/XMLSchema" xmlns:p="http://schemas.microsoft.com/office/2006/metadata/properties" xmlns:ns2="46b5d6c5-143d-4572-aae0-8dea39140122" xmlns:ns3="5d3f8474-8afd-44f3-a42e-d8d9d98696e4" targetNamespace="http://schemas.microsoft.com/office/2006/metadata/properties" ma:root="true" ma:fieldsID="0dbcc13f6fb33c6b23b07a6bd85ecaec" ns2:_="" ns3:_="">
    <xsd:import namespace="46b5d6c5-143d-4572-aae0-8dea39140122"/>
    <xsd:import namespace="5d3f8474-8afd-44f3-a42e-d8d9d98696e4"/>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b5d6c5-143d-4572-aae0-8dea39140122"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3f8474-8afd-44f3-a42e-d8d9d98696e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7D6528-500B-4AD2-B4CB-890A196CDD35}">
  <ds:schemaRefs>
    <ds:schemaRef ds:uri="http://schemas.microsoft.com/office/2006/metadata/properties"/>
    <ds:schemaRef ds:uri="http://schemas.microsoft.com/office/infopath/2007/PartnerControls"/>
    <ds:schemaRef ds:uri="46b5d6c5-143d-4572-aae0-8dea39140122"/>
  </ds:schemaRefs>
</ds:datastoreItem>
</file>

<file path=customXml/itemProps2.xml><?xml version="1.0" encoding="utf-8"?>
<ds:datastoreItem xmlns:ds="http://schemas.openxmlformats.org/officeDocument/2006/customXml" ds:itemID="{BE11B456-5A6F-4F62-B359-2C22EB2B9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b5d6c5-143d-4572-aae0-8dea39140122"/>
    <ds:schemaRef ds:uri="5d3f8474-8afd-44f3-a42e-d8d9d9869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763965-DDCB-4914-B3D5-ACA37470B6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3539</Words>
  <Characters>19468</Characters>
  <Application>Microsoft Office Word</Application>
  <DocSecurity>0</DocSecurity>
  <Lines>162</Lines>
  <Paragraphs>45</Paragraphs>
  <ScaleCrop>false</ScaleCrop>
  <Company>Hewlett-Packard Company</Company>
  <LinksUpToDate>false</LinksUpToDate>
  <CharactersWithSpaces>22962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van Kempen</dc:creator>
  <cp:keywords/>
  <dc:description/>
  <cp:lastModifiedBy>Hugo Wijdicks</cp:lastModifiedBy>
  <cp:revision>4</cp:revision>
  <dcterms:created xsi:type="dcterms:W3CDTF">2022-03-23T16:03:00Z</dcterms:created>
  <dcterms:modified xsi:type="dcterms:W3CDTF">2022-03-23T16:21:00Z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0x01010063CA8FA3574D214D9D4BA494D7941323</vt:lpwstr>
  </property>
</Properties>
</file>