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7ECE0" w14:textId="77777777" w:rsidR="00C90A19" w:rsidRPr="00C90A19" w:rsidRDefault="00C90A19" w:rsidP="00C90A19">
      <w:pPr>
        <w:shd w:val="clear" w:color="auto" w:fill="FFFFFF"/>
        <w:spacing w:before="240" w:after="150" w:line="300" w:lineRule="atLeast"/>
        <w:outlineLvl w:val="0"/>
        <w:rPr>
          <w:rFonts w:ascii="Arial" w:eastAsia="Times New Roman" w:hAnsi="Arial" w:cs="Arial"/>
          <w:b/>
          <w:bCs/>
          <w:kern w:val="36"/>
          <w:sz w:val="43"/>
          <w:szCs w:val="43"/>
          <w:lang w:eastAsia="nl-NL"/>
        </w:rPr>
      </w:pPr>
      <w:r w:rsidRPr="00C90A19">
        <w:rPr>
          <w:rFonts w:ascii="Arial" w:eastAsia="Times New Roman" w:hAnsi="Arial" w:cs="Arial"/>
          <w:b/>
          <w:bCs/>
          <w:kern w:val="36"/>
          <w:sz w:val="43"/>
          <w:szCs w:val="43"/>
          <w:lang w:eastAsia="nl-NL"/>
        </w:rPr>
        <w:t>Verordening van het algemeen bestuur van de gemeenschappelijke regeling Samenwerkingsorgaan Holland Rijnland houdende regels omtrent controle Controleverordening samenwerkingsorgaan Holland Rijnland 2019</w:t>
      </w:r>
    </w:p>
    <w:p w14:paraId="702733A6" w14:textId="77777777" w:rsidR="00C90A19" w:rsidRPr="00C90A19" w:rsidRDefault="00C90A19" w:rsidP="00C90A19">
      <w:pPr>
        <w:shd w:val="clear" w:color="auto" w:fill="FFFFFF"/>
        <w:spacing w:after="0" w:line="240" w:lineRule="auto"/>
        <w:rPr>
          <w:rFonts w:ascii="Arial" w:eastAsia="Times New Roman" w:hAnsi="Arial" w:cs="Arial"/>
          <w:sz w:val="27"/>
          <w:szCs w:val="27"/>
          <w:lang w:eastAsia="nl-NL"/>
        </w:rPr>
      </w:pPr>
      <w:r w:rsidRPr="00C90A19">
        <w:rPr>
          <w:rFonts w:ascii="Arial" w:eastAsia="Times New Roman" w:hAnsi="Arial" w:cs="Arial"/>
          <w:i/>
          <w:iCs/>
          <w:sz w:val="27"/>
          <w:szCs w:val="27"/>
          <w:shd w:val="clear" w:color="auto" w:fill="E5F1F9"/>
          <w:lang w:eastAsia="nl-NL"/>
        </w:rPr>
        <w:t>Geldend van 01-04-2019 t/m heden</w:t>
      </w:r>
    </w:p>
    <w:p w14:paraId="134BE521" w14:textId="77777777" w:rsidR="00C90A19" w:rsidRPr="00C90A19" w:rsidRDefault="00C90A19" w:rsidP="00C90A19">
      <w:pPr>
        <w:spacing w:after="120" w:line="240" w:lineRule="auto"/>
        <w:outlineLvl w:val="3"/>
        <w:rPr>
          <w:rFonts w:ascii="Times New Roman" w:eastAsia="Times New Roman" w:hAnsi="Times New Roman" w:cs="Times New Roman"/>
          <w:b/>
          <w:bCs/>
          <w:sz w:val="24"/>
          <w:szCs w:val="24"/>
          <w:lang w:eastAsia="nl-NL"/>
        </w:rPr>
      </w:pPr>
    </w:p>
    <w:p w14:paraId="1C1CFD55" w14:textId="77777777" w:rsidR="00C90A19" w:rsidRPr="00C90A19" w:rsidRDefault="00C90A19" w:rsidP="00C90A19">
      <w:pPr>
        <w:spacing w:after="120" w:line="240" w:lineRule="auto"/>
        <w:outlineLvl w:val="3"/>
        <w:rPr>
          <w:rFonts w:ascii="Times New Roman" w:eastAsia="Times New Roman" w:hAnsi="Times New Roman" w:cs="Times New Roman"/>
          <w:b/>
          <w:bCs/>
          <w:sz w:val="24"/>
          <w:szCs w:val="24"/>
          <w:lang w:eastAsia="nl-NL"/>
        </w:rPr>
      </w:pPr>
    </w:p>
    <w:p w14:paraId="773041F8" w14:textId="77777777" w:rsidR="00C90A19" w:rsidRPr="00C90A19" w:rsidRDefault="00C90A19" w:rsidP="00C90A19">
      <w:pPr>
        <w:spacing w:after="120" w:line="240" w:lineRule="auto"/>
        <w:outlineLvl w:val="3"/>
        <w:rPr>
          <w:rFonts w:ascii="Times New Roman" w:eastAsia="Times New Roman" w:hAnsi="Times New Roman" w:cs="Times New Roman"/>
          <w:b/>
          <w:bCs/>
          <w:sz w:val="24"/>
          <w:szCs w:val="24"/>
          <w:lang w:eastAsia="nl-NL"/>
        </w:rPr>
      </w:pPr>
    </w:p>
    <w:p w14:paraId="1FCCDE9F" w14:textId="77777777" w:rsidR="00C90A19" w:rsidRPr="00C90A19" w:rsidRDefault="00C90A19" w:rsidP="00C90A19">
      <w:pPr>
        <w:spacing w:after="120" w:line="240" w:lineRule="auto"/>
        <w:outlineLvl w:val="3"/>
        <w:rPr>
          <w:rFonts w:ascii="Times New Roman" w:eastAsia="Times New Roman" w:hAnsi="Times New Roman" w:cs="Times New Roman"/>
          <w:b/>
          <w:bCs/>
          <w:sz w:val="24"/>
          <w:szCs w:val="24"/>
          <w:lang w:eastAsia="nl-NL"/>
        </w:rPr>
      </w:pPr>
    </w:p>
    <w:p w14:paraId="3EE89A87" w14:textId="77777777" w:rsidR="00C90A19" w:rsidRPr="00C90A19" w:rsidRDefault="00C90A19" w:rsidP="00C90A19">
      <w:pPr>
        <w:spacing w:after="120" w:line="240" w:lineRule="auto"/>
        <w:outlineLvl w:val="3"/>
        <w:rPr>
          <w:rFonts w:ascii="Times New Roman" w:eastAsia="Times New Roman" w:hAnsi="Times New Roman" w:cs="Times New Roman"/>
          <w:b/>
          <w:bCs/>
          <w:sz w:val="24"/>
          <w:szCs w:val="24"/>
          <w:lang w:eastAsia="nl-NL"/>
        </w:rPr>
      </w:pPr>
    </w:p>
    <w:p w14:paraId="049064BD" w14:textId="11853901" w:rsidR="00C90A19" w:rsidRPr="00C90A19" w:rsidRDefault="00C90A19" w:rsidP="00C90A19">
      <w:pPr>
        <w:spacing w:after="120" w:line="240" w:lineRule="auto"/>
        <w:outlineLvl w:val="3"/>
        <w:rPr>
          <w:rFonts w:ascii="Times New Roman" w:eastAsia="Times New Roman" w:hAnsi="Times New Roman" w:cs="Times New Roman"/>
          <w:b/>
          <w:bCs/>
          <w:sz w:val="24"/>
          <w:szCs w:val="24"/>
          <w:lang w:eastAsia="nl-NL"/>
        </w:rPr>
      </w:pPr>
      <w:r w:rsidRPr="00C90A19">
        <w:rPr>
          <w:rFonts w:ascii="Times New Roman" w:eastAsia="Times New Roman" w:hAnsi="Times New Roman" w:cs="Times New Roman"/>
          <w:b/>
          <w:bCs/>
          <w:sz w:val="24"/>
          <w:szCs w:val="24"/>
          <w:lang w:eastAsia="nl-NL"/>
        </w:rPr>
        <w:t>Intitulé</w:t>
      </w:r>
    </w:p>
    <w:p w14:paraId="32754FCC" w14:textId="2AF56530" w:rsid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sz w:val="24"/>
          <w:szCs w:val="24"/>
          <w:lang w:eastAsia="nl-NL"/>
        </w:rPr>
        <w:t>Verordening van het algemeen bestuur van de gemeenschappelijke regeling Samenwerkingsorgaan Holland Rijnland houdende regels omtrent controle Controleverordening samenwerkingsorgaan Holland Rijnland 2019</w:t>
      </w:r>
    </w:p>
    <w:p w14:paraId="23379BE9"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p>
    <w:p w14:paraId="5983143B"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1. Definities</w:t>
      </w:r>
    </w:p>
    <w:p w14:paraId="14AC1472"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In deze verordening wordt verstaan onder:</w:t>
      </w:r>
    </w:p>
    <w:p w14:paraId="28991A4E" w14:textId="77777777" w:rsidR="00C90A19" w:rsidRPr="00C90A19" w:rsidRDefault="00C90A19" w:rsidP="00C90A19">
      <w:pPr>
        <w:numPr>
          <w:ilvl w:val="0"/>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w:t>
      </w:r>
    </w:p>
    <w:p w14:paraId="1492E15B"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u w:val="single"/>
          <w:lang w:eastAsia="nl-NL"/>
        </w:rPr>
        <w:t>Accountant</w:t>
      </w:r>
    </w:p>
    <w:p w14:paraId="61DC0A51"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lang w:eastAsia="nl-NL"/>
        </w:rPr>
        <w:t>een door het Algemeen Bestuur benoemde:</w:t>
      </w:r>
    </w:p>
    <w:p w14:paraId="5184B059" w14:textId="77777777" w:rsidR="00C90A19" w:rsidRPr="00C90A19" w:rsidRDefault="00C90A19" w:rsidP="00C90A19">
      <w:pPr>
        <w:numPr>
          <w:ilvl w:val="1"/>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w:t>
      </w:r>
    </w:p>
    <w:p w14:paraId="6A6E27E3"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registeraccountant of</w:t>
      </w:r>
    </w:p>
    <w:p w14:paraId="1EFD1C57" w14:textId="77777777" w:rsidR="00C90A19" w:rsidRPr="00C90A19" w:rsidRDefault="00C90A19" w:rsidP="00C90A19">
      <w:pPr>
        <w:numPr>
          <w:ilvl w:val="1"/>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w:t>
      </w:r>
    </w:p>
    <w:p w14:paraId="6F34E628"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proofErr w:type="spellStart"/>
      <w:r w:rsidRPr="00C90A19">
        <w:rPr>
          <w:rFonts w:ascii="Arial" w:eastAsia="Times New Roman" w:hAnsi="Arial" w:cs="Arial"/>
          <w:sz w:val="27"/>
          <w:szCs w:val="27"/>
          <w:lang w:eastAsia="nl-NL"/>
        </w:rPr>
        <w:t>accountant-administratieconsulent</w:t>
      </w:r>
      <w:proofErr w:type="spellEnd"/>
      <w:r w:rsidRPr="00C90A19">
        <w:rPr>
          <w:rFonts w:ascii="Arial" w:eastAsia="Times New Roman" w:hAnsi="Arial" w:cs="Arial"/>
          <w:sz w:val="27"/>
          <w:szCs w:val="27"/>
          <w:lang w:eastAsia="nl-NL"/>
        </w:rPr>
        <w:t xml:space="preserve"> met een aantekening in het inschrijvingsregister als bedoeld in het derde lid van artikel 36, Wet op de Accountant-Administratieconsulenten of</w:t>
      </w:r>
    </w:p>
    <w:p w14:paraId="5B6E8158" w14:textId="77777777" w:rsidR="00C90A19" w:rsidRPr="00C90A19" w:rsidRDefault="00C90A19" w:rsidP="00C90A19">
      <w:pPr>
        <w:numPr>
          <w:ilvl w:val="1"/>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w:t>
      </w:r>
    </w:p>
    <w:p w14:paraId="3964EDB4"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lastRenderedPageBreak/>
        <w:t>organisatie waarin voor de accountantscontrole bevoegde accountants samenwerken, belast met de controle van de in artikel 197 Gemeentewet bedoelde jaarrekening.</w:t>
      </w:r>
    </w:p>
    <w:p w14:paraId="6FFFD8F8" w14:textId="77777777" w:rsidR="00C90A19" w:rsidRPr="00C90A19" w:rsidRDefault="00C90A19" w:rsidP="00C90A19">
      <w:pPr>
        <w:numPr>
          <w:ilvl w:val="0"/>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b.</w:t>
      </w:r>
    </w:p>
    <w:p w14:paraId="4533A658"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u w:val="single"/>
          <w:lang w:eastAsia="nl-NL"/>
        </w:rPr>
        <w:t>Accountantscontrole</w:t>
      </w:r>
    </w:p>
    <w:p w14:paraId="6981485F"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lang w:eastAsia="nl-NL"/>
        </w:rPr>
        <w:t>de controle van de in artikel 197 Gemeentewet bedoelde jaarrekening uitgevoerd door de door het Algemeen Bestuur benoemde accountant van:</w:t>
      </w:r>
    </w:p>
    <w:p w14:paraId="1FC24C84" w14:textId="77777777" w:rsidR="00C90A19" w:rsidRPr="00C90A19" w:rsidRDefault="00C90A19" w:rsidP="00C90A19">
      <w:pPr>
        <w:numPr>
          <w:ilvl w:val="1"/>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w:t>
      </w:r>
    </w:p>
    <w:p w14:paraId="7BFE1BEC"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het getrouwe beeld van de in de jaarrekening gepresenteerde baten en lasten en de grootte en samenstelling van het vermogen;</w:t>
      </w:r>
    </w:p>
    <w:p w14:paraId="5E8220DF" w14:textId="77777777" w:rsidR="00C90A19" w:rsidRPr="00C90A19" w:rsidRDefault="00C90A19" w:rsidP="00C90A19">
      <w:pPr>
        <w:numPr>
          <w:ilvl w:val="1"/>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w:t>
      </w:r>
    </w:p>
    <w:p w14:paraId="4133F9D5"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het rechtmatig tot stand komen van de baten en lasten en balansmutaties;</w:t>
      </w:r>
    </w:p>
    <w:p w14:paraId="02042CA9" w14:textId="77777777" w:rsidR="00C90A19" w:rsidRPr="00C90A19" w:rsidRDefault="00C90A19" w:rsidP="00C90A19">
      <w:pPr>
        <w:numPr>
          <w:ilvl w:val="1"/>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w:t>
      </w:r>
    </w:p>
    <w:p w14:paraId="7531FF6C"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het in overeenstemming zijn van de door het Dagelijks Bestuur opgestelde jaarrekening met de bij of krachtens algemene maatregel van bestuur te stellen regels bedoelt in artikel 186 Gemeentewet;</w:t>
      </w:r>
    </w:p>
    <w:p w14:paraId="1A20BCA3" w14:textId="77777777" w:rsidR="00C90A19" w:rsidRPr="00C90A19" w:rsidRDefault="00C90A19" w:rsidP="00C90A19">
      <w:pPr>
        <w:numPr>
          <w:ilvl w:val="1"/>
          <w:numId w:val="1"/>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w:t>
      </w:r>
    </w:p>
    <w:p w14:paraId="74F18111"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de inrichting van het financieel beheer en de financiële organisatie gericht op de vraag of deze een getrouwe en rechtmatige verantwoording mogelijk maken;</w:t>
      </w:r>
    </w:p>
    <w:p w14:paraId="6FF170CB" w14:textId="77777777" w:rsidR="00C90A19" w:rsidRPr="00C90A19" w:rsidRDefault="00C90A19" w:rsidP="00C90A19">
      <w:pPr>
        <w:numPr>
          <w:ilvl w:val="0"/>
          <w:numId w:val="1"/>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waarbij de nadere regels die bij of krachtens algemene maatregel van bestuur worden gesteld op grond van het zesde lid van artikel 213 Gemeentewet, in acht worden genomen.</w:t>
      </w:r>
    </w:p>
    <w:p w14:paraId="1C811342" w14:textId="77777777" w:rsidR="00C90A19" w:rsidRPr="00C90A19" w:rsidRDefault="00C90A19" w:rsidP="00C90A19">
      <w:pPr>
        <w:numPr>
          <w:ilvl w:val="0"/>
          <w:numId w:val="2"/>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c.</w:t>
      </w:r>
    </w:p>
    <w:p w14:paraId="1ECC9A07"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u w:val="single"/>
          <w:lang w:eastAsia="nl-NL"/>
        </w:rPr>
        <w:t>auditcommissie</w:t>
      </w:r>
    </w:p>
    <w:p w14:paraId="2A3DCA39"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lang w:eastAsia="nl-NL"/>
        </w:rPr>
        <w:lastRenderedPageBreak/>
        <w:t>commissie ingesteld door het Algemeen Bestuur waarvan de taken en bevoegdheden zijn vastgelegd in het Reglement auditcommissie Holland Rijnland 2017.</w:t>
      </w:r>
    </w:p>
    <w:p w14:paraId="1F83B1B8" w14:textId="77777777" w:rsidR="00C90A19" w:rsidRPr="00C90A19" w:rsidRDefault="00C90A19" w:rsidP="00C90A19">
      <w:pPr>
        <w:numPr>
          <w:ilvl w:val="0"/>
          <w:numId w:val="2"/>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d.</w:t>
      </w:r>
    </w:p>
    <w:p w14:paraId="1A459E7D"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u w:val="single"/>
          <w:lang w:eastAsia="nl-NL"/>
        </w:rPr>
        <w:t>rechtmatigheid in het kader van de accountantscontrole</w:t>
      </w:r>
    </w:p>
    <w:p w14:paraId="7BDDCF30"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het overeenstemmen van het tot stand komen van de financiële </w:t>
      </w:r>
      <w:proofErr w:type="spellStart"/>
      <w:r w:rsidRPr="00C90A19">
        <w:rPr>
          <w:rFonts w:ascii="Arial" w:eastAsia="Times New Roman" w:hAnsi="Arial" w:cs="Arial"/>
          <w:sz w:val="27"/>
          <w:szCs w:val="27"/>
          <w:lang w:eastAsia="nl-NL"/>
        </w:rPr>
        <w:t>beheershandelingen</w:t>
      </w:r>
      <w:proofErr w:type="spellEnd"/>
      <w:r w:rsidRPr="00C90A19">
        <w:rPr>
          <w:rFonts w:ascii="Arial" w:eastAsia="Times New Roman" w:hAnsi="Arial" w:cs="Arial"/>
          <w:sz w:val="27"/>
          <w:szCs w:val="27"/>
          <w:lang w:eastAsia="nl-NL"/>
        </w:rPr>
        <w:t xml:space="preserve"> en de vastlegging daarvan met de relevante wet- en regelgeving, zoals bedoeld in het Besluit accountantscontrole decentrale overheden.</w:t>
      </w:r>
    </w:p>
    <w:p w14:paraId="076263F8" w14:textId="77777777" w:rsidR="00C90A19" w:rsidRPr="00C90A19" w:rsidRDefault="00C90A19" w:rsidP="00C90A19">
      <w:pPr>
        <w:numPr>
          <w:ilvl w:val="0"/>
          <w:numId w:val="2"/>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e.</w:t>
      </w:r>
    </w:p>
    <w:p w14:paraId="64A1DA90"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u w:val="single"/>
          <w:lang w:eastAsia="nl-NL"/>
        </w:rPr>
        <w:t>Goedkeuringstolerantie</w:t>
      </w:r>
    </w:p>
    <w:p w14:paraId="304AAC5E"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lang w:eastAsia="nl-NL"/>
        </w:rPr>
        <w:t>de goedkeuringstolerantie is het bedrag dat de som van fouten in de jaarrekening of onzekerheden in de controle aangeeft, die in een jaarrekening maximaal mogen voorkomen, zonder dat de bruikbaarheid van de jaarrekening voor de oordeelsvorming door de gebruikers kan worden beïnvloed.</w:t>
      </w:r>
    </w:p>
    <w:p w14:paraId="3BC354C3" w14:textId="77777777" w:rsidR="00C90A19" w:rsidRPr="00C90A19" w:rsidRDefault="00C90A19" w:rsidP="00C90A19">
      <w:pPr>
        <w:numPr>
          <w:ilvl w:val="0"/>
          <w:numId w:val="2"/>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f.</w:t>
      </w:r>
    </w:p>
    <w:p w14:paraId="4F9782AC"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u w:val="single"/>
          <w:lang w:eastAsia="nl-NL"/>
        </w:rPr>
        <w:t>Rapporteringstolerantie</w:t>
      </w:r>
    </w:p>
    <w:p w14:paraId="027CE56B"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lang w:eastAsia="nl-NL"/>
        </w:rPr>
        <w:t>de rapporteringtolerantie(s) is een bedrag dat gelijk is aan of lager is dan de bedragen voortvloeiend uit de goedkeuringstolerantie. Bij overschrijding van dit bedrag vindt rapportering plaats in het verslag van bevindingen. Een lagere rapporteringstolerantie leidt in beginsel niet tot aanvullende controlewerkzaamheden, maar wel tot een uitgebreidere rapportage van bevindingen. De rapporteringstolerantie kan worden vastgesteld op een percentage, bijvoorbeeld 80%, van de goedkeuringstolerantie of op een maatschappelijk relevant geacht absoluut bedrag. De rapporteringtoleranties kunnen zich verder toespitsen op die elementen die het bestuur specifiek nader terug wil zien, zonder dat dit de controletoleranties zelf beïnvloedt.</w:t>
      </w:r>
    </w:p>
    <w:p w14:paraId="0C79E0B0" w14:textId="77777777" w:rsidR="00C90A19" w:rsidRPr="00C90A19" w:rsidRDefault="00C90A19" w:rsidP="00C90A19">
      <w:pPr>
        <w:numPr>
          <w:ilvl w:val="0"/>
          <w:numId w:val="2"/>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g.</w:t>
      </w:r>
    </w:p>
    <w:p w14:paraId="3AAD76DD"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u w:val="single"/>
          <w:lang w:eastAsia="nl-NL"/>
        </w:rPr>
        <w:t>Deelverantwoording</w:t>
      </w:r>
    </w:p>
    <w:p w14:paraId="2BB5CC3A" w14:textId="77777777" w:rsidR="00C90A19" w:rsidRPr="00C90A19" w:rsidRDefault="00C90A19" w:rsidP="00C90A19">
      <w:pPr>
        <w:shd w:val="clear" w:color="auto" w:fill="FFFFFF"/>
        <w:spacing w:after="240" w:line="240" w:lineRule="auto"/>
        <w:ind w:left="720"/>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een in opdracht van het Algemeen Bestuur ten behoeve van de verslaglegging opgestelde verantwoording van een afzonderlijke </w:t>
      </w:r>
      <w:r w:rsidRPr="00C90A19">
        <w:rPr>
          <w:rFonts w:ascii="Arial" w:eastAsia="Times New Roman" w:hAnsi="Arial" w:cs="Arial"/>
          <w:sz w:val="27"/>
          <w:szCs w:val="27"/>
          <w:lang w:eastAsia="nl-NL"/>
        </w:rPr>
        <w:lastRenderedPageBreak/>
        <w:t>organisatie-eenheid binnen het samenwerkingsorgaan, welke verantwoording onderdeel uit maakt van de jaarrekening.</w:t>
      </w:r>
    </w:p>
    <w:p w14:paraId="7868905A"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2. Opdrachtverlening accountantscontrole</w:t>
      </w:r>
    </w:p>
    <w:p w14:paraId="5E76D13E" w14:textId="77777777" w:rsidR="00C90A19" w:rsidRPr="00C90A19" w:rsidRDefault="00C90A19" w:rsidP="00C90A19">
      <w:pPr>
        <w:numPr>
          <w:ilvl w:val="0"/>
          <w:numId w:val="3"/>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1.</w:t>
      </w:r>
      <w:r w:rsidRPr="00C90A19">
        <w:rPr>
          <w:rFonts w:ascii="Arial" w:eastAsia="Times New Roman" w:hAnsi="Arial" w:cs="Arial"/>
          <w:sz w:val="27"/>
          <w:szCs w:val="27"/>
          <w:lang w:eastAsia="nl-NL"/>
        </w:rPr>
        <w:t>De accountantscontrole wordt opgedragen aan een door het Algemeen Bestuur te benoemen accountant. De benoeming van de accountant geschiedt voor een periode van maximaal 4 jaar.</w:t>
      </w:r>
    </w:p>
    <w:p w14:paraId="0F461DCE" w14:textId="77777777" w:rsidR="00C90A19" w:rsidRPr="00C90A19" w:rsidRDefault="00C90A19" w:rsidP="00C90A19">
      <w:pPr>
        <w:numPr>
          <w:ilvl w:val="0"/>
          <w:numId w:val="3"/>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2.</w:t>
      </w:r>
      <w:r w:rsidRPr="00C90A19">
        <w:rPr>
          <w:rFonts w:ascii="Arial" w:eastAsia="Times New Roman" w:hAnsi="Arial" w:cs="Arial"/>
          <w:sz w:val="27"/>
          <w:szCs w:val="27"/>
          <w:lang w:eastAsia="nl-NL"/>
        </w:rPr>
        <w:t>Het Dagelijks Bestuur bereidt in overleg met het Algemeen Bestuur de aanbesteding van de accountantscontrole voor.</w:t>
      </w:r>
    </w:p>
    <w:p w14:paraId="0FF218FE" w14:textId="77777777" w:rsidR="00C90A19" w:rsidRPr="00C90A19" w:rsidRDefault="00C90A19" w:rsidP="00C90A19">
      <w:pPr>
        <w:numPr>
          <w:ilvl w:val="0"/>
          <w:numId w:val="3"/>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3.</w:t>
      </w:r>
      <w:r w:rsidRPr="00C90A19">
        <w:rPr>
          <w:rFonts w:ascii="Arial" w:eastAsia="Times New Roman" w:hAnsi="Arial" w:cs="Arial"/>
          <w:sz w:val="27"/>
          <w:szCs w:val="27"/>
          <w:lang w:eastAsia="nl-NL"/>
        </w:rPr>
        <w:t>Het Algemeen Bestuur stelt voor de aanbesteding van de accountantscontrole het programma van eisen vast. In het programma van eisen kunnen voor de jaarlijkse accountantscontrole worden opgenomen:</w:t>
      </w:r>
    </w:p>
    <w:p w14:paraId="55B581BE" w14:textId="77777777" w:rsidR="00C90A19" w:rsidRPr="00C90A19" w:rsidRDefault="00C90A19" w:rsidP="00C90A19">
      <w:pPr>
        <w:numPr>
          <w:ilvl w:val="1"/>
          <w:numId w:val="3"/>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w:t>
      </w:r>
    </w:p>
    <w:p w14:paraId="2F3F3C14"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de toe te passen goedkeuringstoleranties (en afwijkende rapporteringstoleranties) bij de controle van de jaarrekening;</w:t>
      </w:r>
    </w:p>
    <w:p w14:paraId="27F08DE1" w14:textId="77777777" w:rsidR="00C90A19" w:rsidRPr="00C90A19" w:rsidRDefault="00C90A19" w:rsidP="00C90A19">
      <w:pPr>
        <w:numPr>
          <w:ilvl w:val="1"/>
          <w:numId w:val="3"/>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b.</w:t>
      </w:r>
    </w:p>
    <w:p w14:paraId="527FB692"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de apart te controleren deelverantwoordingen en de daarbij toe te passen </w:t>
      </w:r>
      <w:proofErr w:type="spellStart"/>
      <w:r w:rsidRPr="00C90A19">
        <w:rPr>
          <w:rFonts w:ascii="Arial" w:eastAsia="Times New Roman" w:hAnsi="Arial" w:cs="Arial"/>
          <w:sz w:val="27"/>
          <w:szCs w:val="27"/>
          <w:lang w:eastAsia="nl-NL"/>
        </w:rPr>
        <w:t>omvangsbases</w:t>
      </w:r>
      <w:proofErr w:type="spellEnd"/>
      <w:r w:rsidRPr="00C90A19">
        <w:rPr>
          <w:rFonts w:ascii="Arial" w:eastAsia="Times New Roman" w:hAnsi="Arial" w:cs="Arial"/>
          <w:sz w:val="27"/>
          <w:szCs w:val="27"/>
          <w:lang w:eastAsia="nl-NL"/>
        </w:rPr>
        <w:t xml:space="preserve"> en goedkeuringstoleranties (en afwijkende rapporteringstoleranties);</w:t>
      </w:r>
    </w:p>
    <w:p w14:paraId="088BE3F9" w14:textId="77777777" w:rsidR="00C90A19" w:rsidRPr="00C90A19" w:rsidRDefault="00C90A19" w:rsidP="00C90A19">
      <w:pPr>
        <w:numPr>
          <w:ilvl w:val="1"/>
          <w:numId w:val="3"/>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c.</w:t>
      </w:r>
    </w:p>
    <w:p w14:paraId="79B56E44"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de inrichtingseisen voor het verslag van bevindingen;</w:t>
      </w:r>
    </w:p>
    <w:p w14:paraId="40542A5A" w14:textId="77777777" w:rsidR="00C90A19" w:rsidRPr="00C90A19" w:rsidRDefault="00C90A19" w:rsidP="00C90A19">
      <w:pPr>
        <w:numPr>
          <w:ilvl w:val="1"/>
          <w:numId w:val="3"/>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d.</w:t>
      </w:r>
    </w:p>
    <w:p w14:paraId="77E99E13"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de eventueel aanvullende uit te voeren tussentijdse controles;</w:t>
      </w:r>
    </w:p>
    <w:p w14:paraId="586247DF" w14:textId="77777777" w:rsidR="00C90A19" w:rsidRPr="00C90A19" w:rsidRDefault="00C90A19" w:rsidP="00C90A19">
      <w:pPr>
        <w:numPr>
          <w:ilvl w:val="1"/>
          <w:numId w:val="3"/>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e.</w:t>
      </w:r>
    </w:p>
    <w:p w14:paraId="4D6C1159"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de frequentie en inrichtingseisen van de aanvullende tussentijdse rapportering en voor ieder afzonderlijk te controleren begrotingsjaar:</w:t>
      </w:r>
    </w:p>
    <w:p w14:paraId="45E26D48" w14:textId="77777777" w:rsidR="00C90A19" w:rsidRPr="00C90A19" w:rsidRDefault="00C90A19" w:rsidP="00C90A19">
      <w:pPr>
        <w:numPr>
          <w:ilvl w:val="1"/>
          <w:numId w:val="3"/>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f.</w:t>
      </w:r>
    </w:p>
    <w:p w14:paraId="1A8736DB"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de posten van de jaarrekening en deelverantwoordingen met bijbehorende afwijkende rapporteringstoleranties, waaraan de </w:t>
      </w:r>
      <w:r w:rsidRPr="00C90A19">
        <w:rPr>
          <w:rFonts w:ascii="Arial" w:eastAsia="Times New Roman" w:hAnsi="Arial" w:cs="Arial"/>
          <w:sz w:val="27"/>
          <w:szCs w:val="27"/>
          <w:lang w:eastAsia="nl-NL"/>
        </w:rPr>
        <w:lastRenderedPageBreak/>
        <w:t>accountant bij zijn controle specifiek aandacht dient te besteden;</w:t>
      </w:r>
    </w:p>
    <w:p w14:paraId="50501EEA" w14:textId="77777777" w:rsidR="00C90A19" w:rsidRPr="00C90A19" w:rsidRDefault="00C90A19" w:rsidP="00C90A19">
      <w:pPr>
        <w:numPr>
          <w:ilvl w:val="1"/>
          <w:numId w:val="3"/>
        </w:numPr>
        <w:shd w:val="clear" w:color="auto" w:fill="FFFFFF"/>
        <w:spacing w:before="100" w:beforeAutospacing="1" w:after="100" w:afterAutospacing="1"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g.</w:t>
      </w:r>
    </w:p>
    <w:p w14:paraId="2CBEC90E" w14:textId="77777777" w:rsidR="00C90A19" w:rsidRPr="00C90A19" w:rsidRDefault="00C90A19" w:rsidP="00C90A19">
      <w:pPr>
        <w:shd w:val="clear" w:color="auto" w:fill="FFFFFF"/>
        <w:spacing w:after="240" w:line="240" w:lineRule="auto"/>
        <w:ind w:left="1440"/>
        <w:rPr>
          <w:rFonts w:ascii="Arial" w:eastAsia="Times New Roman" w:hAnsi="Arial" w:cs="Arial"/>
          <w:sz w:val="27"/>
          <w:szCs w:val="27"/>
          <w:lang w:eastAsia="nl-NL"/>
        </w:rPr>
      </w:pPr>
      <w:r w:rsidRPr="00C90A19">
        <w:rPr>
          <w:rFonts w:ascii="Arial" w:eastAsia="Times New Roman" w:hAnsi="Arial" w:cs="Arial"/>
          <w:sz w:val="27"/>
          <w:szCs w:val="27"/>
          <w:lang w:eastAsia="nl-NL"/>
        </w:rPr>
        <w:t>de producten en of organisatieonderdelen met bijbehorende afwijkende rapporteringstoleranties, waaraan de accountant bij zijn controle specifiek aandacht dient te besteden.</w:t>
      </w:r>
    </w:p>
    <w:p w14:paraId="2E33F3F5" w14:textId="77777777" w:rsidR="00C90A19" w:rsidRPr="00C90A19" w:rsidRDefault="00C90A19" w:rsidP="00C90A19">
      <w:pPr>
        <w:numPr>
          <w:ilvl w:val="0"/>
          <w:numId w:val="3"/>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4.</w:t>
      </w:r>
      <w:r w:rsidRPr="00C90A19">
        <w:rPr>
          <w:rFonts w:ascii="Arial" w:eastAsia="Times New Roman" w:hAnsi="Arial" w:cs="Arial"/>
          <w:sz w:val="27"/>
          <w:szCs w:val="27"/>
          <w:lang w:eastAsia="nl-NL"/>
        </w:rPr>
        <w:t>In afwijking van het gestelde in lid 3, letters f en g kan het Algemeen Bestuur in het programma van eisen opnemen, dat het Algemeen Bestuur jaarlijks voorafgaand aan de accountantscontrole in overleg met de accountant vaststelt de posten van de jaarrekening, de posten van de deelverantwoordingen, producten en organisatieonderdelen, waaraan de accountant bij zijn controle specifiek aandacht dient te besteden en welke rapporteringstoleranties hij daarbij dient te hanteren.</w:t>
      </w:r>
    </w:p>
    <w:p w14:paraId="1A22B7A0" w14:textId="77777777" w:rsidR="00C90A19" w:rsidRPr="00C90A19" w:rsidRDefault="00C90A19" w:rsidP="00C90A19">
      <w:pPr>
        <w:numPr>
          <w:ilvl w:val="0"/>
          <w:numId w:val="3"/>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5.</w:t>
      </w:r>
      <w:r w:rsidRPr="00C90A19">
        <w:rPr>
          <w:rFonts w:ascii="Arial" w:eastAsia="Times New Roman" w:hAnsi="Arial" w:cs="Arial"/>
          <w:sz w:val="27"/>
          <w:szCs w:val="27"/>
          <w:lang w:eastAsia="nl-NL"/>
        </w:rPr>
        <w:t>De te hanteren goedkeuringstoleranties zijn als volgt:</w:t>
      </w:r>
    </w:p>
    <w:tbl>
      <w:tblPr>
        <w:tblW w:w="0" w:type="auto"/>
        <w:tblBorders>
          <w:top w:val="single" w:sz="6" w:space="0" w:color="E6E6E6"/>
          <w:left w:val="single" w:sz="6" w:space="0" w:color="E6E6E6"/>
          <w:bottom w:val="single" w:sz="6" w:space="0" w:color="E6E6E6"/>
          <w:right w:val="single" w:sz="6" w:space="0" w:color="E6E6E6"/>
        </w:tblBorders>
        <w:shd w:val="clear" w:color="auto" w:fill="FFFFFF"/>
        <w:tblCellMar>
          <w:top w:w="15" w:type="dxa"/>
          <w:left w:w="15" w:type="dxa"/>
          <w:bottom w:w="15" w:type="dxa"/>
          <w:right w:w="15" w:type="dxa"/>
        </w:tblCellMar>
        <w:tblLook w:val="04A0" w:firstRow="1" w:lastRow="0" w:firstColumn="1" w:lastColumn="0" w:noHBand="0" w:noVBand="1"/>
      </w:tblPr>
      <w:tblGrid>
        <w:gridCol w:w="2497"/>
        <w:gridCol w:w="1624"/>
        <w:gridCol w:w="1439"/>
        <w:gridCol w:w="2143"/>
        <w:gridCol w:w="1353"/>
      </w:tblGrid>
      <w:tr w:rsidR="00C90A19" w:rsidRPr="00C90A19" w14:paraId="0EF6D9ED" w14:textId="77777777" w:rsidTr="00C90A19">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40EB42C0"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Goedkeuringstolerantie</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1C6CA07C"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Goedkeurend</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0E557BA2"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Beperking</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0074AD61"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Oordeelonthouding</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172C0635"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Afkeurend</w:t>
            </w:r>
          </w:p>
        </w:tc>
      </w:tr>
      <w:tr w:rsidR="00C90A19" w:rsidRPr="00C90A19" w14:paraId="39AC7105" w14:textId="77777777" w:rsidTr="00C90A19">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2F1320B1" w14:textId="77777777" w:rsidR="00C90A19" w:rsidRPr="00C90A19" w:rsidRDefault="00C90A19" w:rsidP="00C90A19">
            <w:pPr>
              <w:spacing w:after="24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Fouten in de jaar-</w:t>
            </w:r>
          </w:p>
          <w:p w14:paraId="0BDA025B"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rekening (% lasten)</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459902EF"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 1%</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1A1270EB"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&gt;1%&lt;3%</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50829A52"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3D672969"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 3%</w:t>
            </w:r>
          </w:p>
        </w:tc>
      </w:tr>
      <w:tr w:rsidR="00C90A19" w:rsidRPr="00C90A19" w14:paraId="34BBF650" w14:textId="77777777" w:rsidTr="00C90A19">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2778986C"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Onzekerheden in de controle (% lasten)</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587C2546"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 3%</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2DAED78E"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&gt;3%&lt;10%</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2790365C"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 10%</w:t>
            </w:r>
          </w:p>
        </w:tc>
        <w:tc>
          <w:tcPr>
            <w:tcW w:w="0" w:type="auto"/>
            <w:tcBorders>
              <w:left w:val="single" w:sz="6" w:space="0" w:color="E6E6E6"/>
              <w:bottom w:val="single" w:sz="6" w:space="0" w:color="E6E6E6"/>
            </w:tcBorders>
            <w:shd w:val="clear" w:color="auto" w:fill="FFFFFF"/>
            <w:tcMar>
              <w:top w:w="240" w:type="dxa"/>
              <w:left w:w="240" w:type="dxa"/>
              <w:bottom w:w="240" w:type="dxa"/>
              <w:right w:w="240" w:type="dxa"/>
            </w:tcMar>
            <w:hideMark/>
          </w:tcPr>
          <w:p w14:paraId="62821DBE" w14:textId="77777777" w:rsidR="00C90A19" w:rsidRPr="00C90A19" w:rsidRDefault="00C90A19" w:rsidP="00C90A19">
            <w:pPr>
              <w:spacing w:after="0" w:line="240" w:lineRule="auto"/>
              <w:rPr>
                <w:rFonts w:ascii="Times New Roman" w:eastAsia="Times New Roman" w:hAnsi="Times New Roman" w:cs="Times New Roman"/>
                <w:sz w:val="24"/>
                <w:szCs w:val="24"/>
                <w:lang w:eastAsia="nl-NL"/>
              </w:rPr>
            </w:pPr>
            <w:r w:rsidRPr="00C90A19">
              <w:rPr>
                <w:rFonts w:ascii="Times New Roman" w:eastAsia="Times New Roman" w:hAnsi="Times New Roman" w:cs="Times New Roman"/>
                <w:i/>
                <w:iCs/>
                <w:sz w:val="24"/>
                <w:szCs w:val="24"/>
                <w:lang w:eastAsia="nl-NL"/>
              </w:rPr>
              <w:t>-</w:t>
            </w:r>
          </w:p>
        </w:tc>
      </w:tr>
    </w:tbl>
    <w:p w14:paraId="29E5314E" w14:textId="77777777" w:rsidR="00C90A19" w:rsidRPr="00C90A19" w:rsidRDefault="00C90A19" w:rsidP="00C90A19">
      <w:pPr>
        <w:numPr>
          <w:ilvl w:val="0"/>
          <w:numId w:val="4"/>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6.</w:t>
      </w:r>
      <w:r w:rsidRPr="00C90A19">
        <w:rPr>
          <w:rFonts w:ascii="Arial" w:eastAsia="Times New Roman" w:hAnsi="Arial" w:cs="Arial"/>
          <w:sz w:val="27"/>
          <w:szCs w:val="27"/>
          <w:lang w:eastAsia="nl-NL"/>
        </w:rPr>
        <w:t>Voor de rapporteringstolerantie geldt dat elke ongecorrigeerde fout of onzekerheid van meer dan € 25.000 gerapporteerd wordt.</w:t>
      </w:r>
    </w:p>
    <w:p w14:paraId="58A159CC"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3. Informatieverstrekking door het Dagelijks Bestuur</w:t>
      </w:r>
    </w:p>
    <w:p w14:paraId="40FEC67E" w14:textId="77777777" w:rsidR="00C90A19" w:rsidRPr="00C90A19" w:rsidRDefault="00C90A19" w:rsidP="00C90A19">
      <w:pPr>
        <w:numPr>
          <w:ilvl w:val="0"/>
          <w:numId w:val="5"/>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1.</w:t>
      </w:r>
      <w:r w:rsidRPr="00C90A19">
        <w:rPr>
          <w:rFonts w:ascii="Arial" w:eastAsia="Times New Roman" w:hAnsi="Arial" w:cs="Arial"/>
          <w:sz w:val="27"/>
          <w:szCs w:val="27"/>
          <w:lang w:eastAsia="nl-NL"/>
        </w:rPr>
        <w:t>Het Dagelijks Bestuur is verantwoordelijk voor de samenstelling van de jaarrekening conform de geldende interne - en externe wet- en regelgeving en overlegt deze aan de accountant voor controle.</w:t>
      </w:r>
    </w:p>
    <w:p w14:paraId="0911B262" w14:textId="77777777" w:rsidR="00C90A19" w:rsidRPr="00C90A19" w:rsidRDefault="00C90A19" w:rsidP="00C90A19">
      <w:pPr>
        <w:numPr>
          <w:ilvl w:val="0"/>
          <w:numId w:val="5"/>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2.</w:t>
      </w:r>
      <w:r w:rsidRPr="00C90A19">
        <w:rPr>
          <w:rFonts w:ascii="Arial" w:eastAsia="Times New Roman" w:hAnsi="Arial" w:cs="Arial"/>
          <w:sz w:val="27"/>
          <w:szCs w:val="27"/>
          <w:lang w:eastAsia="nl-NL"/>
        </w:rPr>
        <w:t>Het Dagelijks Bestuur draagt er zorg voor dat alle aan de jaarrekening ten grondslag liggende verordeningen, nota’s, besluiten, deelverantwoordingen, administraties, plannen, overeenkomsten, berekeningen e.d. voor de accountant ter inzage liggen en goed toegankelijk zijn.</w:t>
      </w:r>
    </w:p>
    <w:p w14:paraId="06F50E94" w14:textId="77777777" w:rsidR="00C90A19" w:rsidRPr="00C90A19" w:rsidRDefault="00C90A19" w:rsidP="00C90A19">
      <w:pPr>
        <w:numPr>
          <w:ilvl w:val="0"/>
          <w:numId w:val="5"/>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lastRenderedPageBreak/>
        <w:t>3.</w:t>
      </w:r>
      <w:r w:rsidRPr="00C90A19">
        <w:rPr>
          <w:rFonts w:ascii="Arial" w:eastAsia="Times New Roman" w:hAnsi="Arial" w:cs="Arial"/>
          <w:sz w:val="27"/>
          <w:szCs w:val="27"/>
          <w:lang w:eastAsia="nl-NL"/>
        </w:rPr>
        <w:t>Bij de jaarrekening bevestigt het Dagelijks Bestuur schriftelijk aan de accountant, dat alle hem bekende informatie van belang voor de oordeelsvorming van de accountant is verstrekt.</w:t>
      </w:r>
    </w:p>
    <w:p w14:paraId="023D075B" w14:textId="77777777" w:rsidR="00C90A19" w:rsidRPr="00C90A19" w:rsidRDefault="00C90A19" w:rsidP="00C90A19">
      <w:pPr>
        <w:numPr>
          <w:ilvl w:val="0"/>
          <w:numId w:val="5"/>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4.</w:t>
      </w:r>
      <w:r w:rsidRPr="00C90A19">
        <w:rPr>
          <w:rFonts w:ascii="Arial" w:eastAsia="Times New Roman" w:hAnsi="Arial" w:cs="Arial"/>
          <w:sz w:val="27"/>
          <w:szCs w:val="27"/>
          <w:lang w:eastAsia="nl-NL"/>
        </w:rPr>
        <w:t>Het Dagelijks Bestuur overlegt de gecontroleerde jaarrekening samen met de controleverklaring en het verslag van bevindingen voor uiterlijk 10 juli aan het Algemeen Bestuur.</w:t>
      </w:r>
    </w:p>
    <w:p w14:paraId="7A4FDB63" w14:textId="77777777" w:rsidR="00C90A19" w:rsidRPr="00C90A19" w:rsidRDefault="00C90A19" w:rsidP="00C90A19">
      <w:pPr>
        <w:numPr>
          <w:ilvl w:val="0"/>
          <w:numId w:val="5"/>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5.</w:t>
      </w:r>
      <w:r w:rsidRPr="00C90A19">
        <w:rPr>
          <w:rFonts w:ascii="Arial" w:eastAsia="Times New Roman" w:hAnsi="Arial" w:cs="Arial"/>
          <w:sz w:val="27"/>
          <w:szCs w:val="27"/>
          <w:lang w:eastAsia="nl-NL"/>
        </w:rPr>
        <w:t>Alle informatie die na afgifte van de controleverklaring en voor behandeling van de jaarrekening in het Algemeen Bestuur beschikbaar komt en die van invloed is op het beeld dat de jaarrekening geeft, wordt terstond door het Dagelijks Bestuur aan het Algemeen Bestuur en de accountant gemeld.</w:t>
      </w:r>
    </w:p>
    <w:p w14:paraId="64A0610C"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4. Inrichting accountantscontrole</w:t>
      </w:r>
    </w:p>
    <w:p w14:paraId="77B7F27B" w14:textId="77777777" w:rsidR="00C90A19" w:rsidRPr="00C90A19" w:rsidRDefault="00C90A19" w:rsidP="00C90A19">
      <w:pPr>
        <w:numPr>
          <w:ilvl w:val="0"/>
          <w:numId w:val="6"/>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1.</w:t>
      </w:r>
      <w:r w:rsidRPr="00C90A19">
        <w:rPr>
          <w:rFonts w:ascii="Arial" w:eastAsia="Times New Roman" w:hAnsi="Arial" w:cs="Arial"/>
          <w:sz w:val="27"/>
          <w:szCs w:val="27"/>
          <w:lang w:eastAsia="nl-NL"/>
        </w:rPr>
        <w:t>De accountant bepaalt binnen het kader van de opdrachtverlening de wijze waarop de accountantscontrole wordt ingericht, alsmede de aard en de omvang van de daarbij behorende werkzaamheden.</w:t>
      </w:r>
    </w:p>
    <w:p w14:paraId="66DE52D1" w14:textId="77777777" w:rsidR="00C90A19" w:rsidRPr="00C90A19" w:rsidRDefault="00C90A19" w:rsidP="00C90A19">
      <w:pPr>
        <w:numPr>
          <w:ilvl w:val="0"/>
          <w:numId w:val="6"/>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2.</w:t>
      </w:r>
      <w:r w:rsidRPr="00C90A19">
        <w:rPr>
          <w:rFonts w:ascii="Arial" w:eastAsia="Times New Roman" w:hAnsi="Arial" w:cs="Arial"/>
          <w:sz w:val="27"/>
          <w:szCs w:val="27"/>
          <w:lang w:eastAsia="nl-NL"/>
        </w:rPr>
        <w:t>De accountant bepaalt binnen het kader van de opdrachtverlening de frequentie van de uit te voeren controles. De accountant kan de controlewerkzaamheden zonder voorafgaande kennisgeving uitvoeren.</w:t>
      </w:r>
    </w:p>
    <w:p w14:paraId="7A1BF8C2" w14:textId="77777777" w:rsidR="00C90A19" w:rsidRPr="00C90A19" w:rsidRDefault="00C90A19" w:rsidP="00C90A19">
      <w:pPr>
        <w:numPr>
          <w:ilvl w:val="0"/>
          <w:numId w:val="6"/>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3.</w:t>
      </w:r>
      <w:r w:rsidRPr="00C90A19">
        <w:rPr>
          <w:rFonts w:ascii="Arial" w:eastAsia="Times New Roman" w:hAnsi="Arial" w:cs="Arial"/>
          <w:sz w:val="27"/>
          <w:szCs w:val="27"/>
          <w:lang w:eastAsia="nl-NL"/>
        </w:rPr>
        <w:t>Ter bevordering van een efficiënte en doeltreffende accountantscontrole vindt periodiek (afstemmings-)overleg plaats tussen de accountant, de (concern-)controller, de auditcommissie, de portefeuillehouder Bestuur en Middelen en de secretaris directeur van het samenwerkingsorgaan</w:t>
      </w:r>
    </w:p>
    <w:p w14:paraId="1E232CB4"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5. Toegang tot informatie</w:t>
      </w:r>
    </w:p>
    <w:p w14:paraId="4676C38A" w14:textId="77777777" w:rsidR="00C90A19" w:rsidRPr="00C90A19" w:rsidRDefault="00C90A19" w:rsidP="00C90A19">
      <w:pPr>
        <w:numPr>
          <w:ilvl w:val="0"/>
          <w:numId w:val="7"/>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1.</w:t>
      </w:r>
      <w:r w:rsidRPr="00C90A19">
        <w:rPr>
          <w:rFonts w:ascii="Arial" w:eastAsia="Times New Roman" w:hAnsi="Arial" w:cs="Arial"/>
          <w:sz w:val="27"/>
          <w:szCs w:val="27"/>
          <w:lang w:eastAsia="nl-NL"/>
        </w:rPr>
        <w:t>De accountant is bevoegd tot het opnemen van alle kassen, waardepapieren en voorraden en het inzien van alle boeken, notulen, brieven, computerbestanden en overige bescheiden, waarvan hij inzage voor de accountantscontrole nodig oordeelt. Het Dagelijks Bestuur draagt er zorg voor dat de accountant voor de uitvoering van zijn controlewerkzaamheden een onbelemmerde toegang heeft tot alle kantoren, magazijnen, werkplaatsen, terreinen en informatiedragers van het samenwerkingsorgaan.</w:t>
      </w:r>
    </w:p>
    <w:p w14:paraId="55387048" w14:textId="77777777" w:rsidR="00C90A19" w:rsidRPr="00C90A19" w:rsidRDefault="00C90A19" w:rsidP="00C90A19">
      <w:pPr>
        <w:numPr>
          <w:ilvl w:val="0"/>
          <w:numId w:val="7"/>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2.</w:t>
      </w:r>
      <w:r w:rsidRPr="00C90A19">
        <w:rPr>
          <w:rFonts w:ascii="Arial" w:eastAsia="Times New Roman" w:hAnsi="Arial" w:cs="Arial"/>
          <w:sz w:val="27"/>
          <w:szCs w:val="27"/>
          <w:lang w:eastAsia="nl-NL"/>
        </w:rPr>
        <w:t>De accountant is bevoegd om van alle ambtenaren mondelinge en schriftelijke inlichtingen en verklaringen te verlangen die hij voor de uitvoering van zijn opdracht denkt nodig te hebben. Het Dagelijks Bestuur draagt er zorg voor, dat de desbetreffende ambtenaren hieraan hun medewerking verlenen.</w:t>
      </w:r>
    </w:p>
    <w:p w14:paraId="71384A40" w14:textId="77777777" w:rsidR="00C90A19" w:rsidRPr="00C90A19" w:rsidRDefault="00C90A19" w:rsidP="00C90A19">
      <w:pPr>
        <w:numPr>
          <w:ilvl w:val="0"/>
          <w:numId w:val="7"/>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lastRenderedPageBreak/>
        <w:t>3.</w:t>
      </w:r>
      <w:r w:rsidRPr="00C90A19">
        <w:rPr>
          <w:rFonts w:ascii="Arial" w:eastAsia="Times New Roman" w:hAnsi="Arial" w:cs="Arial"/>
          <w:sz w:val="27"/>
          <w:szCs w:val="27"/>
          <w:lang w:eastAsia="nl-NL"/>
        </w:rPr>
        <w:t>Het Dagelijks Bestuur draagt er zorg voor, dat alle organisatie-eenheden van het samenwerkingsorgaan zijn gehouden de accountant alle informatie te verstrekken, opdat de accountant zich een juist en volledig oordeel kan vormen over de rechtmatige totstandkoming van baten, lasten, balansmutaties en het gevoerde beheer en over de getrouwheid van de daarover verstrekte informatie.</w:t>
      </w:r>
    </w:p>
    <w:p w14:paraId="17858020"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6. Overige controles en opdrachten</w:t>
      </w:r>
    </w:p>
    <w:p w14:paraId="7790FD4D" w14:textId="77777777" w:rsidR="00C90A19" w:rsidRPr="00C90A19" w:rsidRDefault="00C90A19" w:rsidP="00C90A19">
      <w:pPr>
        <w:numPr>
          <w:ilvl w:val="0"/>
          <w:numId w:val="8"/>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1.</w:t>
      </w:r>
      <w:r w:rsidRPr="00C90A19">
        <w:rPr>
          <w:rFonts w:ascii="Arial" w:eastAsia="Times New Roman" w:hAnsi="Arial" w:cs="Arial"/>
          <w:sz w:val="27"/>
          <w:szCs w:val="27"/>
          <w:lang w:eastAsia="nl-NL"/>
        </w:rPr>
        <w:t>Het Dagelijks Bestuur kan de door het Algemeen Bestuur benoemde accountant opdracht geven tot het uitvoeren van specifieke werkzaamheden met betrekking tot de rechtmatigheid, de doelmatigheid en de doeltreffendheid voor zover de onafhankelijkheid van de accountant daarmee niet in het geding komt. Het Dagelijks Bestuur informeert het Algemeen Bestuur vooraf over deze aan de accountant te verstrekken opdrachten.</w:t>
      </w:r>
    </w:p>
    <w:p w14:paraId="10525D39" w14:textId="77777777" w:rsidR="00C90A19" w:rsidRPr="00C90A19" w:rsidRDefault="00C90A19" w:rsidP="00C90A19">
      <w:pPr>
        <w:numPr>
          <w:ilvl w:val="0"/>
          <w:numId w:val="8"/>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2.</w:t>
      </w:r>
      <w:r w:rsidRPr="00C90A19">
        <w:rPr>
          <w:rFonts w:ascii="Arial" w:eastAsia="Times New Roman" w:hAnsi="Arial" w:cs="Arial"/>
          <w:sz w:val="27"/>
          <w:szCs w:val="27"/>
          <w:lang w:eastAsia="nl-NL"/>
        </w:rPr>
        <w:t>Het Dagelijks Bestuur draagt de zorg voor de uitvoering van het beleid betreffende de specifieke uitkeringen volgens de eisen van rechtmatigheid van de ministeries. Het Dagelijks Bestuur is voor de controle van de rechtmatige besteding van specifieke uitkeringen bevoegd de opdracht te verlenen aan een andere dan de door het Algemeen Bestuur benoemde accountant, indien dit in het belang van het samenwerkingsorgaan is.</w:t>
      </w:r>
    </w:p>
    <w:p w14:paraId="42CF1D10" w14:textId="77777777" w:rsidR="00C90A19" w:rsidRPr="00C90A19" w:rsidRDefault="00C90A19" w:rsidP="00C90A19">
      <w:pPr>
        <w:numPr>
          <w:ilvl w:val="0"/>
          <w:numId w:val="8"/>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3.</w:t>
      </w:r>
      <w:r w:rsidRPr="00C90A19">
        <w:rPr>
          <w:rFonts w:ascii="Arial" w:eastAsia="Times New Roman" w:hAnsi="Arial" w:cs="Arial"/>
          <w:sz w:val="27"/>
          <w:szCs w:val="27"/>
          <w:lang w:eastAsia="nl-NL"/>
        </w:rPr>
        <w:t>Het Dagelijks Bestuur draagt de zorg voor de verantwoording aan derden (Belastingdienst, ABP, Sociale verzekeringsbank, CBS, e.d.) en neemt hierbij de gestelde controle-eisen in acht. Indien een deel van deze vereisten moet worden uitgevoerd door een accountant, is het Dagelijks Bestuur bevoegd hiervoor de opdracht verlenen aan een andere dan de door het Algemeen Bestuur benoemde accountant, indien dit in het belang van het samenwerkingsorgaan is.</w:t>
      </w:r>
    </w:p>
    <w:p w14:paraId="1E9AC1FC"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7. Rapportering</w:t>
      </w:r>
    </w:p>
    <w:p w14:paraId="3210ABDA" w14:textId="77777777" w:rsidR="00C90A19" w:rsidRPr="00C90A19" w:rsidRDefault="00C90A19" w:rsidP="00C90A19">
      <w:pPr>
        <w:numPr>
          <w:ilvl w:val="0"/>
          <w:numId w:val="9"/>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1.</w:t>
      </w:r>
      <w:r w:rsidRPr="00C90A19">
        <w:rPr>
          <w:rFonts w:ascii="Arial" w:eastAsia="Times New Roman" w:hAnsi="Arial" w:cs="Arial"/>
          <w:sz w:val="27"/>
          <w:szCs w:val="27"/>
          <w:lang w:eastAsia="nl-NL"/>
        </w:rPr>
        <w:t>Indien de accountant bij een controle afwijkingen constateert die leiden tot het niet afgeven van een goedkeurende verklaring, meldt hij deze terstond schriftelijk aan het Algemeen Bestuur en zendt een afschrift hiervan aan het Dagelijks Bestuur.</w:t>
      </w:r>
    </w:p>
    <w:p w14:paraId="449D92BA" w14:textId="77777777" w:rsidR="00C90A19" w:rsidRPr="00C90A19" w:rsidRDefault="00C90A19" w:rsidP="00C90A19">
      <w:pPr>
        <w:numPr>
          <w:ilvl w:val="0"/>
          <w:numId w:val="9"/>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2.</w:t>
      </w:r>
      <w:r w:rsidRPr="00C90A19">
        <w:rPr>
          <w:rFonts w:ascii="Arial" w:eastAsia="Times New Roman" w:hAnsi="Arial" w:cs="Arial"/>
          <w:sz w:val="27"/>
          <w:szCs w:val="27"/>
          <w:lang w:eastAsia="nl-NL"/>
        </w:rPr>
        <w:t>In aanvulling op het in de wet voorgeschreven verslag van bevindingen brengt de accountant over de door hem uitgevoerde (deel)controles verslag uit over zijn bevindingen van niet van bestuurlijk belang aan, de (concern-)controller en de secretaris-directeur.</w:t>
      </w:r>
    </w:p>
    <w:p w14:paraId="6C12BCD0" w14:textId="77777777" w:rsidR="00C90A19" w:rsidRPr="00C90A19" w:rsidRDefault="00C90A19" w:rsidP="00C90A19">
      <w:pPr>
        <w:numPr>
          <w:ilvl w:val="0"/>
          <w:numId w:val="9"/>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lastRenderedPageBreak/>
        <w:t>3.</w:t>
      </w:r>
      <w:r w:rsidRPr="00C90A19">
        <w:rPr>
          <w:rFonts w:ascii="Arial" w:eastAsia="Times New Roman" w:hAnsi="Arial" w:cs="Arial"/>
          <w:sz w:val="27"/>
          <w:szCs w:val="27"/>
          <w:lang w:eastAsia="nl-NL"/>
        </w:rPr>
        <w:t>De controleverklaring en het verslag van bevindingen worden voor verzending aan het Algemeen Bestuur door de accountant aan het Dagelijks Bestuur voorgelegd met de mogelijkheid voor het Dagelijks Bestuur om op deze stukken te reageren.</w:t>
      </w:r>
    </w:p>
    <w:p w14:paraId="25E27033" w14:textId="77777777" w:rsidR="00C90A19" w:rsidRPr="00C90A19" w:rsidRDefault="00C90A19" w:rsidP="00C90A19">
      <w:pPr>
        <w:numPr>
          <w:ilvl w:val="0"/>
          <w:numId w:val="9"/>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4.</w:t>
      </w:r>
      <w:r w:rsidRPr="00C90A19">
        <w:rPr>
          <w:rFonts w:ascii="Arial" w:eastAsia="Times New Roman" w:hAnsi="Arial" w:cs="Arial"/>
          <w:sz w:val="27"/>
          <w:szCs w:val="27"/>
          <w:lang w:eastAsia="nl-NL"/>
        </w:rPr>
        <w:t>De accountant bespreekt, indien daar behoefte aan is, voorafgaand aan de behandeling van de jaarstukken in het Algemeen Bestuur, het verslag van bevindingen met de Auditcommissie.</w:t>
      </w:r>
    </w:p>
    <w:p w14:paraId="7AF71915"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8. Intrekking oude regeling</w:t>
      </w:r>
    </w:p>
    <w:p w14:paraId="748A428C"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De Controleverordening samenwerkingsorgaan Holland Rijnland vastgesteld door het Algemeen Bestuur op 14 december 2011, wordt gelijktijdig met de inwerkingtreding van deze verordening ingetrokken.</w:t>
      </w:r>
    </w:p>
    <w:p w14:paraId="7727E1E1"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9. Inwerkingtreding</w:t>
      </w:r>
    </w:p>
    <w:p w14:paraId="501159AB" w14:textId="77777777" w:rsidR="00C90A19" w:rsidRPr="00C90A19" w:rsidRDefault="00C90A19" w:rsidP="00C90A19">
      <w:pPr>
        <w:numPr>
          <w:ilvl w:val="0"/>
          <w:numId w:val="10"/>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1.</w:t>
      </w:r>
      <w:r w:rsidRPr="00C90A19">
        <w:rPr>
          <w:rFonts w:ascii="Arial" w:eastAsia="Times New Roman" w:hAnsi="Arial" w:cs="Arial"/>
          <w:sz w:val="27"/>
          <w:szCs w:val="27"/>
          <w:lang w:eastAsia="nl-NL"/>
        </w:rPr>
        <w:t>Deze verordening treedt op 1 april 2019 inwerking.</w:t>
      </w:r>
    </w:p>
    <w:p w14:paraId="44A9C25F" w14:textId="77777777" w:rsidR="00C90A19" w:rsidRPr="00C90A19" w:rsidRDefault="00C90A19" w:rsidP="00C90A19">
      <w:pPr>
        <w:numPr>
          <w:ilvl w:val="0"/>
          <w:numId w:val="10"/>
        </w:num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2.</w:t>
      </w:r>
      <w:r w:rsidRPr="00C90A19">
        <w:rPr>
          <w:rFonts w:ascii="Arial" w:eastAsia="Times New Roman" w:hAnsi="Arial" w:cs="Arial"/>
          <w:sz w:val="27"/>
          <w:szCs w:val="27"/>
          <w:lang w:eastAsia="nl-NL"/>
        </w:rPr>
        <w:t>Deze verordening is van toepassing op de accountantscontrole van de jaarrekening (en deelverantwoordingen) vanaf het verslagjaar 2019.</w:t>
      </w:r>
    </w:p>
    <w:p w14:paraId="3F929AC4" w14:textId="77777777" w:rsidR="00C90A19" w:rsidRPr="00C90A19" w:rsidRDefault="00C90A19" w:rsidP="00C90A19">
      <w:pPr>
        <w:shd w:val="clear" w:color="auto" w:fill="FFFFFF"/>
        <w:spacing w:after="120" w:line="240" w:lineRule="auto"/>
        <w:outlineLvl w:val="1"/>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Artikel 10. Citeertitel</w:t>
      </w:r>
    </w:p>
    <w:p w14:paraId="76482C63"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Deze verordening kan worden aangehaald als “Controleverordening samenwerkingsorgaan Holland Rijnland 2019”.</w:t>
      </w:r>
    </w:p>
    <w:p w14:paraId="49DBD457" w14:textId="77777777" w:rsidR="00C90A19" w:rsidRPr="00C90A19" w:rsidRDefault="00C90A19" w:rsidP="00C90A19">
      <w:pPr>
        <w:shd w:val="clear" w:color="auto" w:fill="FFFFFF"/>
        <w:spacing w:after="120" w:line="240" w:lineRule="auto"/>
        <w:outlineLvl w:val="3"/>
        <w:rPr>
          <w:rFonts w:ascii="Arial" w:eastAsia="Times New Roman" w:hAnsi="Arial" w:cs="Arial"/>
          <w:b/>
          <w:bCs/>
          <w:sz w:val="27"/>
          <w:szCs w:val="27"/>
          <w:lang w:eastAsia="nl-NL"/>
        </w:rPr>
      </w:pPr>
      <w:r w:rsidRPr="00C90A19">
        <w:rPr>
          <w:rFonts w:ascii="Arial" w:eastAsia="Times New Roman" w:hAnsi="Arial" w:cs="Arial"/>
          <w:b/>
          <w:bCs/>
          <w:sz w:val="27"/>
          <w:szCs w:val="27"/>
          <w:lang w:eastAsia="nl-NL"/>
        </w:rPr>
        <w:t>Ondertekening</w:t>
      </w:r>
    </w:p>
    <w:p w14:paraId="116DE98C" w14:textId="77777777" w:rsidR="00C90A19" w:rsidRPr="00C90A19" w:rsidRDefault="00C90A19" w:rsidP="00C90A19">
      <w:pPr>
        <w:shd w:val="clear" w:color="auto" w:fill="FFFFFF"/>
        <w:spacing w:after="240" w:line="240" w:lineRule="auto"/>
        <w:rPr>
          <w:rFonts w:ascii="Arial" w:eastAsia="Times New Roman" w:hAnsi="Arial" w:cs="Arial"/>
          <w:i/>
          <w:iCs/>
          <w:sz w:val="27"/>
          <w:szCs w:val="27"/>
          <w:lang w:eastAsia="nl-NL"/>
        </w:rPr>
      </w:pPr>
      <w:r w:rsidRPr="00C90A19">
        <w:rPr>
          <w:rFonts w:ascii="Arial" w:eastAsia="Times New Roman" w:hAnsi="Arial" w:cs="Arial"/>
          <w:i/>
          <w:iCs/>
          <w:sz w:val="27"/>
          <w:szCs w:val="27"/>
          <w:lang w:eastAsia="nl-NL"/>
        </w:rPr>
        <w:t>Aldus vastgesteld in de openbare vergadering van het Algemeen Bestuur van 13 maart 2019.</w:t>
      </w:r>
    </w:p>
    <w:p w14:paraId="40A54E77" w14:textId="77777777" w:rsidR="00C90A19" w:rsidRPr="00C90A19" w:rsidRDefault="00C90A19" w:rsidP="00C90A19">
      <w:pPr>
        <w:shd w:val="clear" w:color="auto" w:fill="FFFFFF"/>
        <w:spacing w:after="240" w:line="240" w:lineRule="auto"/>
        <w:rPr>
          <w:rFonts w:ascii="Arial" w:eastAsia="Times New Roman" w:hAnsi="Arial" w:cs="Arial"/>
          <w:i/>
          <w:iCs/>
          <w:sz w:val="27"/>
          <w:szCs w:val="27"/>
          <w:lang w:eastAsia="nl-NL"/>
        </w:rPr>
      </w:pPr>
      <w:r w:rsidRPr="00C90A19">
        <w:rPr>
          <w:rFonts w:ascii="Arial" w:eastAsia="Times New Roman" w:hAnsi="Arial" w:cs="Arial"/>
          <w:i/>
          <w:iCs/>
          <w:sz w:val="27"/>
          <w:szCs w:val="27"/>
          <w:lang w:eastAsia="nl-NL"/>
        </w:rPr>
        <w:t>De secretaris,</w:t>
      </w:r>
    </w:p>
    <w:p w14:paraId="20C00453" w14:textId="77777777" w:rsidR="00C90A19" w:rsidRPr="00C90A19" w:rsidRDefault="00C90A19" w:rsidP="00C90A19">
      <w:pPr>
        <w:shd w:val="clear" w:color="auto" w:fill="FFFFFF"/>
        <w:spacing w:after="240" w:line="240" w:lineRule="auto"/>
        <w:rPr>
          <w:rFonts w:ascii="Arial" w:eastAsia="Times New Roman" w:hAnsi="Arial" w:cs="Arial"/>
          <w:i/>
          <w:iCs/>
          <w:sz w:val="27"/>
          <w:szCs w:val="27"/>
          <w:lang w:eastAsia="nl-NL"/>
        </w:rPr>
      </w:pPr>
      <w:r w:rsidRPr="00C90A19">
        <w:rPr>
          <w:rFonts w:ascii="Arial" w:eastAsia="Times New Roman" w:hAnsi="Arial" w:cs="Arial"/>
          <w:i/>
          <w:iCs/>
          <w:sz w:val="27"/>
          <w:szCs w:val="27"/>
          <w:lang w:eastAsia="nl-NL"/>
        </w:rPr>
        <w:t>L.A.M. Bakker</w:t>
      </w:r>
    </w:p>
    <w:p w14:paraId="01729682" w14:textId="77777777" w:rsidR="00C90A19" w:rsidRPr="00C90A19" w:rsidRDefault="00C90A19" w:rsidP="00C90A19">
      <w:pPr>
        <w:shd w:val="clear" w:color="auto" w:fill="FFFFFF"/>
        <w:spacing w:after="240" w:line="240" w:lineRule="auto"/>
        <w:rPr>
          <w:rFonts w:ascii="Arial" w:eastAsia="Times New Roman" w:hAnsi="Arial" w:cs="Arial"/>
          <w:i/>
          <w:iCs/>
          <w:sz w:val="27"/>
          <w:szCs w:val="27"/>
          <w:lang w:eastAsia="nl-NL"/>
        </w:rPr>
      </w:pPr>
      <w:r w:rsidRPr="00C90A19">
        <w:rPr>
          <w:rFonts w:ascii="Arial" w:eastAsia="Times New Roman" w:hAnsi="Arial" w:cs="Arial"/>
          <w:i/>
          <w:iCs/>
          <w:sz w:val="27"/>
          <w:szCs w:val="27"/>
          <w:lang w:eastAsia="nl-NL"/>
        </w:rPr>
        <w:t>de voorzitter,</w:t>
      </w:r>
    </w:p>
    <w:p w14:paraId="2404AF1A" w14:textId="77777777" w:rsidR="00C90A19" w:rsidRPr="00C90A19" w:rsidRDefault="00C90A19" w:rsidP="00C90A19">
      <w:pPr>
        <w:shd w:val="clear" w:color="auto" w:fill="FFFFFF"/>
        <w:spacing w:after="240" w:line="240" w:lineRule="auto"/>
        <w:rPr>
          <w:rFonts w:ascii="Arial" w:eastAsia="Times New Roman" w:hAnsi="Arial" w:cs="Arial"/>
          <w:i/>
          <w:iCs/>
          <w:sz w:val="27"/>
          <w:szCs w:val="27"/>
          <w:lang w:eastAsia="nl-NL"/>
        </w:rPr>
      </w:pPr>
      <w:r w:rsidRPr="00C90A19">
        <w:rPr>
          <w:rFonts w:ascii="Arial" w:eastAsia="Times New Roman" w:hAnsi="Arial" w:cs="Arial"/>
          <w:i/>
          <w:iCs/>
          <w:sz w:val="27"/>
          <w:szCs w:val="27"/>
          <w:lang w:eastAsia="nl-NL"/>
        </w:rPr>
        <w:t xml:space="preserve">H.J.J. </w:t>
      </w:r>
      <w:proofErr w:type="spellStart"/>
      <w:r w:rsidRPr="00C90A19">
        <w:rPr>
          <w:rFonts w:ascii="Arial" w:eastAsia="Times New Roman" w:hAnsi="Arial" w:cs="Arial"/>
          <w:i/>
          <w:iCs/>
          <w:sz w:val="27"/>
          <w:szCs w:val="27"/>
          <w:lang w:eastAsia="nl-NL"/>
        </w:rPr>
        <w:t>Lenferink</w:t>
      </w:r>
      <w:proofErr w:type="spellEnd"/>
    </w:p>
    <w:p w14:paraId="62BE42EC" w14:textId="77777777" w:rsidR="00C90A19" w:rsidRPr="00C90A19" w:rsidRDefault="00C90A19" w:rsidP="00C90A19">
      <w:pPr>
        <w:shd w:val="clear" w:color="auto" w:fill="FFFFFF"/>
        <w:spacing w:after="150" w:line="300" w:lineRule="atLeast"/>
        <w:outlineLvl w:val="1"/>
        <w:rPr>
          <w:rFonts w:ascii="Arial" w:eastAsia="Times New Roman" w:hAnsi="Arial" w:cs="Arial"/>
          <w:b/>
          <w:bCs/>
          <w:sz w:val="49"/>
          <w:szCs w:val="49"/>
          <w:lang w:eastAsia="nl-NL"/>
        </w:rPr>
      </w:pPr>
      <w:r w:rsidRPr="00C90A19">
        <w:rPr>
          <w:rFonts w:ascii="Arial" w:eastAsia="Times New Roman" w:hAnsi="Arial" w:cs="Arial"/>
          <w:b/>
          <w:bCs/>
          <w:sz w:val="49"/>
          <w:szCs w:val="49"/>
          <w:lang w:eastAsia="nl-NL"/>
        </w:rPr>
        <w:t>Toelichting op de artikelen</w:t>
      </w:r>
    </w:p>
    <w:p w14:paraId="381A5235"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Artikel 2. Opdrachtverlening accountantscontrole</w:t>
      </w:r>
    </w:p>
    <w:p w14:paraId="64D07DCA"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Na afloop van ieder begrotingsjaar moet het Dagelijks Bestuur verantwoording afleggen aan het Algemeen Bestuur over het gevoerde bestuur door overlegging van de jaarrekening en het jaarverslag (artikel 197, lid 1 Gemeentewet). Artikel 2 van de verordening regelt de </w:t>
      </w:r>
      <w:r w:rsidRPr="00C90A19">
        <w:rPr>
          <w:rFonts w:ascii="Arial" w:eastAsia="Times New Roman" w:hAnsi="Arial" w:cs="Arial"/>
          <w:sz w:val="27"/>
          <w:szCs w:val="27"/>
          <w:lang w:eastAsia="nl-NL"/>
        </w:rPr>
        <w:lastRenderedPageBreak/>
        <w:t>opdrachtverlening van de accountantscontrole van de jaarrekening. Voor het overleggen van deze stukken aan het Algemeen Bestuur moet de jaarrekening door een bevoegd accountant zijn gecontroleerd (artikel 197, lid 2 Gemeentewet). De accountant controleert de jaarrekening in opdracht van het Algemeen Bestuur. Het is dan ook het Algemeen Bestuur, die de accountant aanwijst (artikel 213, lid 2 Gemeentewet). Het Algemeen Bestuur is echter niet het bestuursorgaan, dat de overeenkomst met de accountant ondertekent. Het is de voorzitter, die de overeenkomst voor de accountantscontrole met de accountant moet sluiten. De voorzitter vertegenwoordigt het samenwerkingsorgaan in en buiten rechte, luidt het derde lid van artikel 21 Gemeenschappelijke regeling Holland Rijnland.</w:t>
      </w:r>
    </w:p>
    <w:p w14:paraId="2D76939D"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Het eerste lid legt de periode van de verbintenis met de accountant voor de controle van de jaarrekening vast.</w:t>
      </w:r>
    </w:p>
    <w:p w14:paraId="3909B0B9"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Het tweede lid regelt dat het Dagelijks Bestuur verantwoordelijk is voor de uitvoering van de aanbesteding van de accountantscontrole van de jaarrekening. Voor de accountantscontrole geldt het Besluit accountantscontrole decentrale overheden (BADO) dat krachtens het zesde lid van artikel 213 Gemeentewet door de minister is vastgesteld. Dit Besluit bevat onder andere regels voor de </w:t>
      </w:r>
      <w:proofErr w:type="spellStart"/>
      <w:r w:rsidRPr="00C90A19">
        <w:rPr>
          <w:rFonts w:ascii="Arial" w:eastAsia="Times New Roman" w:hAnsi="Arial" w:cs="Arial"/>
          <w:sz w:val="27"/>
          <w:szCs w:val="27"/>
          <w:lang w:eastAsia="nl-NL"/>
        </w:rPr>
        <w:t>omvangsbasis</w:t>
      </w:r>
      <w:proofErr w:type="spellEnd"/>
      <w:r w:rsidRPr="00C90A19">
        <w:rPr>
          <w:rFonts w:ascii="Arial" w:eastAsia="Times New Roman" w:hAnsi="Arial" w:cs="Arial"/>
          <w:sz w:val="27"/>
          <w:szCs w:val="27"/>
          <w:lang w:eastAsia="nl-NL"/>
        </w:rPr>
        <w:t xml:space="preserve"> en goedkeuringstoleranties voor de controleverklaring en de rapporteringstoleranties voor het verslag van bevindingen.</w:t>
      </w:r>
    </w:p>
    <w:p w14:paraId="43CD7602"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In het derde lid van artikel 2 wordt invulling gegeven aan het gebruik van de mogelijkheden van het Algemeen Bestuur met betrekking tot de nadere bepaling van de toleranties. Ze moeten al bij de aanbesteding van de accountantscontrole worden bepaald en zodoende worden opgenomen in het programma van eisen. Een aanscherping van de eisen door het Algemeen Bestuur zal in veel gevallen leiden tot een hogere prijsstelling door de accountant(s). Daarnaast zijn onder dit lid aanvullende zaken opgenomen over eisen die het Algemeen Bestuur kan stellen aan de werkzaamheden van de accountant, zoals aanvullende inrichtingseisen voor het verslag van bevindingen en aanvullende extra rapportages en controles.</w:t>
      </w:r>
    </w:p>
    <w:p w14:paraId="3C350B89"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Als blijkt dat de gerealiseerde lasten zoals weergegeven in de jaarrekening hoger zijn dan de geraamde bedragen met inbegrip van de laatste begrotingswijziging, is – voor zover het de begrotingsoverschrijdingen betreft - mogelijk sprake van onrechtmatige uitgaven. De overschrijding kan namelijk in strijd zijn met het budgetrecht van het Algemeen Bestuur Voor de afsluitende oordeelsvorming is van belang in hoeverre de begrotingsoverschrijding past binnen het door het Algemeen Bestuur geformuleerde beleid en/of wordt gecompenseerd door aan de lasten gerelateerde hogere inkomsten. Het bepalen </w:t>
      </w:r>
      <w:proofErr w:type="spellStart"/>
      <w:r w:rsidRPr="00C90A19">
        <w:rPr>
          <w:rFonts w:ascii="Arial" w:eastAsia="Times New Roman" w:hAnsi="Arial" w:cs="Arial"/>
          <w:sz w:val="27"/>
          <w:szCs w:val="27"/>
          <w:lang w:eastAsia="nl-NL"/>
        </w:rPr>
        <w:t>òf</w:t>
      </w:r>
      <w:proofErr w:type="spellEnd"/>
      <w:r w:rsidRPr="00C90A19">
        <w:rPr>
          <w:rFonts w:ascii="Arial" w:eastAsia="Times New Roman" w:hAnsi="Arial" w:cs="Arial"/>
          <w:sz w:val="27"/>
          <w:szCs w:val="27"/>
          <w:lang w:eastAsia="nl-NL"/>
        </w:rPr>
        <w:t xml:space="preserve"> respectievelijk welke begrotingsoverschrijdingen al dan niet verwijtbaar zijn, is voorbehouden </w:t>
      </w:r>
      <w:r w:rsidRPr="00C90A19">
        <w:rPr>
          <w:rFonts w:ascii="Arial" w:eastAsia="Times New Roman" w:hAnsi="Arial" w:cs="Arial"/>
          <w:sz w:val="27"/>
          <w:szCs w:val="27"/>
          <w:lang w:eastAsia="nl-NL"/>
        </w:rPr>
        <w:lastRenderedPageBreak/>
        <w:t>aan het Algemeen Bestuur. Overigens werken begrotingsonrechtmatigheden niet door naar het accountantsoordeel. Eventuele materiële begrotingsafwijkingen zullen daarom niet in de accountantsverklaring vermeld worden, maar wel in het verslag van bevindingen worden gerapporteerd.</w:t>
      </w:r>
    </w:p>
    <w:p w14:paraId="5A085452"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Conform het Programma van Eisen valt onder de accountantscontrole de controle op de getrouwheid van de gemeenterekening, op de rechtmatigheid van baten, lasten en balansmutaties, op de overeenstemming met bij of krachtens algemene maatregel van bestuur te stellen regels, alsmede op de inrichting van het financiële beheer en de financiële organisatie.</w:t>
      </w:r>
    </w:p>
    <w:p w14:paraId="0C97A78E"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De controlewerkzaamheden betreffen derhalve ook de administratieve organisatie en (verbijzonderde) interne controle. Als referentiekader gelden hierbij de (Gemeente)wet, het Besluit Begroting en Verantwoording, het Besluit Accountantscontrole decentrale overheden, richtlijnen in het kader van de single audit, wettelijke regelingen, controleprotocollen van de diverse departementen, besluiten, verordeningen, gemeentelijke voorschriften en richtlijnen van Holland Rijnland.</w:t>
      </w:r>
    </w:p>
    <w:p w14:paraId="3103BD4A"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Mogelijk zal het Algemeen Bestuur de onderdelen van de jaarrekening, de onderdelen van deelverantwoordingen en organisatieonderdelen van het samenwerkingsorgaan jaar op jaar willen vaststellen. Dit daar het Algemeen Bestuur dan rekening kan houden met gewijzigde politieke omstandigheden. Hierin voorziet het vierde lid van artikel 2. Het is raadzaam om ook hierover bepalingen in het programma van eisen bij de aanbesteding en opdrachtverlening op te nemen.</w:t>
      </w:r>
    </w:p>
    <w:p w14:paraId="77819D64"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Het is mogelijk dat het bedrag dat is gemoeid met de accountantscontrole van de jaarrekening zo hoog is, dat de accountantscontrole Europees moet worden aanbesteed. Dit hangt natuurlijk ook af van de </w:t>
      </w:r>
      <w:proofErr w:type="spellStart"/>
      <w:r w:rsidRPr="00C90A19">
        <w:rPr>
          <w:rFonts w:ascii="Arial" w:eastAsia="Times New Roman" w:hAnsi="Arial" w:cs="Arial"/>
          <w:sz w:val="27"/>
          <w:szCs w:val="27"/>
          <w:lang w:eastAsia="nl-NL"/>
        </w:rPr>
        <w:t>contractsduur</w:t>
      </w:r>
      <w:proofErr w:type="spellEnd"/>
      <w:r w:rsidRPr="00C90A19">
        <w:rPr>
          <w:rFonts w:ascii="Arial" w:eastAsia="Times New Roman" w:hAnsi="Arial" w:cs="Arial"/>
          <w:sz w:val="27"/>
          <w:szCs w:val="27"/>
          <w:lang w:eastAsia="nl-NL"/>
        </w:rPr>
        <w:t xml:space="preserve">, die met de accountant wordt aangegaan. Bij een langere </w:t>
      </w:r>
      <w:proofErr w:type="spellStart"/>
      <w:r w:rsidRPr="00C90A19">
        <w:rPr>
          <w:rFonts w:ascii="Arial" w:eastAsia="Times New Roman" w:hAnsi="Arial" w:cs="Arial"/>
          <w:sz w:val="27"/>
          <w:szCs w:val="27"/>
          <w:lang w:eastAsia="nl-NL"/>
        </w:rPr>
        <w:t>contractsduur</w:t>
      </w:r>
      <w:proofErr w:type="spellEnd"/>
      <w:r w:rsidRPr="00C90A19">
        <w:rPr>
          <w:rFonts w:ascii="Arial" w:eastAsia="Times New Roman" w:hAnsi="Arial" w:cs="Arial"/>
          <w:sz w:val="27"/>
          <w:szCs w:val="27"/>
          <w:lang w:eastAsia="nl-NL"/>
        </w:rPr>
        <w:t xml:space="preserve"> zal de prijs van het contract eveneens hoger zijn. Bij Europese aanbesteding zijn het de selectiecriteria en de bijbehorende wegingsfactoren, die uiteindelijk de selectie van de accountant voor de controle van jaarrekening bepalen. Het Algemeen Bestuur is het bestuursorgaan, dat de accountant aanwijst en dat dus de selectiecriteria en de bijbehorende wegingsfactoren moet vaststellen.</w:t>
      </w:r>
    </w:p>
    <w:p w14:paraId="427FF98B"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Artikel 3. Informatieverstrekking door het Dagelijks Bestuur</w:t>
      </w:r>
    </w:p>
    <w:p w14:paraId="429518D8"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In de nieuwe </w:t>
      </w:r>
      <w:proofErr w:type="spellStart"/>
      <w:r w:rsidRPr="00C90A19">
        <w:rPr>
          <w:rFonts w:ascii="Arial" w:eastAsia="Times New Roman" w:hAnsi="Arial" w:cs="Arial"/>
          <w:sz w:val="27"/>
          <w:szCs w:val="27"/>
          <w:lang w:eastAsia="nl-NL"/>
        </w:rPr>
        <w:t>gedualiseerde</w:t>
      </w:r>
      <w:proofErr w:type="spellEnd"/>
      <w:r w:rsidRPr="00C90A19">
        <w:rPr>
          <w:rFonts w:ascii="Arial" w:eastAsia="Times New Roman" w:hAnsi="Arial" w:cs="Arial"/>
          <w:sz w:val="27"/>
          <w:szCs w:val="27"/>
          <w:lang w:eastAsia="nl-NL"/>
        </w:rPr>
        <w:t xml:space="preserve"> verhoudingen is het Dagelijks Bestuur verantwoordelijk voor de samenstelling van de jaarrekening en het jaarverslag. Ten opzichte van het Algemeen Bestuur is het Dagelijks Bestuur ook verantwoordelijk voor de samenstelling van eventuele door het </w:t>
      </w:r>
      <w:r w:rsidRPr="00C90A19">
        <w:rPr>
          <w:rFonts w:ascii="Arial" w:eastAsia="Times New Roman" w:hAnsi="Arial" w:cs="Arial"/>
          <w:sz w:val="27"/>
          <w:szCs w:val="27"/>
          <w:lang w:eastAsia="nl-NL"/>
        </w:rPr>
        <w:lastRenderedPageBreak/>
        <w:t>Algemeen Bestuur geëiste deelverantwoordingen. Artikel 3 van de verordening regelt de verplichtingen van het Dagelijks Bestuur voor de verstrekking van de achterliggende informatie aan de accountant.</w:t>
      </w:r>
    </w:p>
    <w:p w14:paraId="6CE6FE04"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Voor de controle van de jaarrekening doet de accountant onderzoek naar de achterliggende stukken. Het tweede lid draagt aan het Dagelijks Bestuur op deze achterliggende bescheiden goed toegankelijk ter inzage aan de accountant beschikbaar te stellen.</w:t>
      </w:r>
    </w:p>
    <w:p w14:paraId="74ABE0B4"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Het derde lid is een optioneel lid. Het verplicht het Dagelijks Bestuur een verklaring af te geven aan de accountant, waarin het Dagelijks Bestuur verklaart geen informatie die van belang is voor de beoordeling van de jaarrekening, te hebben achtergehouden. De verklaring wordt ook wel een LOR (Letter Of </w:t>
      </w:r>
      <w:proofErr w:type="spellStart"/>
      <w:r w:rsidRPr="00C90A19">
        <w:rPr>
          <w:rFonts w:ascii="Arial" w:eastAsia="Times New Roman" w:hAnsi="Arial" w:cs="Arial"/>
          <w:sz w:val="27"/>
          <w:szCs w:val="27"/>
          <w:lang w:eastAsia="nl-NL"/>
        </w:rPr>
        <w:t>Representation</w:t>
      </w:r>
      <w:proofErr w:type="spellEnd"/>
      <w:r w:rsidRPr="00C90A19">
        <w:rPr>
          <w:rFonts w:ascii="Arial" w:eastAsia="Times New Roman" w:hAnsi="Arial" w:cs="Arial"/>
          <w:sz w:val="27"/>
          <w:szCs w:val="27"/>
          <w:lang w:eastAsia="nl-NL"/>
        </w:rPr>
        <w:t>) genoemd. Hoewel het een algemeen gebruik is, is het geen wettelijke verplichting, dat het Dagelijks Bestuur een dergelijke verklaring verstrekt.</w:t>
      </w:r>
    </w:p>
    <w:p w14:paraId="00D83FF9"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In het vierde lid wordt een uiterlijke datum aan het Dagelijks Bestuur gesteld voor de overlegging van de gecontroleerde jaarrekening aan het Algemeen Bestuur. De jaarrekening moet namelijk binnen twee weken na vaststelling, maar in elk geval voor 15 juli worden toegezonden aan Gedeputeerde Staten (artikel 34 Wet gemeenschappelijke regelingen). Voor deze datum, 1 juli, moet de jaarrekening door het Algemeen Bestuur zijn behandelt en moet een eventuele erop volgende indemniteitsprocedure (artikel 198 Gemeentewet) zijn doorlopen en de jaarrekening wel of niet zijn vastgesteld.</w:t>
      </w:r>
    </w:p>
    <w:p w14:paraId="031ADA33"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De accountant verzendt de controleverklaring en het verslag van bevindingen rechtstreeks aan het Algemeen Bestuur. Het tweede lid van artikel 197 Gemeentewet bepaalt echter, dat het Dagelijks Bestuur bij de overlegging van de jaarrekening en het jaarverslag aan het Algemeen Bestuur daarbij moet toevoegen de controleverklaring en het verslag van bevindingen.</w:t>
      </w:r>
    </w:p>
    <w:p w14:paraId="3831867C"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Het vijfde lid van het artikel gebiedt het Dagelijks Bestuur alle informatie die van invloed is op het beeld van de jaarrekening en pas na de afgifte van de controleverklaring, maar voor de vaststelling van de jaarrekening door het Algemeen Bestuur aan het Dagelijks Bestuur bekend is geworden, terstond te melden aan het Algemeen Bestuur en de accountant.</w:t>
      </w:r>
    </w:p>
    <w:p w14:paraId="5F010B9C"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Artikel 4. Inrichting accountantscontrole</w:t>
      </w:r>
    </w:p>
    <w:p w14:paraId="462758FB"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Artikel 4 van de verordening regelt de bevoegdheidsverdeling tussen de accountant en het Dagelijks Bestuur ten aanzien van de inrichting van de accountantscontrole. De accountant is leidend ten aanzien van de inrichting van de accountantscontrole. Hij mag zelfs onaangekondigd controles </w:t>
      </w:r>
      <w:r w:rsidRPr="00C90A19">
        <w:rPr>
          <w:rFonts w:ascii="Arial" w:eastAsia="Times New Roman" w:hAnsi="Arial" w:cs="Arial"/>
          <w:sz w:val="27"/>
          <w:szCs w:val="27"/>
          <w:lang w:eastAsia="nl-NL"/>
        </w:rPr>
        <w:lastRenderedPageBreak/>
        <w:t>uitvoeren. Het Dagelijks Bestuur is hierin volgend. Wel moet er ter bevordering van een soepele accountantscontrole periodiek overleg worden gevoerd tussen de accountant en de verschillende vertegenwoordigers van het samenwerkingsorgaan.</w:t>
      </w:r>
    </w:p>
    <w:p w14:paraId="6E8D71F1"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Artikel 5. Toegang tot informatie</w:t>
      </w:r>
    </w:p>
    <w:p w14:paraId="435925CF"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In het vorige artikel hebben we gezien dat de accountant leidend is voor wat betreft de inrichting van de accountantscontrole. Om een goede controle uit te voeren moet hij echter ook onbelemmerd onderzoek kunnen doen. Artikel 5 van de verordening kent de bevoegdheid om onbelemmerd onderzoek te doen toe aan de accountant. Dit natuurlijk met in achtneming van de afspraken met het Algemeen Bestuur, zoals neergelegd in het programma van eisen bij de aanbesteding. Het artikel legt aan het Dagelijks Bestuur de plicht op om er voor te zorgen, dat de accountant onbelemmerd toegang heeft tot alle gegevens van het samenwerkingsorgaan en de ambtenaren van het samenwerkingsorgaan volledig meewerken aan de accountantscontrole.</w:t>
      </w:r>
    </w:p>
    <w:p w14:paraId="4E0C4865"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Artikel 6. Overige controles en opdrachten</w:t>
      </w:r>
    </w:p>
    <w:p w14:paraId="48422E7F"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Naast de controle van de jaarrekening zijn er meer werkzaamheden binnen het samenwerkingsorgaan die de inzet van een accountant (kunnen) vereisen. Zo eisen ministeries voor de verantwoording over de uitvoering van de medebewindstaken door gemeenten (specifieke uitkeringen) vaak een aparte controleverklaring. De aanwijzing van de accountant voor onder andere dit soort accountantscontroles is een bevoegdheid van het Dagelijks Bestuur. Het Dagelijks Bestuur kan besluiten om advieswerkzaamheden uit te besteden aan de door het Algemeen Bestuur benoemde accountant. Het betreft hier vanzelfsprekend advieswerkzaamheden die samenhangen met de natuurlijke adviesfunctie van de accountant die de onafhankelijkheid van de accountant niet in gevaar brengen.</w:t>
      </w:r>
    </w:p>
    <w:p w14:paraId="2DFE95E1"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 xml:space="preserve">Het eerste lid van artikel 6 van de verordening regelt hoe het Dagelijks Bestuur moet omgaan met de uitbesteding van “advieswerkzaamheden” zoals de verbetering van de administratieve organisatie, aan de door het Algemeen Bestuur benoemde accountant. Door deze werkzaamheden te gunnen aan de door het Algemeen Bestuur benoemde accountant kan de onafhankelijkheid en daarmee de integriteit van de accountant ten aanzien van zijn controlewerkzaamheden voor het Algemeen Bestuur in het geding komen. Een eventuele belangenverstrengeling tussen het Dagelijks Bestuur en de accountant kan mogelijk een weerslag hebben op de kwaliteit van de controle van de jaarrekening. Hetzelfde geldt voor die gevallen waarbij de accountant bij de accountantscontrole zijn eigen werk moet controleren. Het Dagelijks Bestuur kan voor advieswerkzaamheden, bijvoorbeeld op het gebied van de bestuurlijke informatieverzorging, de door het Algemeen </w:t>
      </w:r>
      <w:r w:rsidRPr="00C90A19">
        <w:rPr>
          <w:rFonts w:ascii="Arial" w:eastAsia="Times New Roman" w:hAnsi="Arial" w:cs="Arial"/>
          <w:sz w:val="27"/>
          <w:szCs w:val="27"/>
          <w:lang w:eastAsia="nl-NL"/>
        </w:rPr>
        <w:lastRenderedPageBreak/>
        <w:t>Bestuur benoemde accountant inschakelen. Indien het Dagelijks Bestuur dit voornemen heeft, dient hij het Algemeen Bestuur hier vooraf over te informeren. Dit biedt het Algemeen Bestuur de mogelijkheid om over de desbetreffende uitbesteding van werkzaamheden zijn oordeel te vormen en zijn bedenkingen aan het Dagelijks Bestuur kenbaar te maken. Overigens wordt de accountantswetgeving op het gebied van dit soort advieswerkzaamheden de komende jaren aangescherpt.</w:t>
      </w:r>
    </w:p>
    <w:p w14:paraId="1AC8A71E"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Het tweede en het derde lid regelen, dat het Dagelijks Bestuur voor de overige controlewerkzaamheden in het algemeen de door het Algemeen Bestuur benoemde accountant inschakelt. Het Dagelijks Bestuur mag hiervan afwijken indien dit in het belang van het samenwerkingsorgaan is. De accountant die de jaarrekening controleert, is vaak bekend met de administraties. Daarbij kunnen controles van de jaarrekening en controles van medebewindstaken tegelijkertijd door één accountant worden uitgevoerd (single audit). Dit levert een aanzienlijke besparing op. In bepaalde gevallen is inschakeling van een andere accountant raadzaam en soms zelfs onoverkomelijk. De reden hiervoor kan van prijstechnische aard zijn, maar ook van bijvoorbeeld organisatorische aard. De verordening regelt dat het Dagelijks Bestuur in deze gevallen vrij is in de keuze van de accountant.</w:t>
      </w:r>
    </w:p>
    <w:p w14:paraId="1EBFDD3A"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Artikel 7. Rapportering</w:t>
      </w:r>
    </w:p>
    <w:p w14:paraId="4196BDCE"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Het derde en vierde lid van artikel 213 Gemeentewet regelt de rapportering en de inhoud daarvan van de accountant aan het Algemeen Bestuur en het Dagelijks Bestuur. Aanvullend daarop kan het Algemeen Bestuur in zijn programma van eisen bij de aanbesteding aanvullende inhoudelijke eisen stellen, maar ook aanvullende rapporteringen van de accountant verlangen (artikel 2, lid 3, letters c &amp; e van deze verordening). Artikel 7 regelt aanvullende zaken aangaande de rapportering op grond van de door de accountant uitgevoerde controles. Zaken die dan natuurlijk wel in het programma van eisen bij de aanbesteding moeten worden geregeld.</w:t>
      </w:r>
    </w:p>
    <w:p w14:paraId="4EFC6978"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Naast de uiteindelijke eindcontrole van de jaarrekening verricht de accountant meestal meerdere controles. Dit kunnen door het Algemeen Bestuur in het programma van eisen van de aanbesteding opgenomen tussentijdse controles (interim-controles) zijn. Het eerste lid van artikel 7 regelt, dat het Dagelijks Bestuur in elk geval bij geconstateerde afwijkingen door de accountant die leiden tot het niet afgeven van een goedkeurende verklaring bij de jaarrekening, een afschrift krijgt van de schriftelijke mededeling hierover aan het Algemeen Bestuur. Dit opdat het Dagelijks Bestuur (in overleg met het Algemeen Bestuur en de accountant) mogelijk nog tijdig maatregelen tot herstel kan treffen.</w:t>
      </w:r>
    </w:p>
    <w:p w14:paraId="4466EE12"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lastRenderedPageBreak/>
        <w:t>Het tweede lid van artikel 7 regelt, dat het management een rapportage krijgt van de door de accountant uitgevoerde (deel)controles. In deze rapportage worden kleine afwijkingen en tekortkomingen die niet leiden tot het niet afgeven van een goedkeurende verklaring en niet van bestuurlijk belang zijn, aan het management meegedeeld. Het gaat hierbij om bijvoorbeeld opmerkingen over (kleine) rubriceringfouten en (kleine) onvolkomenheden in de administratieve organisatie, welke eenvoudig in onderling overleg met het management van het samenwerkingsorgaan kunnen worden opgelost. Het management kan op grond van de rapportage actie ondernemen voor herstel van de afwijkingen en onvolkomenheden.</w:t>
      </w:r>
    </w:p>
    <w:p w14:paraId="3BC7FB56"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In het derde lid is vastgelegd dat de constateringen in het verslag van bevindingen voorafgaand aan verzending van de controleverklaring en het verslag van bevindingen aan het Algemeen Bestuur door de accountant worden besproken met het Dagelijks Bestuur. Het geeft het Dagelijks Bestuur nog de mogelijkheid kanttekeningen te plaatsen bij de constateringen in het (concept-)verslag van bevindingen.</w:t>
      </w:r>
    </w:p>
    <w:p w14:paraId="0201E112"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b/>
          <w:bCs/>
          <w:sz w:val="27"/>
          <w:szCs w:val="27"/>
          <w:lang w:eastAsia="nl-NL"/>
        </w:rPr>
        <w:t>Artikel 8 en 9. Intrekking oude regeling en inwerkingtreding nieuwe regeling</w:t>
      </w:r>
    </w:p>
    <w:p w14:paraId="1D242650" w14:textId="77777777" w:rsidR="00C90A19" w:rsidRPr="00C90A19" w:rsidRDefault="00C90A19" w:rsidP="00C90A19">
      <w:pPr>
        <w:shd w:val="clear" w:color="auto" w:fill="FFFFFF"/>
        <w:spacing w:after="240" w:line="240" w:lineRule="auto"/>
        <w:rPr>
          <w:rFonts w:ascii="Arial" w:eastAsia="Times New Roman" w:hAnsi="Arial" w:cs="Arial"/>
          <w:sz w:val="27"/>
          <w:szCs w:val="27"/>
          <w:lang w:eastAsia="nl-NL"/>
        </w:rPr>
      </w:pPr>
      <w:r w:rsidRPr="00C90A19">
        <w:rPr>
          <w:rFonts w:ascii="Arial" w:eastAsia="Times New Roman" w:hAnsi="Arial" w:cs="Arial"/>
          <w:sz w:val="27"/>
          <w:szCs w:val="27"/>
          <w:lang w:eastAsia="nl-NL"/>
        </w:rPr>
        <w:t>Deze verordening treedt in de plaats van de vorige op grond van artikel 213 Gemeentewet op 14 december 2011 vastgestelde verordening. De nieuwe verordening moet binnen twee weken na vaststelling door het Dagelijks Bestuur naar gedeputeerde staten worden verzonden (artikel 214 Gemeentewet).</w:t>
      </w:r>
    </w:p>
    <w:p w14:paraId="041A2935" w14:textId="77777777" w:rsidR="006D2093" w:rsidRPr="00C90A19" w:rsidRDefault="006D2093"/>
    <w:sectPr w:rsidR="006D2093" w:rsidRPr="00C90A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3E8D"/>
    <w:multiLevelType w:val="multilevel"/>
    <w:tmpl w:val="CF16F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665DE"/>
    <w:multiLevelType w:val="multilevel"/>
    <w:tmpl w:val="A274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4316D"/>
    <w:multiLevelType w:val="multilevel"/>
    <w:tmpl w:val="CBC6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00BD6"/>
    <w:multiLevelType w:val="multilevel"/>
    <w:tmpl w:val="7CFC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517D8D"/>
    <w:multiLevelType w:val="multilevel"/>
    <w:tmpl w:val="B9AA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E29C2"/>
    <w:multiLevelType w:val="multilevel"/>
    <w:tmpl w:val="524E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764B7"/>
    <w:multiLevelType w:val="multilevel"/>
    <w:tmpl w:val="2318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564357"/>
    <w:multiLevelType w:val="multilevel"/>
    <w:tmpl w:val="32568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E12F7"/>
    <w:multiLevelType w:val="multilevel"/>
    <w:tmpl w:val="9AE2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5724B3"/>
    <w:multiLevelType w:val="multilevel"/>
    <w:tmpl w:val="2C262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0"/>
  </w:num>
  <w:num w:numId="4">
    <w:abstractNumId w:val="5"/>
  </w:num>
  <w:num w:numId="5">
    <w:abstractNumId w:val="1"/>
  </w:num>
  <w:num w:numId="6">
    <w:abstractNumId w:val="9"/>
  </w:num>
  <w:num w:numId="7">
    <w:abstractNumId w:val="2"/>
  </w:num>
  <w:num w:numId="8">
    <w:abstractNumId w:val="8"/>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A19"/>
    <w:rsid w:val="006D2093"/>
    <w:rsid w:val="00C90A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54BCC"/>
  <w15:chartTrackingRefBased/>
  <w15:docId w15:val="{E7FD8C67-0435-4EFD-B876-2754C98C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7771">
      <w:bodyDiv w:val="1"/>
      <w:marLeft w:val="0"/>
      <w:marRight w:val="0"/>
      <w:marTop w:val="0"/>
      <w:marBottom w:val="0"/>
      <w:divBdr>
        <w:top w:val="none" w:sz="0" w:space="0" w:color="auto"/>
        <w:left w:val="none" w:sz="0" w:space="0" w:color="auto"/>
        <w:bottom w:val="none" w:sz="0" w:space="0" w:color="auto"/>
        <w:right w:val="none" w:sz="0" w:space="0" w:color="auto"/>
      </w:divBdr>
      <w:divsChild>
        <w:div w:id="1201086449">
          <w:marLeft w:val="0"/>
          <w:marRight w:val="0"/>
          <w:marTop w:val="0"/>
          <w:marBottom w:val="0"/>
          <w:divBdr>
            <w:top w:val="none" w:sz="0" w:space="0" w:color="auto"/>
            <w:left w:val="none" w:sz="0" w:space="0" w:color="auto"/>
            <w:bottom w:val="none" w:sz="0" w:space="0" w:color="auto"/>
            <w:right w:val="none" w:sz="0" w:space="0" w:color="auto"/>
          </w:divBdr>
          <w:divsChild>
            <w:div w:id="825777124">
              <w:marLeft w:val="0"/>
              <w:marRight w:val="0"/>
              <w:marTop w:val="0"/>
              <w:marBottom w:val="0"/>
              <w:divBdr>
                <w:top w:val="none" w:sz="0" w:space="0" w:color="auto"/>
                <w:left w:val="none" w:sz="0" w:space="0" w:color="auto"/>
                <w:bottom w:val="none" w:sz="0" w:space="0" w:color="auto"/>
                <w:right w:val="none" w:sz="0" w:space="0" w:color="auto"/>
              </w:divBdr>
              <w:divsChild>
                <w:div w:id="1565483966">
                  <w:marLeft w:val="0"/>
                  <w:marRight w:val="0"/>
                  <w:marTop w:val="0"/>
                  <w:marBottom w:val="0"/>
                  <w:divBdr>
                    <w:top w:val="none" w:sz="0" w:space="0" w:color="auto"/>
                    <w:left w:val="none" w:sz="0" w:space="0" w:color="auto"/>
                    <w:bottom w:val="none" w:sz="0" w:space="0" w:color="auto"/>
                    <w:right w:val="none" w:sz="0" w:space="0" w:color="auto"/>
                  </w:divBdr>
                  <w:divsChild>
                    <w:div w:id="1120346549">
                      <w:marLeft w:val="0"/>
                      <w:marRight w:val="0"/>
                      <w:marTop w:val="0"/>
                      <w:marBottom w:val="480"/>
                      <w:divBdr>
                        <w:top w:val="none" w:sz="0" w:space="0" w:color="auto"/>
                        <w:left w:val="none" w:sz="0" w:space="0" w:color="auto"/>
                        <w:bottom w:val="none" w:sz="0" w:space="0" w:color="auto"/>
                        <w:right w:val="none" w:sz="0" w:space="0" w:color="auto"/>
                      </w:divBdr>
                    </w:div>
                  </w:divsChild>
                </w:div>
                <w:div w:id="1626349512">
                  <w:marLeft w:val="0"/>
                  <w:marRight w:val="0"/>
                  <w:marTop w:val="0"/>
                  <w:marBottom w:val="0"/>
                  <w:divBdr>
                    <w:top w:val="none" w:sz="0" w:space="0" w:color="auto"/>
                    <w:left w:val="none" w:sz="0" w:space="0" w:color="auto"/>
                    <w:bottom w:val="none" w:sz="0" w:space="0" w:color="auto"/>
                    <w:right w:val="none" w:sz="0" w:space="0" w:color="auto"/>
                  </w:divBdr>
                </w:div>
                <w:div w:id="571811994">
                  <w:marLeft w:val="0"/>
                  <w:marRight w:val="0"/>
                  <w:marTop w:val="0"/>
                  <w:marBottom w:val="0"/>
                  <w:divBdr>
                    <w:top w:val="none" w:sz="0" w:space="0" w:color="auto"/>
                    <w:left w:val="none" w:sz="0" w:space="0" w:color="auto"/>
                    <w:bottom w:val="none" w:sz="0" w:space="0" w:color="auto"/>
                    <w:right w:val="none" w:sz="0" w:space="0" w:color="auto"/>
                  </w:divBdr>
                </w:div>
                <w:div w:id="1322851369">
                  <w:marLeft w:val="0"/>
                  <w:marRight w:val="0"/>
                  <w:marTop w:val="0"/>
                  <w:marBottom w:val="0"/>
                  <w:divBdr>
                    <w:top w:val="none" w:sz="0" w:space="0" w:color="auto"/>
                    <w:left w:val="none" w:sz="0" w:space="0" w:color="auto"/>
                    <w:bottom w:val="none" w:sz="0" w:space="0" w:color="auto"/>
                    <w:right w:val="none" w:sz="0" w:space="0" w:color="auto"/>
                  </w:divBdr>
                </w:div>
                <w:div w:id="90593604">
                  <w:marLeft w:val="0"/>
                  <w:marRight w:val="0"/>
                  <w:marTop w:val="0"/>
                  <w:marBottom w:val="0"/>
                  <w:divBdr>
                    <w:top w:val="none" w:sz="0" w:space="0" w:color="auto"/>
                    <w:left w:val="none" w:sz="0" w:space="0" w:color="auto"/>
                    <w:bottom w:val="none" w:sz="0" w:space="0" w:color="auto"/>
                    <w:right w:val="none" w:sz="0" w:space="0" w:color="auto"/>
                  </w:divBdr>
                </w:div>
                <w:div w:id="897253384">
                  <w:marLeft w:val="0"/>
                  <w:marRight w:val="0"/>
                  <w:marTop w:val="0"/>
                  <w:marBottom w:val="0"/>
                  <w:divBdr>
                    <w:top w:val="none" w:sz="0" w:space="0" w:color="auto"/>
                    <w:left w:val="none" w:sz="0" w:space="0" w:color="auto"/>
                    <w:bottom w:val="none" w:sz="0" w:space="0" w:color="auto"/>
                    <w:right w:val="none" w:sz="0" w:space="0" w:color="auto"/>
                  </w:divBdr>
                </w:div>
                <w:div w:id="1160199230">
                  <w:marLeft w:val="0"/>
                  <w:marRight w:val="0"/>
                  <w:marTop w:val="0"/>
                  <w:marBottom w:val="0"/>
                  <w:divBdr>
                    <w:top w:val="none" w:sz="0" w:space="0" w:color="auto"/>
                    <w:left w:val="none" w:sz="0" w:space="0" w:color="auto"/>
                    <w:bottom w:val="none" w:sz="0" w:space="0" w:color="auto"/>
                    <w:right w:val="none" w:sz="0" w:space="0" w:color="auto"/>
                  </w:divBdr>
                </w:div>
              </w:divsChild>
            </w:div>
            <w:div w:id="266542778">
              <w:marLeft w:val="0"/>
              <w:marRight w:val="0"/>
              <w:marTop w:val="0"/>
              <w:marBottom w:val="0"/>
              <w:divBdr>
                <w:top w:val="none" w:sz="0" w:space="0" w:color="auto"/>
                <w:left w:val="none" w:sz="0" w:space="0" w:color="auto"/>
                <w:bottom w:val="none" w:sz="0" w:space="0" w:color="auto"/>
                <w:right w:val="none" w:sz="0" w:space="0" w:color="auto"/>
              </w:divBdr>
              <w:divsChild>
                <w:div w:id="1814133414">
                  <w:marLeft w:val="0"/>
                  <w:marRight w:val="0"/>
                  <w:marTop w:val="0"/>
                  <w:marBottom w:val="0"/>
                  <w:divBdr>
                    <w:top w:val="none" w:sz="0" w:space="0" w:color="auto"/>
                    <w:left w:val="none" w:sz="0" w:space="0" w:color="auto"/>
                    <w:bottom w:val="none" w:sz="0" w:space="0" w:color="auto"/>
                    <w:right w:val="none" w:sz="0" w:space="0" w:color="auto"/>
                  </w:divBdr>
                </w:div>
                <w:div w:id="1704355940">
                  <w:marLeft w:val="0"/>
                  <w:marRight w:val="0"/>
                  <w:marTop w:val="0"/>
                  <w:marBottom w:val="0"/>
                  <w:divBdr>
                    <w:top w:val="none" w:sz="0" w:space="0" w:color="auto"/>
                    <w:left w:val="none" w:sz="0" w:space="0" w:color="auto"/>
                    <w:bottom w:val="none" w:sz="0" w:space="0" w:color="auto"/>
                    <w:right w:val="none" w:sz="0" w:space="0" w:color="auto"/>
                  </w:divBdr>
                </w:div>
                <w:div w:id="20772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19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263CCFEB758D4797AEB43B84434041" ma:contentTypeVersion="2" ma:contentTypeDescription="Een nieuw document maken." ma:contentTypeScope="" ma:versionID="925909cab79571498f5cdf24aa9ab8bc">
  <xsd:schema xmlns:xsd="http://www.w3.org/2001/XMLSchema" xmlns:xs="http://www.w3.org/2001/XMLSchema" xmlns:p="http://schemas.microsoft.com/office/2006/metadata/properties" xmlns:ns3="c86f80c5-57b7-498e-b96f-259d08918cf2" targetNamespace="http://schemas.microsoft.com/office/2006/metadata/properties" ma:root="true" ma:fieldsID="9a7426d89dd1723446cef1cf434edda7" ns3:_="">
    <xsd:import namespace="c86f80c5-57b7-498e-b96f-259d08918cf2"/>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f80c5-57b7-498e-b96f-259d08918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216A9F-8B65-4780-9A67-C79B1ABC2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f80c5-57b7-498e-b96f-259d08918c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4D5CE-1C73-41EB-8063-777447B25FA5}">
  <ds:schemaRefs>
    <ds:schemaRef ds:uri="http://schemas.microsoft.com/sharepoint/v3/contenttype/forms"/>
  </ds:schemaRefs>
</ds:datastoreItem>
</file>

<file path=customXml/itemProps3.xml><?xml version="1.0" encoding="utf-8"?>
<ds:datastoreItem xmlns:ds="http://schemas.openxmlformats.org/officeDocument/2006/customXml" ds:itemID="{D844DBB7-0B7F-413A-BB9B-1CAC283230EC}">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c86f80c5-57b7-498e-b96f-259d08918cf2"/>
    <ds:schemaRef ds:uri="http://purl.org/dc/term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4179</Words>
  <Characters>22986</Characters>
  <Application>Microsoft Office Word</Application>
  <DocSecurity>0</DocSecurity>
  <Lines>191</Lines>
  <Paragraphs>54</Paragraphs>
  <ScaleCrop>false</ScaleCrop>
  <Company/>
  <LinksUpToDate>false</LinksUpToDate>
  <CharactersWithSpaces>27111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 John</dc:creator>
  <cp:keywords/>
  <dc:description/>
  <cp:lastModifiedBy>Bol, John</cp:lastModifiedBy>
  <cp:revision>1</cp:revision>
  <dcterms:created xsi:type="dcterms:W3CDTF">2022-09-13T18:43:00Z</dcterms:created>
  <dcterms:modified xsi:type="dcterms:W3CDTF">2022-09-13T18:46:00Z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0x010100C6263CCFEB758D4797AEB43B84434041</vt:lpwstr>
  </property>
</Properties>
</file>