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3774" w14:textId="3D0C14C5" w:rsidR="0036204F" w:rsidRDefault="0036204F" w:rsidP="0036204F">
      <w:pPr>
        <w:pStyle w:val="Kop1"/>
      </w:pPr>
      <w:r>
        <w:t xml:space="preserve">Controle memorandum WMO 2022 </w:t>
      </w:r>
    </w:p>
    <w:p w14:paraId="45BE1809" w14:textId="77777777" w:rsidR="0036204F" w:rsidRDefault="0036204F" w:rsidP="0036204F"/>
    <w:p w14:paraId="28ACE245" w14:textId="77777777" w:rsidR="0036204F" w:rsidRDefault="0036204F" w:rsidP="0036204F"/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01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992"/>
        <w:gridCol w:w="3685"/>
        <w:gridCol w:w="2073"/>
      </w:tblGrid>
      <w:tr w:rsidR="0036204F" w14:paraId="0A93B7A8" w14:textId="77777777" w:rsidTr="0036204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0B71491C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  <w:r w:rsidRPr="0025288B">
              <w:rPr>
                <w:b/>
                <w:sz w:val="24"/>
                <w:szCs w:val="24"/>
              </w:rPr>
              <w:t>Proces: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7B0F" w14:textId="77777777" w:rsidR="0036204F" w:rsidRPr="0025288B" w:rsidRDefault="0036204F" w:rsidP="00D445AD">
            <w:pPr>
              <w:rPr>
                <w:sz w:val="24"/>
                <w:szCs w:val="24"/>
              </w:rPr>
            </w:pPr>
            <w:r w:rsidRPr="0025288B">
              <w:rPr>
                <w:sz w:val="24"/>
                <w:szCs w:val="24"/>
              </w:rPr>
              <w:t>WMO</w:t>
            </w:r>
          </w:p>
        </w:tc>
      </w:tr>
      <w:tr w:rsidR="0036204F" w14:paraId="305A6808" w14:textId="77777777" w:rsidTr="0036204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5FF96D43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  <w:r w:rsidRPr="0025288B">
              <w:rPr>
                <w:b/>
                <w:sz w:val="24"/>
                <w:szCs w:val="24"/>
              </w:rPr>
              <w:t>Controle tijdvak: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9D3F" w14:textId="77777777" w:rsidR="0036204F" w:rsidRPr="0025288B" w:rsidRDefault="0036204F" w:rsidP="00D445AD">
            <w:pPr>
              <w:rPr>
                <w:sz w:val="24"/>
                <w:szCs w:val="24"/>
              </w:rPr>
            </w:pPr>
            <w:r w:rsidRPr="0025288B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1</w:t>
            </w:r>
            <w:r w:rsidRPr="0025288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25288B">
              <w:rPr>
                <w:sz w:val="24"/>
                <w:szCs w:val="24"/>
              </w:rPr>
              <w:t xml:space="preserve"> </w:t>
            </w:r>
            <w:proofErr w:type="spellStart"/>
            <w:r w:rsidRPr="0025288B">
              <w:rPr>
                <w:sz w:val="24"/>
                <w:szCs w:val="24"/>
              </w:rPr>
              <w:t>tm</w:t>
            </w:r>
            <w:proofErr w:type="spellEnd"/>
            <w:r w:rsidRPr="00252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30-09-2022</w:t>
            </w:r>
          </w:p>
        </w:tc>
      </w:tr>
      <w:tr w:rsidR="0036204F" w14:paraId="6DFDE8F6" w14:textId="77777777" w:rsidTr="0036204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A3D63"/>
          </w:tcPr>
          <w:p w14:paraId="1755D559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  <w:r w:rsidRPr="0025288B">
              <w:rPr>
                <w:b/>
                <w:sz w:val="24"/>
                <w:szCs w:val="24"/>
              </w:rPr>
              <w:t>Financiële omvang proces: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67406" w14:textId="4558CB86" w:rsidR="0036204F" w:rsidRPr="0025288B" w:rsidRDefault="0036204F" w:rsidP="00D445AD">
            <w:pPr>
              <w:tabs>
                <w:tab w:val="left" w:pos="4002"/>
                <w:tab w:val="right" w:pos="6129"/>
              </w:tabs>
              <w:rPr>
                <w:sz w:val="24"/>
                <w:szCs w:val="24"/>
              </w:rPr>
            </w:pPr>
            <w:r w:rsidRPr="0025288B">
              <w:rPr>
                <w:sz w:val="24"/>
                <w:szCs w:val="24"/>
              </w:rPr>
              <w:t>Begroot bedrag:</w:t>
            </w:r>
            <w:r w:rsidRPr="0025288B">
              <w:rPr>
                <w:sz w:val="24"/>
                <w:szCs w:val="24"/>
              </w:rPr>
              <w:tab/>
              <w:t>€</w:t>
            </w:r>
            <w:r w:rsidRPr="0025288B">
              <w:rPr>
                <w:sz w:val="24"/>
                <w:szCs w:val="24"/>
              </w:rPr>
              <w:tab/>
            </w:r>
          </w:p>
        </w:tc>
      </w:tr>
      <w:tr w:rsidR="0036204F" w14:paraId="43F10022" w14:textId="77777777" w:rsidTr="0036204F">
        <w:tc>
          <w:tcPr>
            <w:tcW w:w="3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40DF1CF4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9295" w14:textId="7A84B54F" w:rsidR="0036204F" w:rsidRDefault="0036204F" w:rsidP="00D445AD">
            <w:pPr>
              <w:tabs>
                <w:tab w:val="left" w:pos="4002"/>
                <w:tab w:val="right" w:pos="6129"/>
              </w:tabs>
              <w:rPr>
                <w:sz w:val="24"/>
                <w:szCs w:val="24"/>
              </w:rPr>
            </w:pPr>
            <w:r w:rsidRPr="0025288B">
              <w:rPr>
                <w:sz w:val="24"/>
                <w:szCs w:val="24"/>
              </w:rPr>
              <w:t>(Tussentijds) gerealiseerd bedrag:</w:t>
            </w:r>
            <w:r w:rsidRPr="0025288B">
              <w:rPr>
                <w:sz w:val="24"/>
                <w:szCs w:val="24"/>
              </w:rPr>
              <w:tab/>
              <w:t>€</w:t>
            </w:r>
            <w:r w:rsidRPr="0025288B">
              <w:rPr>
                <w:sz w:val="24"/>
                <w:szCs w:val="24"/>
              </w:rPr>
              <w:tab/>
            </w:r>
          </w:p>
          <w:p w14:paraId="5C124514" w14:textId="502C8B8A" w:rsidR="0036204F" w:rsidRPr="0025288B" w:rsidRDefault="0036204F" w:rsidP="00D445AD">
            <w:pPr>
              <w:tabs>
                <w:tab w:val="left" w:pos="4002"/>
                <w:tab w:val="right" w:pos="612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materialiteit controle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Q2</w:t>
            </w:r>
            <w:r>
              <w:rPr>
                <w:sz w:val="24"/>
                <w:szCs w:val="24"/>
              </w:rPr>
              <w:tab/>
              <w:t>€</w:t>
            </w:r>
            <w:r>
              <w:rPr>
                <w:sz w:val="24"/>
                <w:szCs w:val="24"/>
              </w:rPr>
              <w:tab/>
            </w:r>
          </w:p>
        </w:tc>
      </w:tr>
      <w:tr w:rsidR="0036204F" w14:paraId="62AC01BD" w14:textId="77777777" w:rsidTr="0036204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0F9EF976" w14:textId="77777777" w:rsidR="0036204F" w:rsidRDefault="0036204F" w:rsidP="00D445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Taakvelden (Iv3)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E6ED" w14:textId="77777777" w:rsidR="0036204F" w:rsidRDefault="0036204F" w:rsidP="00D44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6.60, 6.71 en 6.81 kostensoort 634100 en 634101</w:t>
            </w:r>
          </w:p>
        </w:tc>
      </w:tr>
      <w:tr w:rsidR="0036204F" w14:paraId="0A6B824C" w14:textId="77777777" w:rsidTr="0036204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7BCBA239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Cluster</w:t>
            </w:r>
            <w:r w:rsidRPr="0025288B">
              <w:rPr>
                <w:b/>
                <w:sz w:val="24"/>
                <w:szCs w:val="24"/>
              </w:rPr>
              <w:t>manager: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5A7E" w14:textId="57F20014" w:rsidR="0036204F" w:rsidRPr="0025288B" w:rsidRDefault="0036204F" w:rsidP="00D445AD">
            <w:pPr>
              <w:rPr>
                <w:sz w:val="24"/>
                <w:szCs w:val="24"/>
              </w:rPr>
            </w:pPr>
          </w:p>
        </w:tc>
      </w:tr>
      <w:tr w:rsidR="0036204F" w14:paraId="1127AFF8" w14:textId="77777777" w:rsidTr="0036204F"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4E03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</w:p>
        </w:tc>
      </w:tr>
      <w:tr w:rsidR="0036204F" w14:paraId="3AAB28B8" w14:textId="77777777" w:rsidTr="0036204F"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D63"/>
          </w:tcPr>
          <w:p w14:paraId="3A967FA1" w14:textId="77777777" w:rsidR="0036204F" w:rsidRPr="0025288B" w:rsidRDefault="0036204F" w:rsidP="00D445AD">
            <w:pPr>
              <w:rPr>
                <w:b/>
                <w:sz w:val="24"/>
                <w:szCs w:val="24"/>
              </w:rPr>
            </w:pPr>
            <w:r w:rsidRPr="0025288B">
              <w:rPr>
                <w:b/>
                <w:sz w:val="24"/>
                <w:szCs w:val="24"/>
              </w:rPr>
              <w:t>Bevindingen samengevat:</w:t>
            </w:r>
          </w:p>
        </w:tc>
      </w:tr>
      <w:tr w:rsidR="0036204F" w14:paraId="47A85EE1" w14:textId="77777777" w:rsidTr="0036204F"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134"/>
              <w:gridCol w:w="1134"/>
              <w:gridCol w:w="1104"/>
            </w:tblGrid>
            <w:tr w:rsidR="0036204F" w:rsidRPr="0025288B" w14:paraId="3BFA0D10" w14:textId="77777777" w:rsidTr="00D445AD">
              <w:tc>
                <w:tcPr>
                  <w:tcW w:w="6516" w:type="dxa"/>
                  <w:vMerge w:val="restart"/>
                  <w:shd w:val="clear" w:color="auto" w:fill="auto"/>
                </w:tcPr>
                <w:p w14:paraId="5345DD87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3372" w:type="dxa"/>
                  <w:gridSpan w:val="3"/>
                  <w:tcBorders>
                    <w:bottom w:val="single" w:sz="4" w:space="0" w:color="auto"/>
                  </w:tcBorders>
                  <w:shd w:val="clear" w:color="auto" w:fill="333332"/>
                </w:tcPr>
                <w:p w14:paraId="3A507735" w14:textId="77777777" w:rsidR="0036204F" w:rsidRPr="0025288B" w:rsidRDefault="0036204F" w:rsidP="00D445AD">
                  <w:pPr>
                    <w:jc w:val="center"/>
                    <w:rPr>
                      <w:b/>
                    </w:rPr>
                  </w:pPr>
                  <w:r w:rsidRPr="0025288B">
                    <w:rPr>
                      <w:b/>
                      <w:color w:val="FFFFFF"/>
                    </w:rPr>
                    <w:t>Conclusies/prioriteiten</w:t>
                  </w:r>
                </w:p>
              </w:tc>
            </w:tr>
            <w:tr w:rsidR="0036204F" w:rsidRPr="0025288B" w14:paraId="0D35FFD3" w14:textId="77777777" w:rsidTr="00D445AD">
              <w:tc>
                <w:tcPr>
                  <w:tcW w:w="6516" w:type="dxa"/>
                  <w:vMerge/>
                  <w:shd w:val="clear" w:color="auto" w:fill="auto"/>
                </w:tcPr>
                <w:p w14:paraId="02D3EC5E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333332"/>
                </w:tcPr>
                <w:p w14:paraId="171F858D" w14:textId="77777777" w:rsidR="0036204F" w:rsidRPr="0025288B" w:rsidRDefault="0036204F" w:rsidP="00D445AD">
                  <w:pPr>
                    <w:jc w:val="center"/>
                    <w:rPr>
                      <w:b/>
                      <w:color w:val="FFFFFF"/>
                    </w:rPr>
                  </w:pPr>
                  <w:r w:rsidRPr="0025288B">
                    <w:rPr>
                      <w:b/>
                      <w:color w:val="FFFFFF"/>
                    </w:rPr>
                    <w:t>Hoog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333332"/>
                </w:tcPr>
                <w:p w14:paraId="2F533CEE" w14:textId="77777777" w:rsidR="0036204F" w:rsidRPr="0025288B" w:rsidRDefault="0036204F" w:rsidP="00D445AD">
                  <w:pPr>
                    <w:jc w:val="center"/>
                    <w:rPr>
                      <w:b/>
                      <w:color w:val="FFFFFF"/>
                    </w:rPr>
                  </w:pPr>
                  <w:r w:rsidRPr="0025288B">
                    <w:rPr>
                      <w:b/>
                      <w:color w:val="FFFFFF"/>
                    </w:rPr>
                    <w:t>Midden</w:t>
                  </w:r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shd w:val="clear" w:color="auto" w:fill="333332"/>
                </w:tcPr>
                <w:p w14:paraId="2755449D" w14:textId="77777777" w:rsidR="0036204F" w:rsidRPr="0025288B" w:rsidRDefault="0036204F" w:rsidP="00D445AD">
                  <w:pPr>
                    <w:jc w:val="center"/>
                    <w:rPr>
                      <w:b/>
                      <w:color w:val="FFFFFF"/>
                    </w:rPr>
                  </w:pPr>
                  <w:r w:rsidRPr="0025288B">
                    <w:rPr>
                      <w:b/>
                      <w:color w:val="FFFFFF"/>
                    </w:rPr>
                    <w:t>Laag</w:t>
                  </w:r>
                </w:p>
              </w:tc>
            </w:tr>
            <w:tr w:rsidR="0036204F" w:rsidRPr="0025288B" w14:paraId="67C257D1" w14:textId="77777777" w:rsidTr="00D445AD">
              <w:tc>
                <w:tcPr>
                  <w:tcW w:w="6516" w:type="dxa"/>
                  <w:shd w:val="clear" w:color="auto" w:fill="auto"/>
                </w:tcPr>
                <w:p w14:paraId="6BA3EB63" w14:textId="77777777" w:rsidR="0036204F" w:rsidRPr="00A05CF9" w:rsidRDefault="0036204F" w:rsidP="00D445AD">
                  <w:r>
                    <w:t>Er zijn geen constateringen van financiële onrechtmatigheden of fraude geweest.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00FF00"/>
                </w:tcPr>
                <w:p w14:paraId="0A8A157A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669AFF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14:paraId="715512E2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</w:tr>
            <w:tr w:rsidR="0036204F" w:rsidRPr="0025288B" w14:paraId="1DA5B8CB" w14:textId="77777777" w:rsidTr="00D445AD">
              <w:tc>
                <w:tcPr>
                  <w:tcW w:w="6516" w:type="dxa"/>
                  <w:shd w:val="clear" w:color="auto" w:fill="auto"/>
                </w:tcPr>
                <w:p w14:paraId="25AFE689" w14:textId="77777777" w:rsidR="0036204F" w:rsidRDefault="0036204F" w:rsidP="00D445AD">
                  <w:r>
                    <w:t>Er zijn een aantal bevindingen die bij punt 6 verder worden toegelicht.</w:t>
                  </w:r>
                </w:p>
                <w:p w14:paraId="682BE80A" w14:textId="77777777" w:rsidR="0036204F" w:rsidRPr="004A6E0A" w:rsidRDefault="0036204F" w:rsidP="00D445AD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771B267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FFC000"/>
                </w:tcPr>
                <w:p w14:paraId="5FD61366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14:paraId="32B3252B" w14:textId="77777777" w:rsidR="0036204F" w:rsidRPr="0025288B" w:rsidRDefault="0036204F" w:rsidP="00D445AD">
                  <w:pPr>
                    <w:rPr>
                      <w:b/>
                    </w:rPr>
                  </w:pPr>
                </w:p>
              </w:tc>
            </w:tr>
          </w:tbl>
          <w:p w14:paraId="79AEF2DF" w14:textId="77777777" w:rsidR="0036204F" w:rsidRPr="0025288B" w:rsidRDefault="0036204F" w:rsidP="00D445AD">
            <w:pPr>
              <w:rPr>
                <w:b/>
              </w:rPr>
            </w:pPr>
          </w:p>
        </w:tc>
      </w:tr>
      <w:tr w:rsidR="0036204F" w14:paraId="186D6BF5" w14:textId="77777777" w:rsidTr="0036204F"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BFF9" w14:textId="77777777" w:rsidR="0036204F" w:rsidRPr="0025288B" w:rsidRDefault="0036204F" w:rsidP="00D445AD">
            <w:pPr>
              <w:rPr>
                <w:b/>
              </w:rPr>
            </w:pPr>
          </w:p>
        </w:tc>
      </w:tr>
      <w:tr w:rsidR="0036204F" w14:paraId="1C778834" w14:textId="77777777" w:rsidTr="0036204F">
        <w:tc>
          <w:tcPr>
            <w:tcW w:w="10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A3D63"/>
          </w:tcPr>
          <w:p w14:paraId="38D347D5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1. Doel van de Controle</w:t>
            </w:r>
          </w:p>
        </w:tc>
      </w:tr>
      <w:tr w:rsidR="0036204F" w14:paraId="16BD8FF0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B0F3DB" w14:textId="77777777" w:rsidR="0036204F" w:rsidRDefault="0036204F" w:rsidP="00D445AD"/>
          <w:p w14:paraId="0F87DE8B" w14:textId="77777777" w:rsidR="0036204F" w:rsidRDefault="0036204F" w:rsidP="00D445AD">
            <w:r>
              <w:t>Het primaire doel van de interne controle is het vaststellen dat de WMO voorzieningen conform de geldende procedures en relevante wet- en regelgeving worden verstrekt. Daarnaast zal worden vastgesteld dat de uitgaven voor de WMO voorzieningen op de juiste wijze worden verwerkt in de financiële administratie.</w:t>
            </w:r>
          </w:p>
          <w:p w14:paraId="6A7146FF" w14:textId="77777777" w:rsidR="0036204F" w:rsidRDefault="0036204F" w:rsidP="00D445AD">
            <w:r>
              <w:t xml:space="preserve"> </w:t>
            </w:r>
          </w:p>
        </w:tc>
      </w:tr>
      <w:tr w:rsidR="0036204F" w14:paraId="49B3033A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1A3D63"/>
          </w:tcPr>
          <w:p w14:paraId="0147A1DD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2. Risico’s:</w:t>
            </w:r>
          </w:p>
          <w:p w14:paraId="34194D30" w14:textId="77777777" w:rsidR="0036204F" w:rsidRPr="0025288B" w:rsidRDefault="0036204F" w:rsidP="00D445AD">
            <w:pPr>
              <w:rPr>
                <w:b/>
                <w:i/>
              </w:rPr>
            </w:pPr>
            <w:r w:rsidRPr="0025288B">
              <w:rPr>
                <w:b/>
              </w:rPr>
              <w:tab/>
            </w:r>
            <w:r w:rsidRPr="0025288B">
              <w:rPr>
                <w:b/>
                <w:i/>
              </w:rPr>
              <w:t>2.1  Specifieke risico’s van dit proces:</w:t>
            </w:r>
          </w:p>
        </w:tc>
      </w:tr>
      <w:tr w:rsidR="0036204F" w14:paraId="2DB5F2C7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8FB6C6" w14:textId="77777777" w:rsidR="0036204F" w:rsidRDefault="0036204F" w:rsidP="00D445AD">
            <w:pPr>
              <w:spacing w:line="280" w:lineRule="exact"/>
              <w:ind w:left="720"/>
            </w:pPr>
          </w:p>
          <w:p w14:paraId="32EC48E9" w14:textId="77777777" w:rsidR="0036204F" w:rsidRPr="004804BC" w:rsidRDefault="0036204F" w:rsidP="0036204F">
            <w:pPr>
              <w:numPr>
                <w:ilvl w:val="0"/>
                <w:numId w:val="12"/>
              </w:numPr>
              <w:spacing w:line="280" w:lineRule="exact"/>
              <w:ind w:left="709" w:hanging="425"/>
            </w:pPr>
          </w:p>
        </w:tc>
      </w:tr>
      <w:tr w:rsidR="0036204F" w14:paraId="2ABA0B0E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14E1850D" w14:textId="77777777" w:rsidR="0036204F" w:rsidRPr="0025288B" w:rsidRDefault="0036204F" w:rsidP="00D445AD">
            <w:pPr>
              <w:rPr>
                <w:b/>
                <w:i/>
              </w:rPr>
            </w:pPr>
            <w:r w:rsidRPr="0025288B">
              <w:rPr>
                <w:b/>
              </w:rPr>
              <w:tab/>
            </w:r>
            <w:r w:rsidRPr="0025288B">
              <w:rPr>
                <w:b/>
                <w:i/>
              </w:rPr>
              <w:t>2.2  Frauderisico’s:</w:t>
            </w:r>
          </w:p>
        </w:tc>
      </w:tr>
      <w:tr w:rsidR="0036204F" w14:paraId="6694856D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auto"/>
          </w:tcPr>
          <w:p w14:paraId="3E46EEEE" w14:textId="77777777" w:rsidR="0036204F" w:rsidRPr="0025288B" w:rsidRDefault="0036204F" w:rsidP="00D445AD">
            <w:pPr>
              <w:ind w:left="360"/>
              <w:rPr>
                <w:b/>
              </w:rPr>
            </w:pPr>
          </w:p>
          <w:p w14:paraId="78FB951E" w14:textId="77777777" w:rsidR="0036204F" w:rsidRPr="0025288B" w:rsidRDefault="0036204F" w:rsidP="0036204F">
            <w:pPr>
              <w:numPr>
                <w:ilvl w:val="0"/>
                <w:numId w:val="12"/>
              </w:numPr>
              <w:spacing w:line="280" w:lineRule="exact"/>
              <w:rPr>
                <w:b/>
              </w:rPr>
            </w:pPr>
          </w:p>
        </w:tc>
      </w:tr>
      <w:tr w:rsidR="0036204F" w14:paraId="39A6AA82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6ACF9C28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t>3. Fiscaliteiten</w:t>
            </w:r>
          </w:p>
        </w:tc>
      </w:tr>
      <w:tr w:rsidR="0036204F" w14:paraId="01B4D014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auto"/>
          </w:tcPr>
          <w:p w14:paraId="49E8205B" w14:textId="77777777" w:rsidR="0036204F" w:rsidRDefault="0036204F" w:rsidP="00D445AD">
            <w:pPr>
              <w:rPr>
                <w:b/>
              </w:rPr>
            </w:pPr>
          </w:p>
          <w:p w14:paraId="2AE080AA" w14:textId="77777777" w:rsidR="0036204F" w:rsidRPr="0025288B" w:rsidRDefault="0036204F" w:rsidP="0036204F">
            <w:pPr>
              <w:rPr>
                <w:b/>
              </w:rPr>
            </w:pPr>
          </w:p>
        </w:tc>
      </w:tr>
      <w:tr w:rsidR="0036204F" w14:paraId="4A403425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109F4C56" w14:textId="77777777" w:rsidR="0036204F" w:rsidRDefault="0036204F" w:rsidP="00D445AD">
            <w:r>
              <w:rPr>
                <w:b/>
              </w:rPr>
              <w:t>4</w:t>
            </w:r>
            <w:r w:rsidRPr="0025288B">
              <w:rPr>
                <w:b/>
              </w:rPr>
              <w:t>. Afspraken en aandachtspunten vanuit eerdere interne controles:</w:t>
            </w:r>
          </w:p>
        </w:tc>
      </w:tr>
      <w:tr w:rsidR="0036204F" w:rsidRPr="0025288B" w14:paraId="0411FB6E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1D4310" w14:textId="77777777" w:rsidR="0036204F" w:rsidRDefault="0036204F" w:rsidP="00D445AD">
            <w:pPr>
              <w:spacing w:line="280" w:lineRule="exact"/>
            </w:pPr>
          </w:p>
          <w:p w14:paraId="439346DA" w14:textId="77777777" w:rsidR="0036204F" w:rsidRPr="003C0586" w:rsidRDefault="0036204F" w:rsidP="0036204F">
            <w:pPr>
              <w:pStyle w:val="Lijstalinea"/>
              <w:numPr>
                <w:ilvl w:val="0"/>
                <w:numId w:val="16"/>
              </w:numPr>
            </w:pPr>
          </w:p>
        </w:tc>
      </w:tr>
      <w:tr w:rsidR="0036204F" w:rsidRPr="0025288B" w14:paraId="1E34197D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40E76375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t>5</w:t>
            </w:r>
            <w:r w:rsidRPr="0025288B">
              <w:rPr>
                <w:b/>
              </w:rPr>
              <w:t>. Zelfcontrole:</w:t>
            </w:r>
          </w:p>
          <w:p w14:paraId="07DF57B3" w14:textId="77777777" w:rsidR="0036204F" w:rsidRPr="0025288B" w:rsidRDefault="0036204F" w:rsidP="00D445AD">
            <w:pPr>
              <w:rPr>
                <w:b/>
                <w:i/>
              </w:rPr>
            </w:pPr>
            <w:r w:rsidRPr="0025288B">
              <w:rPr>
                <w:b/>
              </w:rPr>
              <w:tab/>
            </w:r>
            <w:r>
              <w:rPr>
                <w:b/>
                <w:i/>
              </w:rPr>
              <w:t>5</w:t>
            </w:r>
            <w:r w:rsidRPr="0025288B">
              <w:rPr>
                <w:b/>
                <w:i/>
              </w:rPr>
              <w:t>.1  Wat gebeurt er nu al aan zelfcontrole binnen de afdeling?</w:t>
            </w:r>
          </w:p>
        </w:tc>
      </w:tr>
      <w:tr w:rsidR="0036204F" w:rsidRPr="0025288B" w14:paraId="090AC9C3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E14DCA" w14:textId="77777777" w:rsidR="0036204F" w:rsidRDefault="0036204F" w:rsidP="0036204F"/>
          <w:p w14:paraId="66132F4F" w14:textId="2C59D230" w:rsidR="0036204F" w:rsidRPr="007176F4" w:rsidRDefault="0036204F" w:rsidP="0036204F"/>
        </w:tc>
      </w:tr>
      <w:tr w:rsidR="0036204F" w:rsidRPr="0025288B" w14:paraId="386F4B27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7DEAEC11" w14:textId="77777777" w:rsidR="0036204F" w:rsidRPr="0025288B" w:rsidRDefault="0036204F" w:rsidP="00D445AD">
            <w:pPr>
              <w:rPr>
                <w:b/>
                <w:i/>
              </w:rPr>
            </w:pP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5</w:t>
            </w:r>
            <w:r w:rsidRPr="0025288B">
              <w:rPr>
                <w:b/>
                <w:i/>
              </w:rPr>
              <w:t>.2  Wat zijn onze IC-aanbevelingen in deze om de zelfcontrole nog te verbeteren/aan te vullen?</w:t>
            </w:r>
          </w:p>
        </w:tc>
      </w:tr>
      <w:tr w:rsidR="0036204F" w14:paraId="432C8D8B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3304BFE" w14:textId="5EC0FA93" w:rsidR="0036204F" w:rsidRDefault="0036204F" w:rsidP="0036204F">
            <w:pPr>
              <w:numPr>
                <w:ilvl w:val="0"/>
                <w:numId w:val="12"/>
              </w:numPr>
              <w:tabs>
                <w:tab w:val="clear" w:pos="720"/>
              </w:tabs>
              <w:spacing w:line="280" w:lineRule="exact"/>
            </w:pPr>
            <w:r>
              <w:t xml:space="preserve">. </w:t>
            </w:r>
          </w:p>
          <w:p w14:paraId="0EE00500" w14:textId="77777777" w:rsidR="0036204F" w:rsidRDefault="0036204F" w:rsidP="00D445AD">
            <w:pPr>
              <w:spacing w:line="280" w:lineRule="exact"/>
              <w:ind w:left="720"/>
            </w:pPr>
          </w:p>
        </w:tc>
      </w:tr>
      <w:tr w:rsidR="0036204F" w14:paraId="652B0A84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1A3D63"/>
          </w:tcPr>
          <w:p w14:paraId="49E4AF6F" w14:textId="77777777" w:rsidR="0036204F" w:rsidRPr="0025288B" w:rsidRDefault="0036204F" w:rsidP="00D445AD">
            <w:pPr>
              <w:rPr>
                <w:b/>
                <w:i/>
              </w:rPr>
            </w:pPr>
            <w:r>
              <w:br w:type="page"/>
            </w: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5</w:t>
            </w:r>
            <w:r w:rsidRPr="0025288B">
              <w:rPr>
                <w:b/>
                <w:i/>
              </w:rPr>
              <w:t>.</w:t>
            </w:r>
            <w:r>
              <w:rPr>
                <w:b/>
                <w:i/>
              </w:rPr>
              <w:t>3</w:t>
            </w:r>
            <w:r w:rsidRPr="0025288B">
              <w:rPr>
                <w:b/>
                <w:i/>
              </w:rPr>
              <w:t xml:space="preserve">  W</w:t>
            </w:r>
            <w:r>
              <w:rPr>
                <w:b/>
                <w:i/>
              </w:rPr>
              <w:t>elke ICT systemen worden gebruikt</w:t>
            </w:r>
            <w:r w:rsidRPr="0025288B">
              <w:rPr>
                <w:b/>
                <w:i/>
              </w:rPr>
              <w:t>?</w:t>
            </w:r>
            <w:r>
              <w:rPr>
                <w:b/>
                <w:i/>
              </w:rPr>
              <w:t xml:space="preserve"> Welke beheersmaatregelen zitten daarin?</w:t>
            </w:r>
          </w:p>
        </w:tc>
      </w:tr>
      <w:tr w:rsidR="0036204F" w14:paraId="395B52FE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3F57F3" w14:textId="77777777" w:rsidR="0036204F" w:rsidRDefault="0036204F" w:rsidP="00D445AD">
            <w:pPr>
              <w:rPr>
                <w:u w:val="single"/>
              </w:rPr>
            </w:pPr>
          </w:p>
          <w:p w14:paraId="7C1DD1A0" w14:textId="77777777" w:rsidR="0036204F" w:rsidRPr="00B07CF0" w:rsidRDefault="0036204F" w:rsidP="00D445AD">
            <w:pPr>
              <w:rPr>
                <w:u w:val="single"/>
              </w:rPr>
            </w:pPr>
            <w:r>
              <w:rPr>
                <w:u w:val="single"/>
              </w:rPr>
              <w:t>ICT-systemen</w:t>
            </w:r>
          </w:p>
          <w:p w14:paraId="5AE16D42" w14:textId="77777777" w:rsidR="0036204F" w:rsidRDefault="0036204F" w:rsidP="00D445AD">
            <w:pPr>
              <w:spacing w:line="280" w:lineRule="exact"/>
              <w:ind w:left="720"/>
            </w:pPr>
          </w:p>
          <w:p w14:paraId="1529626F" w14:textId="77777777" w:rsidR="0036204F" w:rsidRPr="00B07CF0" w:rsidRDefault="0036204F" w:rsidP="00D445AD">
            <w:pPr>
              <w:spacing w:line="280" w:lineRule="exact"/>
              <w:rPr>
                <w:u w:val="single"/>
              </w:rPr>
            </w:pPr>
            <w:r>
              <w:rPr>
                <w:u w:val="single"/>
              </w:rPr>
              <w:lastRenderedPageBreak/>
              <w:t>Beheersmaatregelen</w:t>
            </w:r>
          </w:p>
          <w:p w14:paraId="6704AC85" w14:textId="77777777" w:rsidR="0036204F" w:rsidRDefault="0036204F" w:rsidP="0036204F">
            <w:pPr>
              <w:pStyle w:val="Lijstalinea"/>
              <w:numPr>
                <w:ilvl w:val="0"/>
                <w:numId w:val="12"/>
              </w:numPr>
              <w:spacing w:line="280" w:lineRule="exact"/>
            </w:pPr>
          </w:p>
        </w:tc>
      </w:tr>
      <w:tr w:rsidR="0036204F" w:rsidRPr="0025288B" w14:paraId="5C32D89A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7F8BAA98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25288B">
              <w:rPr>
                <w:b/>
              </w:rPr>
              <w:t>. Bevindingen:</w:t>
            </w:r>
          </w:p>
          <w:p w14:paraId="2C1C7EA2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  <w:i/>
              </w:rPr>
              <w:t xml:space="preserve">   </w:t>
            </w: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6</w:t>
            </w:r>
            <w:r w:rsidRPr="0025288B">
              <w:rPr>
                <w:b/>
                <w:i/>
              </w:rPr>
              <w:t>.1</w:t>
            </w:r>
            <w:r w:rsidRPr="0025288B">
              <w:rPr>
                <w:b/>
              </w:rPr>
              <w:t xml:space="preserve">  </w:t>
            </w:r>
            <w:r w:rsidRPr="0025288B">
              <w:rPr>
                <w:b/>
                <w:i/>
              </w:rPr>
              <w:t>Procedurele onrechtmatigheden</w:t>
            </w:r>
            <w:r w:rsidRPr="0025288B">
              <w:rPr>
                <w:b/>
              </w:rPr>
              <w:t>:</w:t>
            </w:r>
          </w:p>
        </w:tc>
      </w:tr>
      <w:tr w:rsidR="0036204F" w14:paraId="2C1A6089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auto"/>
          </w:tcPr>
          <w:p w14:paraId="25AC7E4A" w14:textId="77777777" w:rsidR="0036204F" w:rsidRDefault="0036204F" w:rsidP="00D445AD"/>
          <w:p w14:paraId="6B3E1EEF" w14:textId="3866E737" w:rsidR="0036204F" w:rsidRDefault="0036204F" w:rsidP="0036204F">
            <w:pPr>
              <w:pStyle w:val="Lijstalinea"/>
              <w:numPr>
                <w:ilvl w:val="0"/>
                <w:numId w:val="17"/>
              </w:numPr>
            </w:pPr>
            <w:r>
              <w:t>.</w:t>
            </w:r>
          </w:p>
          <w:p w14:paraId="4935B2D5" w14:textId="77777777" w:rsidR="0036204F" w:rsidRDefault="0036204F" w:rsidP="00D445AD">
            <w:pPr>
              <w:pStyle w:val="Lijstalinea"/>
            </w:pPr>
          </w:p>
        </w:tc>
      </w:tr>
      <w:tr w:rsidR="0036204F" w:rsidRPr="0025288B" w14:paraId="1F912546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0AF6225E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  <w:i/>
              </w:rPr>
              <w:t xml:space="preserve">   </w:t>
            </w: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6</w:t>
            </w:r>
            <w:r w:rsidRPr="0025288B">
              <w:rPr>
                <w:b/>
                <w:i/>
              </w:rPr>
              <w:t>.2  Financiële onrechtmatigheden:</w:t>
            </w:r>
          </w:p>
        </w:tc>
      </w:tr>
      <w:tr w:rsidR="0036204F" w:rsidRPr="00CE3654" w14:paraId="20FA4698" w14:textId="77777777" w:rsidTr="0036204F">
        <w:tblPrEx>
          <w:shd w:val="clear" w:color="auto" w:fill="auto"/>
        </w:tblPrEx>
        <w:trPr>
          <w:trHeight w:val="580"/>
        </w:trPr>
        <w:tc>
          <w:tcPr>
            <w:tcW w:w="10119" w:type="dxa"/>
            <w:gridSpan w:val="5"/>
            <w:shd w:val="clear" w:color="auto" w:fill="auto"/>
          </w:tcPr>
          <w:p w14:paraId="1E4FBFF4" w14:textId="77777777" w:rsidR="0036204F" w:rsidRDefault="0036204F" w:rsidP="00D445AD"/>
          <w:p w14:paraId="7D46D22F" w14:textId="77777777" w:rsidR="0036204F" w:rsidRPr="00CE3654" w:rsidRDefault="0036204F" w:rsidP="0036204F">
            <w:pPr>
              <w:pStyle w:val="Lijstalinea"/>
              <w:numPr>
                <w:ilvl w:val="0"/>
                <w:numId w:val="15"/>
              </w:numPr>
            </w:pPr>
          </w:p>
        </w:tc>
      </w:tr>
      <w:tr w:rsidR="0036204F" w:rsidRPr="0025288B" w14:paraId="2069B9EC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3C72EFE3" w14:textId="77777777" w:rsidR="0036204F" w:rsidRPr="0025288B" w:rsidRDefault="0036204F" w:rsidP="00D445AD">
            <w:pPr>
              <w:rPr>
                <w:b/>
                <w:i/>
              </w:rPr>
            </w:pP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6</w:t>
            </w:r>
            <w:r w:rsidRPr="0025288B">
              <w:rPr>
                <w:b/>
                <w:i/>
              </w:rPr>
              <w:t>.3  Fraude:</w:t>
            </w:r>
          </w:p>
        </w:tc>
      </w:tr>
      <w:tr w:rsidR="0036204F" w:rsidRPr="0025288B" w14:paraId="37F530D0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auto"/>
          </w:tcPr>
          <w:p w14:paraId="130E6023" w14:textId="77777777" w:rsidR="0036204F" w:rsidRDefault="0036204F" w:rsidP="00D445AD"/>
          <w:p w14:paraId="5154A971" w14:textId="77777777" w:rsidR="0036204F" w:rsidRPr="00DB7712" w:rsidRDefault="0036204F" w:rsidP="0036204F">
            <w:pPr>
              <w:pStyle w:val="Lijstalinea"/>
              <w:numPr>
                <w:ilvl w:val="0"/>
                <w:numId w:val="15"/>
              </w:numPr>
            </w:pPr>
          </w:p>
        </w:tc>
      </w:tr>
      <w:tr w:rsidR="0036204F" w:rsidRPr="0025288B" w14:paraId="460D0AA0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545E7075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  <w:i/>
              </w:rPr>
              <w:t xml:space="preserve">   </w:t>
            </w:r>
            <w:r w:rsidRPr="0025288B">
              <w:rPr>
                <w:b/>
                <w:i/>
              </w:rPr>
              <w:tab/>
            </w:r>
            <w:r>
              <w:rPr>
                <w:b/>
                <w:i/>
              </w:rPr>
              <w:t>6</w:t>
            </w:r>
            <w:r w:rsidRPr="0025288B">
              <w:rPr>
                <w:b/>
                <w:i/>
              </w:rPr>
              <w:t>.4</w:t>
            </w:r>
            <w:r w:rsidRPr="0025288B">
              <w:rPr>
                <w:b/>
              </w:rPr>
              <w:t xml:space="preserve">  </w:t>
            </w:r>
            <w:r w:rsidRPr="0025288B">
              <w:rPr>
                <w:b/>
                <w:i/>
              </w:rPr>
              <w:t>Opmerkingen</w:t>
            </w:r>
            <w:r w:rsidRPr="0025288B">
              <w:rPr>
                <w:b/>
              </w:rPr>
              <w:t>:</w:t>
            </w:r>
          </w:p>
        </w:tc>
      </w:tr>
      <w:tr w:rsidR="0036204F" w:rsidRPr="00967465" w14:paraId="1FB0C947" w14:textId="77777777" w:rsidTr="0036204F">
        <w:tblPrEx>
          <w:shd w:val="clear" w:color="auto" w:fill="auto"/>
        </w:tblPrEx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5D78F5" w14:textId="77777777" w:rsidR="0036204F" w:rsidRDefault="0036204F" w:rsidP="00D445AD"/>
          <w:p w14:paraId="05F6513C" w14:textId="12F0BBF2" w:rsidR="0036204F" w:rsidRDefault="0036204F" w:rsidP="0036204F">
            <w:pPr>
              <w:pStyle w:val="Lijstalinea"/>
              <w:numPr>
                <w:ilvl w:val="0"/>
                <w:numId w:val="14"/>
              </w:numPr>
            </w:pPr>
            <w:r>
              <w:t>.</w:t>
            </w:r>
          </w:p>
          <w:p w14:paraId="55971295" w14:textId="77777777" w:rsidR="0036204F" w:rsidRPr="00967465" w:rsidRDefault="0036204F" w:rsidP="00D445AD">
            <w:pPr>
              <w:pStyle w:val="Lijstalinea"/>
            </w:pPr>
          </w:p>
        </w:tc>
      </w:tr>
      <w:tr w:rsidR="0036204F" w:rsidRPr="0025288B" w14:paraId="4AF8A356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1A3D63"/>
          </w:tcPr>
          <w:p w14:paraId="5C2678E4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t>7</w:t>
            </w:r>
            <w:r w:rsidRPr="0025288B">
              <w:rPr>
                <w:b/>
              </w:rPr>
              <w:t>. Hoor en wederhoor:</w:t>
            </w:r>
          </w:p>
        </w:tc>
      </w:tr>
      <w:tr w:rsidR="0036204F" w:rsidRPr="0025288B" w14:paraId="1D1FE325" w14:textId="77777777" w:rsidTr="0036204F">
        <w:tblPrEx>
          <w:shd w:val="clear" w:color="auto" w:fill="auto"/>
        </w:tblPrEx>
        <w:tc>
          <w:tcPr>
            <w:tcW w:w="10119" w:type="dxa"/>
            <w:gridSpan w:val="5"/>
            <w:shd w:val="clear" w:color="auto" w:fill="auto"/>
          </w:tcPr>
          <w:p w14:paraId="3F9EF249" w14:textId="77777777" w:rsidR="0036204F" w:rsidRDefault="0036204F" w:rsidP="00D445AD"/>
          <w:p w14:paraId="4FC19E67" w14:textId="77777777" w:rsidR="0036204F" w:rsidRDefault="0036204F" w:rsidP="0036204F">
            <w:pPr>
              <w:pStyle w:val="Lijstalinea"/>
              <w:numPr>
                <w:ilvl w:val="0"/>
                <w:numId w:val="14"/>
              </w:numPr>
            </w:pPr>
          </w:p>
          <w:p w14:paraId="51E6C4FC" w14:textId="77777777" w:rsidR="0036204F" w:rsidRPr="00676F5E" w:rsidRDefault="0036204F" w:rsidP="00D445AD">
            <w:pPr>
              <w:pStyle w:val="Lijstalinea"/>
            </w:pPr>
          </w:p>
        </w:tc>
      </w:tr>
      <w:tr w:rsidR="0036204F" w14:paraId="707312B0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1A3D63"/>
          </w:tcPr>
          <w:p w14:paraId="6B59D5FC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t>8</w:t>
            </w:r>
            <w:r w:rsidRPr="0025288B">
              <w:rPr>
                <w:b/>
              </w:rPr>
              <w:t>. Conclusies:</w:t>
            </w:r>
          </w:p>
        </w:tc>
      </w:tr>
      <w:tr w:rsidR="0036204F" w14:paraId="29C0BCFC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A0EABE" w14:textId="77777777" w:rsidR="0036204F" w:rsidRDefault="0036204F" w:rsidP="00D445AD"/>
          <w:p w14:paraId="7192D9F7" w14:textId="19CAC4E8" w:rsidR="0036204F" w:rsidRDefault="0036204F" w:rsidP="0036204F">
            <w:pPr>
              <w:pStyle w:val="Lijstalinea"/>
              <w:numPr>
                <w:ilvl w:val="0"/>
                <w:numId w:val="14"/>
              </w:numPr>
            </w:pPr>
            <w:r>
              <w:t>.</w:t>
            </w:r>
          </w:p>
        </w:tc>
      </w:tr>
      <w:tr w:rsidR="0036204F" w14:paraId="5725CA0D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1A3D63"/>
          </w:tcPr>
          <w:p w14:paraId="621EEAE2" w14:textId="77777777" w:rsidR="0036204F" w:rsidRPr="0025288B" w:rsidRDefault="0036204F" w:rsidP="00D445AD">
            <w:pPr>
              <w:rPr>
                <w:b/>
              </w:rPr>
            </w:pPr>
            <w:r>
              <w:rPr>
                <w:b/>
              </w:rPr>
              <w:t>9</w:t>
            </w:r>
            <w:r w:rsidRPr="0025288B">
              <w:rPr>
                <w:b/>
              </w:rPr>
              <w:t>. Aanbevelingen en vervolgafspraken:</w:t>
            </w:r>
          </w:p>
        </w:tc>
      </w:tr>
      <w:tr w:rsidR="0036204F" w14:paraId="53A5F3C9" w14:textId="77777777" w:rsidTr="0036204F">
        <w:tc>
          <w:tcPr>
            <w:tcW w:w="10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C5286A" w14:textId="77777777" w:rsidR="0036204F" w:rsidRDefault="0036204F" w:rsidP="00D445AD"/>
          <w:p w14:paraId="55E880E7" w14:textId="77777777" w:rsidR="0036204F" w:rsidRDefault="0036204F" w:rsidP="0036204F">
            <w:pPr>
              <w:pStyle w:val="Lijstalinea"/>
              <w:numPr>
                <w:ilvl w:val="0"/>
                <w:numId w:val="16"/>
              </w:numPr>
            </w:pPr>
          </w:p>
        </w:tc>
      </w:tr>
      <w:tr w:rsidR="0036204F" w14:paraId="5AA4F190" w14:textId="77777777" w:rsidTr="0036204F">
        <w:tc>
          <w:tcPr>
            <w:tcW w:w="2093" w:type="dxa"/>
            <w:tcBorders>
              <w:bottom w:val="single" w:sz="4" w:space="0" w:color="auto"/>
            </w:tcBorders>
            <w:shd w:val="clear" w:color="auto" w:fill="1A3D63"/>
          </w:tcPr>
          <w:p w14:paraId="20864601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Activiteit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1A3D63"/>
          </w:tcPr>
          <w:p w14:paraId="5A3861FD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Naam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1A3D63"/>
          </w:tcPr>
          <w:p w14:paraId="401407A5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Functie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1A3D63"/>
          </w:tcPr>
          <w:p w14:paraId="5B760B86" w14:textId="77777777" w:rsidR="0036204F" w:rsidRPr="0025288B" w:rsidRDefault="0036204F" w:rsidP="00D445AD">
            <w:pPr>
              <w:rPr>
                <w:b/>
              </w:rPr>
            </w:pPr>
            <w:r w:rsidRPr="0025288B">
              <w:rPr>
                <w:b/>
              </w:rPr>
              <w:t>Datum</w:t>
            </w:r>
          </w:p>
        </w:tc>
      </w:tr>
      <w:tr w:rsidR="0036204F" w14:paraId="6171A214" w14:textId="77777777" w:rsidTr="0036204F">
        <w:tc>
          <w:tcPr>
            <w:tcW w:w="2093" w:type="dxa"/>
            <w:vMerge w:val="restart"/>
            <w:shd w:val="clear" w:color="auto" w:fill="1A3D63"/>
          </w:tcPr>
          <w:p w14:paraId="04D41202" w14:textId="77777777" w:rsidR="0036204F" w:rsidRPr="00F107DC" w:rsidRDefault="0036204F" w:rsidP="00D445AD">
            <w:r>
              <w:t>Controle uitgevoerd door: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C39165" w14:textId="45D96EF9" w:rsidR="0036204F" w:rsidRPr="004206A0" w:rsidRDefault="0036204F" w:rsidP="00D445AD"/>
        </w:tc>
        <w:tc>
          <w:tcPr>
            <w:tcW w:w="3685" w:type="dxa"/>
            <w:shd w:val="clear" w:color="auto" w:fill="auto"/>
          </w:tcPr>
          <w:p w14:paraId="27ADB226" w14:textId="77777777" w:rsidR="0036204F" w:rsidRDefault="0036204F" w:rsidP="00D445AD">
            <w:r>
              <w:t xml:space="preserve">Adviseur interne controle </w:t>
            </w:r>
          </w:p>
        </w:tc>
        <w:tc>
          <w:tcPr>
            <w:tcW w:w="2073" w:type="dxa"/>
            <w:shd w:val="clear" w:color="auto" w:fill="auto"/>
          </w:tcPr>
          <w:p w14:paraId="4D982935" w14:textId="069ECBF4" w:rsidR="0036204F" w:rsidRDefault="0036204F" w:rsidP="00D445AD"/>
        </w:tc>
      </w:tr>
      <w:tr w:rsidR="0036204F" w14:paraId="768ABBB7" w14:textId="77777777" w:rsidTr="0036204F">
        <w:tc>
          <w:tcPr>
            <w:tcW w:w="2093" w:type="dxa"/>
            <w:vMerge/>
            <w:shd w:val="clear" w:color="auto" w:fill="1A3D63"/>
          </w:tcPr>
          <w:p w14:paraId="5F63D293" w14:textId="77777777" w:rsidR="0036204F" w:rsidRPr="00F107DC" w:rsidRDefault="0036204F" w:rsidP="00D445AD"/>
        </w:tc>
        <w:tc>
          <w:tcPr>
            <w:tcW w:w="2268" w:type="dxa"/>
            <w:gridSpan w:val="2"/>
            <w:shd w:val="clear" w:color="auto" w:fill="auto"/>
          </w:tcPr>
          <w:p w14:paraId="13922E2B" w14:textId="41831F06" w:rsidR="0036204F" w:rsidRDefault="0036204F" w:rsidP="00D445AD"/>
        </w:tc>
        <w:tc>
          <w:tcPr>
            <w:tcW w:w="3685" w:type="dxa"/>
            <w:shd w:val="clear" w:color="auto" w:fill="auto"/>
          </w:tcPr>
          <w:p w14:paraId="6A01D626" w14:textId="77777777" w:rsidR="0036204F" w:rsidRDefault="0036204F" w:rsidP="00D445AD">
            <w:r>
              <w:t>Juridisch kwaliteitsmedewerker</w:t>
            </w:r>
          </w:p>
        </w:tc>
        <w:tc>
          <w:tcPr>
            <w:tcW w:w="2073" w:type="dxa"/>
            <w:shd w:val="clear" w:color="auto" w:fill="auto"/>
          </w:tcPr>
          <w:p w14:paraId="6381684A" w14:textId="1502F1A9" w:rsidR="0036204F" w:rsidRDefault="0036204F" w:rsidP="00D445AD"/>
        </w:tc>
      </w:tr>
      <w:tr w:rsidR="0036204F" w14:paraId="58C7A8C1" w14:textId="77777777" w:rsidTr="0036204F">
        <w:tc>
          <w:tcPr>
            <w:tcW w:w="2093" w:type="dxa"/>
            <w:vMerge/>
            <w:shd w:val="clear" w:color="auto" w:fill="1A3D63"/>
          </w:tcPr>
          <w:p w14:paraId="43505DB5" w14:textId="77777777" w:rsidR="0036204F" w:rsidRPr="00F107DC" w:rsidRDefault="0036204F" w:rsidP="00D445AD"/>
        </w:tc>
        <w:tc>
          <w:tcPr>
            <w:tcW w:w="2268" w:type="dxa"/>
            <w:gridSpan w:val="2"/>
            <w:shd w:val="clear" w:color="auto" w:fill="auto"/>
          </w:tcPr>
          <w:p w14:paraId="7D27B6E7" w14:textId="5E49F77A" w:rsidR="0036204F" w:rsidRDefault="0036204F" w:rsidP="00D445AD"/>
        </w:tc>
        <w:tc>
          <w:tcPr>
            <w:tcW w:w="3685" w:type="dxa"/>
            <w:shd w:val="clear" w:color="auto" w:fill="auto"/>
          </w:tcPr>
          <w:p w14:paraId="77A0A710" w14:textId="77777777" w:rsidR="0036204F" w:rsidRDefault="0036204F" w:rsidP="00D445AD">
            <w:r>
              <w:t>Juridisch kwaliteitsmedewerker</w:t>
            </w:r>
          </w:p>
        </w:tc>
        <w:tc>
          <w:tcPr>
            <w:tcW w:w="2073" w:type="dxa"/>
            <w:shd w:val="clear" w:color="auto" w:fill="auto"/>
          </w:tcPr>
          <w:p w14:paraId="6936076C" w14:textId="77777777" w:rsidR="0036204F" w:rsidRDefault="0036204F" w:rsidP="00D445AD"/>
        </w:tc>
      </w:tr>
      <w:tr w:rsidR="0036204F" w14:paraId="134E8AAA" w14:textId="77777777" w:rsidTr="0036204F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1A3D63"/>
          </w:tcPr>
          <w:p w14:paraId="7EA1CAE0" w14:textId="77777777" w:rsidR="0036204F" w:rsidRPr="00F107DC" w:rsidRDefault="0036204F" w:rsidP="00D445AD"/>
        </w:tc>
        <w:tc>
          <w:tcPr>
            <w:tcW w:w="2268" w:type="dxa"/>
            <w:gridSpan w:val="2"/>
            <w:shd w:val="clear" w:color="auto" w:fill="auto"/>
          </w:tcPr>
          <w:p w14:paraId="1FF1009E" w14:textId="56A7FC67" w:rsidR="0036204F" w:rsidRDefault="0036204F" w:rsidP="00D445AD"/>
        </w:tc>
        <w:tc>
          <w:tcPr>
            <w:tcW w:w="3685" w:type="dxa"/>
            <w:shd w:val="clear" w:color="auto" w:fill="auto"/>
          </w:tcPr>
          <w:p w14:paraId="7BB17002" w14:textId="77777777" w:rsidR="0036204F" w:rsidRDefault="0036204F" w:rsidP="00D445AD">
            <w:r>
              <w:t>Juridisch kwaliteitsmedewerker</w:t>
            </w:r>
          </w:p>
        </w:tc>
        <w:tc>
          <w:tcPr>
            <w:tcW w:w="2073" w:type="dxa"/>
            <w:shd w:val="clear" w:color="auto" w:fill="auto"/>
          </w:tcPr>
          <w:p w14:paraId="6122E8EC" w14:textId="2CFDA5B4" w:rsidR="0036204F" w:rsidRDefault="0036204F" w:rsidP="00D445AD"/>
        </w:tc>
      </w:tr>
      <w:tr w:rsidR="0036204F" w14:paraId="46C0B253" w14:textId="77777777" w:rsidTr="003620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A3D63"/>
          </w:tcPr>
          <w:p w14:paraId="472A68EF" w14:textId="77777777" w:rsidR="0036204F" w:rsidRPr="00F107DC" w:rsidRDefault="0036204F" w:rsidP="00D445AD">
            <w:r>
              <w:t>Besproken met: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08761C" w14:textId="058AE9A4" w:rsidR="0036204F" w:rsidRDefault="0036204F" w:rsidP="00D445AD"/>
        </w:tc>
        <w:tc>
          <w:tcPr>
            <w:tcW w:w="3685" w:type="dxa"/>
            <w:shd w:val="clear" w:color="auto" w:fill="auto"/>
          </w:tcPr>
          <w:p w14:paraId="7CA7EF7A" w14:textId="77777777" w:rsidR="0036204F" w:rsidRDefault="0036204F" w:rsidP="00D445AD">
            <w:r>
              <w:t xml:space="preserve">Sectie hoofd frontoffice WIZ </w:t>
            </w:r>
          </w:p>
        </w:tc>
        <w:tc>
          <w:tcPr>
            <w:tcW w:w="2073" w:type="dxa"/>
            <w:shd w:val="clear" w:color="auto" w:fill="auto"/>
          </w:tcPr>
          <w:p w14:paraId="519B1D52" w14:textId="77777777" w:rsidR="0036204F" w:rsidRDefault="0036204F" w:rsidP="00D445AD"/>
        </w:tc>
      </w:tr>
      <w:tr w:rsidR="0036204F" w14:paraId="114BDEF3" w14:textId="77777777" w:rsidTr="0036204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A3D63"/>
          </w:tcPr>
          <w:p w14:paraId="6985E454" w14:textId="77777777" w:rsidR="0036204F" w:rsidRPr="00F107DC" w:rsidRDefault="0036204F" w:rsidP="00D445AD"/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9563F9" w14:textId="3D31F379" w:rsidR="0036204F" w:rsidRDefault="0036204F" w:rsidP="00D445AD"/>
        </w:tc>
        <w:tc>
          <w:tcPr>
            <w:tcW w:w="3685" w:type="dxa"/>
            <w:shd w:val="clear" w:color="auto" w:fill="auto"/>
          </w:tcPr>
          <w:p w14:paraId="0E293229" w14:textId="77777777" w:rsidR="0036204F" w:rsidRDefault="0036204F" w:rsidP="00D445AD">
            <w:r>
              <w:t>Sectiehoofd Werk, Inkomen &amp; Zorg</w:t>
            </w:r>
          </w:p>
        </w:tc>
        <w:tc>
          <w:tcPr>
            <w:tcW w:w="2073" w:type="dxa"/>
            <w:shd w:val="clear" w:color="auto" w:fill="auto"/>
          </w:tcPr>
          <w:p w14:paraId="5D75F52E" w14:textId="77777777" w:rsidR="0036204F" w:rsidRDefault="0036204F" w:rsidP="00D445AD"/>
        </w:tc>
      </w:tr>
      <w:tr w:rsidR="0036204F" w14:paraId="7F603835" w14:textId="77777777" w:rsidTr="0036204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A3D63"/>
          </w:tcPr>
          <w:p w14:paraId="26B4BFB5" w14:textId="77777777" w:rsidR="0036204F" w:rsidRPr="00F107DC" w:rsidRDefault="0036204F" w:rsidP="00D445AD"/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2B5BC4" w14:textId="405639F4" w:rsidR="0036204F" w:rsidRDefault="0036204F" w:rsidP="00D445AD"/>
        </w:tc>
        <w:tc>
          <w:tcPr>
            <w:tcW w:w="3685" w:type="dxa"/>
            <w:shd w:val="clear" w:color="auto" w:fill="auto"/>
          </w:tcPr>
          <w:p w14:paraId="3D6C6650" w14:textId="77777777" w:rsidR="0036204F" w:rsidRDefault="0036204F" w:rsidP="00D445AD">
            <w:r>
              <w:t>Sectiehoofd Werk, Inkomen &amp; Zorg</w:t>
            </w:r>
          </w:p>
        </w:tc>
        <w:tc>
          <w:tcPr>
            <w:tcW w:w="2073" w:type="dxa"/>
            <w:shd w:val="clear" w:color="auto" w:fill="auto"/>
          </w:tcPr>
          <w:p w14:paraId="029DEB80" w14:textId="77777777" w:rsidR="0036204F" w:rsidRDefault="0036204F" w:rsidP="00D445AD"/>
        </w:tc>
      </w:tr>
      <w:tr w:rsidR="0036204F" w14:paraId="7AE34EA4" w14:textId="77777777" w:rsidTr="0036204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A3D63"/>
          </w:tcPr>
          <w:p w14:paraId="295937A1" w14:textId="77777777" w:rsidR="0036204F" w:rsidRPr="00F107DC" w:rsidRDefault="0036204F" w:rsidP="00D445AD"/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B7D4F5" w14:textId="46FA2D0B" w:rsidR="0036204F" w:rsidRDefault="0036204F" w:rsidP="00D445AD"/>
        </w:tc>
        <w:tc>
          <w:tcPr>
            <w:tcW w:w="3685" w:type="dxa"/>
            <w:shd w:val="clear" w:color="auto" w:fill="auto"/>
          </w:tcPr>
          <w:p w14:paraId="4D71A10E" w14:textId="77777777" w:rsidR="0036204F" w:rsidRDefault="0036204F" w:rsidP="00D445AD">
            <w:r>
              <w:t>Sectiehoofd gebiedsteams</w:t>
            </w:r>
          </w:p>
        </w:tc>
        <w:tc>
          <w:tcPr>
            <w:tcW w:w="2073" w:type="dxa"/>
            <w:shd w:val="clear" w:color="auto" w:fill="auto"/>
          </w:tcPr>
          <w:p w14:paraId="1B3C7F10" w14:textId="77777777" w:rsidR="0036204F" w:rsidRDefault="0036204F" w:rsidP="00D445AD"/>
        </w:tc>
      </w:tr>
    </w:tbl>
    <w:p w14:paraId="7D4CF4DE" w14:textId="77777777" w:rsidR="0036204F" w:rsidRDefault="0036204F" w:rsidP="0036204F"/>
    <w:p w14:paraId="0C5ADC44" w14:textId="77777777" w:rsidR="0036204F" w:rsidRDefault="0036204F" w:rsidP="0036204F"/>
    <w:p w14:paraId="14C0DAAC" w14:textId="77777777" w:rsidR="0036204F" w:rsidRPr="008E5E6C" w:rsidRDefault="0036204F" w:rsidP="0036204F"/>
    <w:p w14:paraId="12506CF5" w14:textId="77777777" w:rsidR="00956F6C" w:rsidRPr="002A3BA1" w:rsidRDefault="00956F6C" w:rsidP="002A3BA1"/>
    <w:sectPr w:rsidR="00956F6C" w:rsidRPr="002A3BA1" w:rsidSect="0065582D">
      <w:pgSz w:w="11906" w:h="16838" w:code="9"/>
      <w:pgMar w:top="851" w:right="851" w:bottom="1616" w:left="1134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48B0" w14:textId="77777777" w:rsidR="0036204F" w:rsidRDefault="0036204F" w:rsidP="00AE55CB">
      <w:pPr>
        <w:spacing w:line="240" w:lineRule="auto"/>
      </w:pPr>
      <w:r>
        <w:separator/>
      </w:r>
    </w:p>
  </w:endnote>
  <w:endnote w:type="continuationSeparator" w:id="0">
    <w:p w14:paraId="3FD44561" w14:textId="77777777" w:rsidR="0036204F" w:rsidRDefault="0036204F" w:rsidP="00AE5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ABE0" w14:textId="77777777" w:rsidR="0036204F" w:rsidRDefault="0036204F" w:rsidP="00AE55CB">
      <w:pPr>
        <w:spacing w:line="240" w:lineRule="auto"/>
      </w:pPr>
      <w:r>
        <w:separator/>
      </w:r>
    </w:p>
  </w:footnote>
  <w:footnote w:type="continuationSeparator" w:id="0">
    <w:p w14:paraId="3BC2DA94" w14:textId="77777777" w:rsidR="0036204F" w:rsidRDefault="0036204F" w:rsidP="00AE5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C0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10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96CD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F62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CAF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304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063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A65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C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220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65BD"/>
    <w:multiLevelType w:val="hybridMultilevel"/>
    <w:tmpl w:val="F4202C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93828"/>
    <w:multiLevelType w:val="hybridMultilevel"/>
    <w:tmpl w:val="37D2F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A3557"/>
    <w:multiLevelType w:val="hybridMultilevel"/>
    <w:tmpl w:val="FA286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131BA"/>
    <w:multiLevelType w:val="hybridMultilevel"/>
    <w:tmpl w:val="E09EC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70689"/>
    <w:multiLevelType w:val="hybridMultilevel"/>
    <w:tmpl w:val="B456F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B311F"/>
    <w:multiLevelType w:val="hybridMultilevel"/>
    <w:tmpl w:val="4EE64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D549C"/>
    <w:multiLevelType w:val="hybridMultilevel"/>
    <w:tmpl w:val="7512A9BE"/>
    <w:lvl w:ilvl="0" w:tplc="04130001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577685">
    <w:abstractNumId w:val="13"/>
  </w:num>
  <w:num w:numId="2" w16cid:durableId="1890801182">
    <w:abstractNumId w:val="9"/>
  </w:num>
  <w:num w:numId="3" w16cid:durableId="1637177286">
    <w:abstractNumId w:val="7"/>
  </w:num>
  <w:num w:numId="4" w16cid:durableId="121962827">
    <w:abstractNumId w:val="6"/>
  </w:num>
  <w:num w:numId="5" w16cid:durableId="1984002496">
    <w:abstractNumId w:val="5"/>
  </w:num>
  <w:num w:numId="6" w16cid:durableId="1338114056">
    <w:abstractNumId w:val="4"/>
  </w:num>
  <w:num w:numId="7" w16cid:durableId="52511078">
    <w:abstractNumId w:val="8"/>
  </w:num>
  <w:num w:numId="8" w16cid:durableId="1951008542">
    <w:abstractNumId w:val="3"/>
  </w:num>
  <w:num w:numId="9" w16cid:durableId="195850145">
    <w:abstractNumId w:val="2"/>
  </w:num>
  <w:num w:numId="10" w16cid:durableId="1883980964">
    <w:abstractNumId w:val="1"/>
  </w:num>
  <w:num w:numId="11" w16cid:durableId="2029866857">
    <w:abstractNumId w:val="0"/>
  </w:num>
  <w:num w:numId="12" w16cid:durableId="991787412">
    <w:abstractNumId w:val="10"/>
  </w:num>
  <w:num w:numId="13" w16cid:durableId="1667778555">
    <w:abstractNumId w:val="16"/>
  </w:num>
  <w:num w:numId="14" w16cid:durableId="803229507">
    <w:abstractNumId w:val="15"/>
  </w:num>
  <w:num w:numId="15" w16cid:durableId="365646974">
    <w:abstractNumId w:val="11"/>
  </w:num>
  <w:num w:numId="16" w16cid:durableId="532885287">
    <w:abstractNumId w:val="14"/>
  </w:num>
  <w:num w:numId="17" w16cid:durableId="434712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F"/>
    <w:rsid w:val="000041C4"/>
    <w:rsid w:val="000465F7"/>
    <w:rsid w:val="000F5143"/>
    <w:rsid w:val="0010479A"/>
    <w:rsid w:val="0011026F"/>
    <w:rsid w:val="0013159C"/>
    <w:rsid w:val="00191BDA"/>
    <w:rsid w:val="00271F8F"/>
    <w:rsid w:val="00281B83"/>
    <w:rsid w:val="0028561F"/>
    <w:rsid w:val="002950AE"/>
    <w:rsid w:val="002A3BA1"/>
    <w:rsid w:val="0036204F"/>
    <w:rsid w:val="0039609B"/>
    <w:rsid w:val="003F44B2"/>
    <w:rsid w:val="004326C5"/>
    <w:rsid w:val="004817AA"/>
    <w:rsid w:val="00494C34"/>
    <w:rsid w:val="00541064"/>
    <w:rsid w:val="005629F7"/>
    <w:rsid w:val="005A48F1"/>
    <w:rsid w:val="005F513B"/>
    <w:rsid w:val="0065582D"/>
    <w:rsid w:val="0068628D"/>
    <w:rsid w:val="006E297F"/>
    <w:rsid w:val="007433CD"/>
    <w:rsid w:val="00794A9E"/>
    <w:rsid w:val="007D2035"/>
    <w:rsid w:val="007E4205"/>
    <w:rsid w:val="007F2826"/>
    <w:rsid w:val="008001A4"/>
    <w:rsid w:val="008171B0"/>
    <w:rsid w:val="008409AD"/>
    <w:rsid w:val="00843311"/>
    <w:rsid w:val="00854B79"/>
    <w:rsid w:val="008620B7"/>
    <w:rsid w:val="008B6A15"/>
    <w:rsid w:val="008E1BB3"/>
    <w:rsid w:val="008E1FE1"/>
    <w:rsid w:val="009376C5"/>
    <w:rsid w:val="00954F31"/>
    <w:rsid w:val="00956F6C"/>
    <w:rsid w:val="00961980"/>
    <w:rsid w:val="009937D1"/>
    <w:rsid w:val="00AE55CB"/>
    <w:rsid w:val="00B07D1C"/>
    <w:rsid w:val="00B1326B"/>
    <w:rsid w:val="00BB32C2"/>
    <w:rsid w:val="00D03074"/>
    <w:rsid w:val="00D318B9"/>
    <w:rsid w:val="00E5395A"/>
    <w:rsid w:val="00F45055"/>
    <w:rsid w:val="00FA48D4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5CBA"/>
  <w15:chartTrackingRefBased/>
  <w15:docId w15:val="{F9F4B70B-B2CD-4CBE-A568-40CA131F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204F"/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91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A3C63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859A3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A48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9892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48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4565A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E55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55CB"/>
  </w:style>
  <w:style w:type="paragraph" w:styleId="Voettekst">
    <w:name w:val="footer"/>
    <w:basedOn w:val="Standaard"/>
    <w:link w:val="VoettekstChar"/>
    <w:uiPriority w:val="99"/>
    <w:unhideWhenUsed/>
    <w:rsid w:val="00AE55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55CB"/>
  </w:style>
  <w:style w:type="paragraph" w:customStyle="1" w:styleId="Basisalinea">
    <w:name w:val="[Basisalinea]"/>
    <w:basedOn w:val="Standaard"/>
    <w:uiPriority w:val="99"/>
    <w:rsid w:val="00F4505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Hyperlink">
    <w:name w:val="Hyperlink"/>
    <w:basedOn w:val="Standaardalinea-lettertype"/>
    <w:uiPriority w:val="99"/>
    <w:unhideWhenUsed/>
    <w:rsid w:val="009376C5"/>
    <w:rPr>
      <w:color w:val="00989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6C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1064"/>
    <w:rPr>
      <w:color w:val="6859A3" w:themeColor="accent5"/>
      <w:u w:val="single"/>
    </w:rPr>
  </w:style>
  <w:style w:type="paragraph" w:customStyle="1" w:styleId="BriefOnderwerp">
    <w:name w:val="Brief Onderwerp"/>
    <w:aliases w:val="informatie"/>
    <w:basedOn w:val="Standaard"/>
    <w:rsid w:val="0010479A"/>
    <w:pPr>
      <w:spacing w:line="200" w:lineRule="exact"/>
    </w:pPr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191BDA"/>
    <w:rPr>
      <w:rFonts w:asciiTheme="majorHAnsi" w:eastAsiaTheme="majorEastAsia" w:hAnsiTheme="majorHAnsi" w:cstheme="majorBidi"/>
      <w:b/>
      <w:color w:val="1A3C63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A48D4"/>
    <w:rPr>
      <w:rFonts w:asciiTheme="majorHAnsi" w:eastAsiaTheme="majorEastAsia" w:hAnsiTheme="majorHAnsi" w:cstheme="majorBidi"/>
      <w:b/>
      <w:color w:val="6859A3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A48D4"/>
    <w:rPr>
      <w:rFonts w:asciiTheme="majorHAnsi" w:eastAsiaTheme="majorEastAsia" w:hAnsiTheme="majorHAnsi" w:cstheme="majorBidi"/>
      <w:b/>
      <w:color w:val="009892"/>
    </w:rPr>
  </w:style>
  <w:style w:type="character" w:styleId="Intensievebenadrukking">
    <w:name w:val="Intense Emphasis"/>
    <w:basedOn w:val="Standaardalinea-lettertype"/>
    <w:uiPriority w:val="21"/>
    <w:qFormat/>
    <w:rsid w:val="00D03074"/>
    <w:rPr>
      <w:i/>
      <w:iCs/>
      <w:color w:val="007EB7"/>
    </w:rPr>
  </w:style>
  <w:style w:type="character" w:styleId="Intensieveverwijzing">
    <w:name w:val="Intense Reference"/>
    <w:basedOn w:val="Standaardalinea-lettertype"/>
    <w:uiPriority w:val="32"/>
    <w:qFormat/>
    <w:rsid w:val="006E297F"/>
    <w:rPr>
      <w:b/>
      <w:bCs/>
      <w:smallCaps/>
      <w:color w:val="6859A3"/>
      <w:spacing w:val="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48D4"/>
    <w:rPr>
      <w:rFonts w:asciiTheme="majorHAnsi" w:eastAsiaTheme="majorEastAsia" w:hAnsiTheme="majorHAnsi" w:cstheme="majorBidi"/>
      <w:b/>
      <w:i/>
      <w:iCs/>
      <w:color w:val="4565AD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54B79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4B79"/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4B79"/>
    <w:pPr>
      <w:numPr>
        <w:ilvl w:val="1"/>
      </w:numPr>
      <w:spacing w:after="160"/>
    </w:pPr>
    <w:rPr>
      <w:rFonts w:asciiTheme="minorHAnsi" w:eastAsiaTheme="minorEastAsia" w:hAnsiTheme="minorHAnsi"/>
      <w:color w:val="1B365D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4B79"/>
    <w:rPr>
      <w:rFonts w:eastAsiaTheme="minorEastAsia"/>
      <w:color w:val="1B365D"/>
      <w:spacing w:val="1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97F"/>
    <w:pPr>
      <w:pBdr>
        <w:top w:val="single" w:sz="4" w:space="10" w:color="00A767"/>
        <w:bottom w:val="single" w:sz="4" w:space="10" w:color="00A767"/>
      </w:pBdr>
      <w:spacing w:before="360" w:after="360"/>
      <w:ind w:left="864" w:right="864"/>
      <w:jc w:val="center"/>
    </w:pPr>
    <w:rPr>
      <w:i/>
      <w:iCs/>
      <w:color w:val="00A767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97F"/>
    <w:rPr>
      <w:rFonts w:ascii="Arial" w:hAnsi="Arial"/>
      <w:i/>
      <w:iCs/>
      <w:color w:val="00A767"/>
      <w:sz w:val="20"/>
    </w:rPr>
  </w:style>
  <w:style w:type="paragraph" w:styleId="Lijstalinea">
    <w:name w:val="List Paragraph"/>
    <w:basedOn w:val="Standaard"/>
    <w:uiPriority w:val="34"/>
    <w:qFormat/>
    <w:rsid w:val="0011026F"/>
    <w:pPr>
      <w:ind w:left="720"/>
      <w:contextualSpacing/>
    </w:pPr>
  </w:style>
  <w:style w:type="table" w:styleId="Tabelraster">
    <w:name w:val="Table Grid"/>
    <w:basedOn w:val="Standaardtabel"/>
    <w:uiPriority w:val="39"/>
    <w:rsid w:val="000465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0465F7"/>
    <w:pPr>
      <w:spacing w:line="240" w:lineRule="auto"/>
    </w:pPr>
    <w:tblPr>
      <w:tblStyleRowBandSize w:val="1"/>
      <w:tblStyleColBandSize w:val="1"/>
      <w:tblBorders>
        <w:top w:val="single" w:sz="4" w:space="0" w:color="659AD6" w:themeColor="text1" w:themeTint="80"/>
        <w:bottom w:val="single" w:sz="4" w:space="0" w:color="659AD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59AD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59AD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59AD6" w:themeColor="text1" w:themeTint="80"/>
          <w:right w:val="single" w:sz="4" w:space="0" w:color="659AD6" w:themeColor="text1" w:themeTint="80"/>
        </w:tcBorders>
      </w:tcPr>
    </w:tblStylePr>
    <w:tblStylePr w:type="band2Vert">
      <w:tblPr/>
      <w:tcPr>
        <w:tcBorders>
          <w:left w:val="single" w:sz="4" w:space="0" w:color="659AD6" w:themeColor="text1" w:themeTint="80"/>
          <w:right w:val="single" w:sz="4" w:space="0" w:color="659AD6" w:themeColor="text1" w:themeTint="80"/>
        </w:tcBorders>
      </w:tcPr>
    </w:tblStylePr>
    <w:tblStylePr w:type="band1Horz">
      <w:tblPr/>
      <w:tcPr>
        <w:tcBorders>
          <w:top w:val="single" w:sz="4" w:space="0" w:color="659AD6" w:themeColor="text1" w:themeTint="80"/>
          <w:bottom w:val="single" w:sz="4" w:space="0" w:color="659AD6" w:themeColor="text1" w:themeTint="80"/>
        </w:tcBorders>
      </w:tcPr>
    </w:tblStylePr>
  </w:style>
  <w:style w:type="table" w:styleId="Rastertabel1licht-Accent3">
    <w:name w:val="Grid Table 1 Light Accent 3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7CD5FF" w:themeColor="accent3" w:themeTint="66"/>
        <w:left w:val="single" w:sz="4" w:space="0" w:color="7CD5FF" w:themeColor="accent3" w:themeTint="66"/>
        <w:bottom w:val="single" w:sz="4" w:space="0" w:color="7CD5FF" w:themeColor="accent3" w:themeTint="66"/>
        <w:right w:val="single" w:sz="4" w:space="0" w:color="7CD5FF" w:themeColor="accent3" w:themeTint="66"/>
        <w:insideH w:val="single" w:sz="4" w:space="0" w:color="7CD5FF" w:themeColor="accent3" w:themeTint="66"/>
        <w:insideV w:val="single" w:sz="4" w:space="0" w:color="7CD5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AC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C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3">
    <w:name w:val="Plain Table 3"/>
    <w:basedOn w:val="Standaardtabel"/>
    <w:uiPriority w:val="43"/>
    <w:rsid w:val="008B6A1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59AD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59AD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B6A1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B6A1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9AD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9AD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9AD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9AD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85AEDF" w:themeColor="text1" w:themeTint="66"/>
        <w:left w:val="single" w:sz="4" w:space="0" w:color="85AEDF" w:themeColor="text1" w:themeTint="66"/>
        <w:bottom w:val="single" w:sz="4" w:space="0" w:color="85AEDF" w:themeColor="text1" w:themeTint="66"/>
        <w:right w:val="single" w:sz="4" w:space="0" w:color="85AEDF" w:themeColor="text1" w:themeTint="66"/>
        <w:insideH w:val="single" w:sz="4" w:space="0" w:color="85AEDF" w:themeColor="text1" w:themeTint="66"/>
        <w:insideV w:val="single" w:sz="4" w:space="0" w:color="85AED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86C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86C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B2C0E0" w:themeColor="accent1" w:themeTint="66"/>
        <w:left w:val="single" w:sz="4" w:space="0" w:color="B2C0E0" w:themeColor="accent1" w:themeTint="66"/>
        <w:bottom w:val="single" w:sz="4" w:space="0" w:color="B2C0E0" w:themeColor="accent1" w:themeTint="66"/>
        <w:right w:val="single" w:sz="4" w:space="0" w:color="B2C0E0" w:themeColor="accent1" w:themeTint="66"/>
        <w:insideH w:val="single" w:sz="4" w:space="0" w:color="B2C0E0" w:themeColor="accent1" w:themeTint="66"/>
        <w:insideV w:val="single" w:sz="4" w:space="0" w:color="B2C0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1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1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75FFCA" w:themeColor="accent2" w:themeTint="66"/>
        <w:left w:val="single" w:sz="4" w:space="0" w:color="75FFCA" w:themeColor="accent2" w:themeTint="66"/>
        <w:bottom w:val="single" w:sz="4" w:space="0" w:color="75FFCA" w:themeColor="accent2" w:themeTint="66"/>
        <w:right w:val="single" w:sz="4" w:space="0" w:color="75FFCA" w:themeColor="accent2" w:themeTint="66"/>
        <w:insideH w:val="single" w:sz="4" w:space="0" w:color="75FFCA" w:themeColor="accent2" w:themeTint="66"/>
        <w:insideV w:val="single" w:sz="4" w:space="0" w:color="75FF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1FFA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A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B2C0E0" w:themeColor="accent4" w:themeTint="66"/>
        <w:left w:val="single" w:sz="4" w:space="0" w:color="B2C0E0" w:themeColor="accent4" w:themeTint="66"/>
        <w:bottom w:val="single" w:sz="4" w:space="0" w:color="B2C0E0" w:themeColor="accent4" w:themeTint="66"/>
        <w:right w:val="single" w:sz="4" w:space="0" w:color="B2C0E0" w:themeColor="accent4" w:themeTint="66"/>
        <w:insideH w:val="single" w:sz="4" w:space="0" w:color="B2C0E0" w:themeColor="accent4" w:themeTint="66"/>
        <w:insideV w:val="single" w:sz="4" w:space="0" w:color="B2C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A1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1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C2BCDA" w:themeColor="accent5" w:themeTint="66"/>
        <w:left w:val="single" w:sz="4" w:space="0" w:color="C2BCDA" w:themeColor="accent5" w:themeTint="66"/>
        <w:bottom w:val="single" w:sz="4" w:space="0" w:color="C2BCDA" w:themeColor="accent5" w:themeTint="66"/>
        <w:right w:val="single" w:sz="4" w:space="0" w:color="C2BCDA" w:themeColor="accent5" w:themeTint="66"/>
        <w:insideH w:val="single" w:sz="4" w:space="0" w:color="C2BCDA" w:themeColor="accent5" w:themeTint="66"/>
        <w:insideV w:val="single" w:sz="4" w:space="0" w:color="C2BCD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9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9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6FFFF8" w:themeColor="accent6" w:themeTint="66"/>
        <w:left w:val="single" w:sz="4" w:space="0" w:color="6FFFF8" w:themeColor="accent6" w:themeTint="66"/>
        <w:bottom w:val="single" w:sz="4" w:space="0" w:color="6FFFF8" w:themeColor="accent6" w:themeTint="66"/>
        <w:right w:val="single" w:sz="4" w:space="0" w:color="6FFFF8" w:themeColor="accent6" w:themeTint="66"/>
        <w:insideH w:val="single" w:sz="4" w:space="0" w:color="6FFFF8" w:themeColor="accent6" w:themeTint="66"/>
        <w:insideV w:val="single" w:sz="4" w:space="0" w:color="6FFF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6">
    <w:name w:val="Grid Table 3 Accent 6"/>
    <w:basedOn w:val="Standaardtabel"/>
    <w:uiPriority w:val="48"/>
    <w:rsid w:val="008B6A15"/>
    <w:pPr>
      <w:spacing w:line="240" w:lineRule="auto"/>
    </w:pPr>
    <w:tblPr>
      <w:tblStyleRowBandSize w:val="1"/>
      <w:tblStyleColBandSize w:val="1"/>
      <w:tblBorders>
        <w:top w:val="single" w:sz="4" w:space="0" w:color="28FFF5" w:themeColor="accent6" w:themeTint="99"/>
        <w:left w:val="single" w:sz="4" w:space="0" w:color="28FFF5" w:themeColor="accent6" w:themeTint="99"/>
        <w:bottom w:val="single" w:sz="4" w:space="0" w:color="28FFF5" w:themeColor="accent6" w:themeTint="99"/>
        <w:right w:val="single" w:sz="4" w:space="0" w:color="28FFF5" w:themeColor="accent6" w:themeTint="99"/>
        <w:insideH w:val="single" w:sz="4" w:space="0" w:color="28FFF5" w:themeColor="accent6" w:themeTint="99"/>
        <w:insideV w:val="single" w:sz="4" w:space="0" w:color="28FF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B" w:themeFill="accent6" w:themeFillTint="33"/>
      </w:tcPr>
    </w:tblStylePr>
    <w:tblStylePr w:type="band1Horz">
      <w:tblPr/>
      <w:tcPr>
        <w:shd w:val="clear" w:color="auto" w:fill="B7FFFB" w:themeFill="accent6" w:themeFillTint="33"/>
      </w:tcPr>
    </w:tblStylePr>
    <w:tblStylePr w:type="neCell">
      <w:tblPr/>
      <w:tcPr>
        <w:tcBorders>
          <w:bottom w:val="single" w:sz="4" w:space="0" w:color="28FFF5" w:themeColor="accent6" w:themeTint="99"/>
        </w:tcBorders>
      </w:tcPr>
    </w:tblStylePr>
    <w:tblStylePr w:type="nwCell">
      <w:tblPr/>
      <w:tcPr>
        <w:tcBorders>
          <w:bottom w:val="single" w:sz="4" w:space="0" w:color="28FFF5" w:themeColor="accent6" w:themeTint="99"/>
        </w:tcBorders>
      </w:tcPr>
    </w:tblStylePr>
    <w:tblStylePr w:type="seCell">
      <w:tblPr/>
      <w:tcPr>
        <w:tcBorders>
          <w:top w:val="single" w:sz="4" w:space="0" w:color="28FFF5" w:themeColor="accent6" w:themeTint="99"/>
        </w:tcBorders>
      </w:tcPr>
    </w:tblStylePr>
    <w:tblStylePr w:type="swCell">
      <w:tblPr/>
      <w:tcPr>
        <w:tcBorders>
          <w:top w:val="single" w:sz="4" w:space="0" w:color="28FFF5" w:themeColor="accent6" w:themeTint="99"/>
        </w:tcBorders>
      </w:tcPr>
    </w:tblStylePr>
  </w:style>
  <w:style w:type="table" w:styleId="Rastertabel5donker-Accent6">
    <w:name w:val="Grid Table 5 Dark Accent 6"/>
    <w:basedOn w:val="Standaardtabel"/>
    <w:uiPriority w:val="50"/>
    <w:rsid w:val="0054106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89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89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8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892" w:themeFill="accent6"/>
      </w:tcPr>
    </w:tblStylePr>
    <w:tblStylePr w:type="band1Vert">
      <w:tblPr/>
      <w:tcPr>
        <w:shd w:val="clear" w:color="auto" w:fill="6FFFF8" w:themeFill="accent6" w:themeFillTint="66"/>
      </w:tcPr>
    </w:tblStylePr>
    <w:tblStylePr w:type="band1Horz">
      <w:tblPr/>
      <w:tcPr>
        <w:shd w:val="clear" w:color="auto" w:fill="6FFFF8" w:themeFill="accent6" w:themeFillTint="66"/>
      </w:tcPr>
    </w:tblStylePr>
  </w:style>
  <w:style w:type="table" w:styleId="Rastertabel4-Accent6">
    <w:name w:val="Grid Table 4 Accent 6"/>
    <w:basedOn w:val="Standaardtabel"/>
    <w:uiPriority w:val="49"/>
    <w:rsid w:val="00541064"/>
    <w:pPr>
      <w:spacing w:line="240" w:lineRule="auto"/>
    </w:pPr>
    <w:tblPr>
      <w:tblStyleRowBandSize w:val="1"/>
      <w:tblStyleColBandSize w:val="1"/>
      <w:tblBorders>
        <w:top w:val="single" w:sz="4" w:space="0" w:color="28FFF5" w:themeColor="accent6" w:themeTint="99"/>
        <w:left w:val="single" w:sz="4" w:space="0" w:color="28FFF5" w:themeColor="accent6" w:themeTint="99"/>
        <w:bottom w:val="single" w:sz="4" w:space="0" w:color="28FFF5" w:themeColor="accent6" w:themeTint="99"/>
        <w:right w:val="single" w:sz="4" w:space="0" w:color="28FFF5" w:themeColor="accent6" w:themeTint="99"/>
        <w:insideH w:val="single" w:sz="4" w:space="0" w:color="28FFF5" w:themeColor="accent6" w:themeTint="99"/>
        <w:insideV w:val="single" w:sz="4" w:space="0" w:color="28FF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892" w:themeColor="accent6"/>
          <w:left w:val="single" w:sz="4" w:space="0" w:color="009892" w:themeColor="accent6"/>
          <w:bottom w:val="single" w:sz="4" w:space="0" w:color="009892" w:themeColor="accent6"/>
          <w:right w:val="single" w:sz="4" w:space="0" w:color="009892" w:themeColor="accent6"/>
          <w:insideH w:val="nil"/>
          <w:insideV w:val="nil"/>
        </w:tcBorders>
        <w:shd w:val="clear" w:color="auto" w:fill="009892" w:themeFill="accent6"/>
      </w:tcPr>
    </w:tblStylePr>
    <w:tblStylePr w:type="lastRow">
      <w:rPr>
        <w:b/>
        <w:bCs/>
      </w:rPr>
      <w:tblPr/>
      <w:tcPr>
        <w:tcBorders>
          <w:top w:val="double" w:sz="4" w:space="0" w:color="0098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B" w:themeFill="accent6" w:themeFillTint="33"/>
      </w:tcPr>
    </w:tblStylePr>
    <w:tblStylePr w:type="band1Horz">
      <w:tblPr/>
      <w:tcPr>
        <w:shd w:val="clear" w:color="auto" w:fill="B7FFF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Horst aan de Maas">
      <a:dk1>
        <a:srgbClr val="1A3C63"/>
      </a:dk1>
      <a:lt1>
        <a:srgbClr val="FFFFFF"/>
      </a:lt1>
      <a:dk2>
        <a:srgbClr val="1A3C63"/>
      </a:dk2>
      <a:lt2>
        <a:srgbClr val="FFFFFF"/>
      </a:lt2>
      <a:accent1>
        <a:srgbClr val="4565AD"/>
      </a:accent1>
      <a:accent2>
        <a:srgbClr val="00A767"/>
      </a:accent2>
      <a:accent3>
        <a:srgbClr val="007EB7"/>
      </a:accent3>
      <a:accent4>
        <a:srgbClr val="4565AD"/>
      </a:accent4>
      <a:accent5>
        <a:srgbClr val="6859A3"/>
      </a:accent5>
      <a:accent6>
        <a:srgbClr val="009892"/>
      </a:accent6>
      <a:hlink>
        <a:srgbClr val="009892"/>
      </a:hlink>
      <a:folHlink>
        <a:srgbClr val="C8D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Gerlie Reemers</dc:creator>
  <cp:keywords/>
  <dc:description/>
  <cp:lastModifiedBy>Gerlie Reemers</cp:lastModifiedBy>
  <cp:revision>2</cp:revision>
  <cp:lastPrinted>2022-08-02T12:50:00Z</cp:lastPrinted>
  <dcterms:created xsi:type="dcterms:W3CDTF">2022-11-15T13:49:00Z</dcterms:created>
  <dcterms:modified xsi:type="dcterms:W3CDTF">2022-11-15T13:52:00Z</dcterms:modified>
</cp:coreProperties>
</file>