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77777777"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w:t>
      </w:r>
      <w:proofErr w:type="spellStart"/>
      <w:r w:rsidR="009C0136" w:rsidRPr="009C0136">
        <w:rPr>
          <w:bCs/>
          <w:color w:val="auto"/>
          <w:sz w:val="22"/>
        </w:rPr>
        <w:t>PvE</w:t>
      </w:r>
      <w:proofErr w:type="spellEnd"/>
      <w:r w:rsidR="009C0136" w:rsidRPr="009C0136">
        <w:rPr>
          <w:bCs/>
          <w:color w:val="auto"/>
          <w:sz w:val="22"/>
        </w:rPr>
        <w:t xml:space="preser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13007A3C" w14:textId="77777777" w:rsidR="0061213C" w:rsidRPr="009C0136"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proofErr w:type="spellStart"/>
      <w:r w:rsidR="009C0136" w:rsidRPr="009C0136">
        <w:rPr>
          <w:bCs/>
          <w:color w:val="auto"/>
          <w:sz w:val="22"/>
        </w:rPr>
        <w:t>PvE</w:t>
      </w:r>
      <w:proofErr w:type="spellEnd"/>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145E0B11" w14:textId="77777777" w:rsidR="0061213C" w:rsidRPr="0061213C" w:rsidRDefault="0061213C" w:rsidP="0061213C">
      <w:pPr>
        <w:spacing w:line="240" w:lineRule="auto"/>
        <w:rPr>
          <w:b/>
          <w:bCs/>
          <w:sz w:val="22"/>
        </w:rPr>
      </w:pPr>
    </w:p>
    <w:p w14:paraId="76DB58A6" w14:textId="77777777" w:rsidR="0061213C" w:rsidRPr="0061213C" w:rsidRDefault="0061213C" w:rsidP="0061213C">
      <w:pPr>
        <w:pStyle w:val="Kop2"/>
      </w:pPr>
      <w:r w:rsidRPr="0061213C">
        <w:t xml:space="preserve">2. </w:t>
      </w:r>
      <w:r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777777" w:rsidR="0061213C" w:rsidRPr="0061213C" w:rsidRDefault="0061213C" w:rsidP="0061213C">
      <w:pPr>
        <w:pStyle w:val="Kop4"/>
      </w:pPr>
      <w:r w:rsidRPr="0061213C">
        <w:t>2.1</w:t>
      </w:r>
      <w:r w:rsidRPr="0061213C">
        <w:tab/>
        <w:t>Wettelijke eisen</w:t>
      </w:r>
    </w:p>
    <w:p w14:paraId="61808317" w14:textId="77777777" w:rsidR="0061213C" w:rsidRPr="009C0136" w:rsidRDefault="0061213C" w:rsidP="0061213C">
      <w:pPr>
        <w:pStyle w:val="Geenafstand"/>
        <w:rPr>
          <w:color w:val="auto"/>
          <w:sz w:val="22"/>
        </w:rPr>
      </w:pPr>
      <w:r w:rsidRPr="009C0136">
        <w:rPr>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77777777" w:rsidR="0061213C" w:rsidRPr="0061213C" w:rsidRDefault="0061213C" w:rsidP="0061213C">
      <w:pPr>
        <w:pStyle w:val="Kop4"/>
      </w:pPr>
      <w:r w:rsidRPr="0061213C">
        <w:t>2.2</w:t>
      </w:r>
      <w:r w:rsidRPr="0061213C">
        <w:tab/>
        <w:t>Gemeentelijk beleid</w:t>
      </w:r>
    </w:p>
    <w:p w14:paraId="0AC2A8BD" w14:textId="77777777" w:rsidR="0061213C" w:rsidRPr="0061213C" w:rsidRDefault="0061213C" w:rsidP="0061213C">
      <w:pPr>
        <w:pStyle w:val="Geenafstand"/>
        <w:rPr>
          <w:sz w:val="22"/>
        </w:rPr>
      </w:pPr>
      <w:r w:rsidRPr="009C0136">
        <w:rPr>
          <w:color w:val="auto"/>
          <w:sz w:val="22"/>
        </w:rPr>
        <w:t>Van de Inschrijvers wordt verwacht dat zij het gemeentelijk en regionaal beleid kennen en handelen conform dit beleid. De ontwikkeling van het regionaal beleid is vastgelegd in de Transformatie agenda en het actieprogramma Passend Onderwijs.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77777777" w:rsidR="0061213C" w:rsidRPr="0061213C" w:rsidRDefault="0061213C" w:rsidP="0061213C">
      <w:pPr>
        <w:pStyle w:val="Kop4"/>
      </w:pPr>
      <w:r w:rsidRPr="0061213C">
        <w:lastRenderedPageBreak/>
        <w:t>2.3</w:t>
      </w:r>
      <w:r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w:t>
      </w:r>
      <w:proofErr w:type="spellStart"/>
      <w:r w:rsidRPr="009C0136">
        <w:rPr>
          <w:bCs/>
          <w:color w:val="auto"/>
          <w:sz w:val="22"/>
        </w:rPr>
        <w:t>Evidence</w:t>
      </w:r>
      <w:proofErr w:type="spellEnd"/>
      <w:r w:rsidRPr="009C0136">
        <w:rPr>
          <w:bCs/>
          <w:color w:val="auto"/>
          <w:sz w:val="22"/>
        </w:rPr>
        <w:t xml:space="preserve"> </w:t>
      </w:r>
      <w:proofErr w:type="spellStart"/>
      <w:r w:rsidRPr="009C0136">
        <w:rPr>
          <w:bCs/>
          <w:color w:val="auto"/>
          <w:sz w:val="22"/>
        </w:rPr>
        <w:t>based</w:t>
      </w:r>
      <w:proofErr w:type="spellEnd"/>
      <w:r w:rsidRPr="009C0136">
        <w:rPr>
          <w:bCs/>
          <w:color w:val="auto"/>
          <w:sz w:val="22"/>
        </w:rPr>
        <w:t xml:space="preserve">)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77777777" w:rsidR="0061213C" w:rsidRPr="0061213C" w:rsidRDefault="0061213C" w:rsidP="0061213C">
      <w:pPr>
        <w:pStyle w:val="Kop4"/>
      </w:pPr>
      <w:r w:rsidRPr="0061213C">
        <w:t>2.4</w:t>
      </w:r>
      <w:r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lastRenderedPageBreak/>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77777777" w:rsidR="0061213C" w:rsidRPr="0061213C" w:rsidRDefault="0061213C" w:rsidP="0061213C">
      <w:pPr>
        <w:pStyle w:val="Kop4"/>
      </w:pPr>
      <w:r w:rsidRPr="0061213C">
        <w:t>2.5</w:t>
      </w:r>
      <w:r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 xml:space="preserve">Het Licht Instrument Risicotaxatie en </w:t>
      </w:r>
      <w:proofErr w:type="spellStart"/>
      <w:r w:rsidRPr="009C0136">
        <w:rPr>
          <w:bCs/>
          <w:color w:val="auto"/>
          <w:sz w:val="22"/>
        </w:rPr>
        <w:t>Kindveiligheid</w:t>
      </w:r>
      <w:proofErr w:type="spellEnd"/>
      <w:r w:rsidRPr="009C0136">
        <w:rPr>
          <w:bCs/>
          <w:color w:val="auto"/>
          <w:sz w:val="22"/>
        </w:rPr>
        <w:t xml:space="preserve">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w:t>
      </w:r>
      <w:proofErr w:type="spellStart"/>
      <w:r w:rsidRPr="009C0136">
        <w:rPr>
          <w:rFonts w:eastAsia="Calibri"/>
          <w:bCs/>
          <w:color w:val="auto"/>
          <w:sz w:val="22"/>
        </w:rPr>
        <w:t>IVenJ</w:t>
      </w:r>
      <w:proofErr w:type="spellEnd"/>
      <w:r w:rsidRPr="009C0136">
        <w:rPr>
          <w:rFonts w:eastAsia="Calibri"/>
          <w:bCs/>
          <w:color w:val="auto"/>
          <w:sz w:val="22"/>
        </w:rPr>
        <w:t>). De Inschrijver verleent medewerking aan onderzoek indien de toezichthouders 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t>
      </w:r>
      <w:proofErr w:type="spellStart"/>
      <w:r w:rsidRPr="009C0136">
        <w:rPr>
          <w:rFonts w:eastAsia="Calibri"/>
          <w:bCs/>
          <w:color w:val="auto"/>
          <w:sz w:val="22"/>
        </w:rPr>
        <w:t>Wmo</w:t>
      </w:r>
      <w:proofErr w:type="spellEnd"/>
      <w:r w:rsidRPr="009C0136">
        <w:rPr>
          <w:rFonts w:eastAsia="Calibri"/>
          <w:bCs/>
          <w:color w:val="auto"/>
          <w:sz w:val="22"/>
        </w:rPr>
        <w:t xml:space="preserve"> 2015 en Jeugdwet, geldt dat als een van de rapporten een onvoldoende uitkomst heeft, dit tot </w:t>
      </w:r>
      <w:r w:rsidRPr="009C0136">
        <w:rPr>
          <w:rFonts w:eastAsia="Calibri"/>
          <w:bCs/>
          <w:color w:val="auto"/>
          <w:sz w:val="22"/>
        </w:rPr>
        <w:lastRenderedPageBreak/>
        <w:t xml:space="preserve">opschorting leidt van zowel de Overeenkomst in het kader van de Jeugdwet als in het kader van de </w:t>
      </w:r>
      <w:proofErr w:type="spellStart"/>
      <w:r w:rsidRPr="009C0136">
        <w:rPr>
          <w:rFonts w:eastAsia="Calibri"/>
          <w:bCs/>
          <w:color w:val="auto"/>
          <w:sz w:val="22"/>
        </w:rPr>
        <w:t>Wmo</w:t>
      </w:r>
      <w:proofErr w:type="spellEnd"/>
      <w:r w:rsidRPr="009C0136">
        <w:rPr>
          <w:rFonts w:eastAsia="Calibri"/>
          <w:bCs/>
          <w:color w:val="auto"/>
          <w:sz w:val="22"/>
        </w:rPr>
        <w:t xml:space="preserve"> 2015. Deze 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t>
      </w:r>
      <w:proofErr w:type="spellStart"/>
      <w:r w:rsidRPr="009C0136">
        <w:rPr>
          <w:bCs/>
          <w:iCs/>
          <w:color w:val="auto"/>
          <w:sz w:val="22"/>
        </w:rPr>
        <w:t>Wmo</w:t>
      </w:r>
      <w:proofErr w:type="spellEnd"/>
      <w:r w:rsidRPr="009C0136">
        <w:rPr>
          <w:bCs/>
          <w:iCs/>
          <w:color w:val="auto"/>
          <w:sz w:val="22"/>
        </w:rPr>
        <w:t xml:space="preserve">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t>
      </w:r>
      <w:proofErr w:type="spellStart"/>
      <w:r w:rsidRPr="009C0136">
        <w:rPr>
          <w:bCs/>
          <w:iCs/>
          <w:color w:val="auto"/>
          <w:sz w:val="22"/>
        </w:rPr>
        <w:t>Wmo</w:t>
      </w:r>
      <w:proofErr w:type="spellEnd"/>
      <w:r w:rsidRPr="009C0136">
        <w:rPr>
          <w:bCs/>
          <w:iCs/>
          <w:color w:val="auto"/>
          <w:sz w:val="22"/>
        </w:rPr>
        <w:t xml:space="preserve">)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w:t>
      </w:r>
      <w:proofErr w:type="spellStart"/>
      <w:r w:rsidRPr="009C0136">
        <w:rPr>
          <w:bCs/>
          <w:iCs/>
          <w:color w:val="auto"/>
          <w:sz w:val="22"/>
        </w:rPr>
        <w:t>Awb</w:t>
      </w:r>
      <w:proofErr w:type="spellEnd"/>
      <w:r w:rsidRPr="009C0136">
        <w:rPr>
          <w:bCs/>
          <w:iCs/>
          <w:color w:val="auto"/>
          <w:sz w:val="22"/>
        </w:rPr>
        <w:t xml:space="preserve">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De bepalingen van hoofdstuk 7 van de Regeling Zorgverzekering zijn zoveel mogelijk overeenkomstig van toepassing, 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77777777" w:rsidR="0061213C" w:rsidRPr="0061213C" w:rsidRDefault="0061213C" w:rsidP="0061213C">
      <w:pPr>
        <w:pStyle w:val="Kop4"/>
      </w:pPr>
      <w:r w:rsidRPr="0061213C">
        <w:lastRenderedPageBreak/>
        <w:t>2.6</w:t>
      </w:r>
      <w:r w:rsidRPr="0061213C">
        <w:tab/>
        <w:t>Calamiteiten</w:t>
      </w:r>
    </w:p>
    <w:p w14:paraId="2B38055A" w14:textId="77777777"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Dit protocol is terug te vinden op </w:t>
      </w:r>
      <w:hyperlink r:id="rId9" w:history="1">
        <w:r w:rsidRPr="0061213C">
          <w:rPr>
            <w:rStyle w:val="Hyperlink"/>
            <w:bCs/>
            <w:iCs/>
            <w:sz w:val="22"/>
          </w:rPr>
          <w:t>www.zorginzou.nl</w:t>
        </w:r>
      </w:hyperlink>
      <w:r w:rsidRPr="0061213C">
        <w:rPr>
          <w:bCs/>
          <w:iCs/>
          <w:sz w:val="22"/>
        </w:rPr>
        <w:t xml:space="preserve">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77777777" w:rsidR="0061213C" w:rsidRPr="0061213C" w:rsidRDefault="0061213C" w:rsidP="0061213C">
      <w:pPr>
        <w:pStyle w:val="Kop2"/>
      </w:pPr>
      <w:r w:rsidRPr="0061213C">
        <w:lastRenderedPageBreak/>
        <w:t>3.</w:t>
      </w:r>
      <w:r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608"/>
        <w:gridCol w:w="3950"/>
        <w:gridCol w:w="3697"/>
        <w:gridCol w:w="1033"/>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77008D09" w14:textId="77777777" w:rsidR="0061213C" w:rsidRPr="009C0136" w:rsidRDefault="0061213C" w:rsidP="009C0136">
            <w:pPr>
              <w:rPr>
                <w:color w:val="auto"/>
                <w:sz w:val="22"/>
              </w:rPr>
            </w:pPr>
            <w:r w:rsidRPr="009C0136">
              <w:rPr>
                <w:color w:val="auto"/>
                <w:sz w:val="22"/>
              </w:rPr>
              <w:t>Akkoord</w:t>
            </w:r>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77777777"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Pr="009C0136">
              <w:rPr>
                <w:rStyle w:val="Voetnootmarkering"/>
                <w:color w:val="auto"/>
                <w:sz w:val="22"/>
              </w:rPr>
              <w:footnoteReference w:id="3"/>
            </w:r>
            <w:r w:rsidR="009C0136">
              <w:rPr>
                <w:color w:val="auto"/>
                <w:sz w:val="22"/>
              </w:rPr>
              <w:t>.</w:t>
            </w:r>
          </w:p>
        </w:tc>
        <w:tc>
          <w:tcPr>
            <w:tcW w:w="1990" w:type="pct"/>
          </w:tcPr>
          <w:p w14:paraId="11CFF069" w14:textId="51E54405"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Toelating WTZI, </w:t>
            </w:r>
            <w:r w:rsidR="00901E11">
              <w:rPr>
                <w:color w:val="auto"/>
                <w:sz w:val="22"/>
              </w:rPr>
              <w:t xml:space="preserve">of WTZA </w:t>
            </w:r>
            <w:r w:rsidRPr="009C0136">
              <w:rPr>
                <w:color w:val="auto"/>
                <w:sz w:val="22"/>
              </w:rPr>
              <w:t xml:space="preserve">nadat </w:t>
            </w:r>
            <w:r w:rsidR="00901E11">
              <w:rPr>
                <w:color w:val="auto"/>
                <w:sz w:val="22"/>
              </w:rPr>
              <w:t xml:space="preserve">deze </w:t>
            </w:r>
            <w:r w:rsidRPr="009C0136">
              <w:rPr>
                <w:color w:val="auto"/>
                <w:sz w:val="22"/>
              </w:rPr>
              <w:t xml:space="preserve">wetgeving van kracht is geworden. </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 xml:space="preserve">Een Data </w:t>
            </w:r>
            <w:proofErr w:type="spellStart"/>
            <w:r w:rsidRPr="009C0136">
              <w:rPr>
                <w:color w:val="auto"/>
                <w:sz w:val="22"/>
              </w:rPr>
              <w:t>Protection</w:t>
            </w:r>
            <w:proofErr w:type="spellEnd"/>
            <w:r w:rsidRPr="009C0136">
              <w:rPr>
                <w:color w:val="auto"/>
                <w:sz w:val="22"/>
              </w:rPr>
              <w:t xml:space="preserve"> Impact Assessment (DPIA), zoals omschreven in de AVG</w:t>
            </w:r>
          </w:p>
        </w:tc>
        <w:tc>
          <w:tcPr>
            <w:tcW w:w="1990" w:type="pct"/>
          </w:tcPr>
          <w:p w14:paraId="2A8B4B80"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proofErr w:type="spellStart"/>
            <w:r w:rsidRPr="009C0136">
              <w:rPr>
                <w:rFonts w:cs="Arial"/>
                <w:color w:val="auto"/>
                <w:sz w:val="22"/>
              </w:rPr>
              <w:t>Privacybeleid</w:t>
            </w:r>
            <w:proofErr w:type="spellEnd"/>
          </w:p>
          <w:p w14:paraId="3CDC422B"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van verwerkingen</w:t>
            </w:r>
          </w:p>
          <w:p w14:paraId="68E34F33"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datalekken</w:t>
            </w:r>
          </w:p>
          <w:p w14:paraId="736240B9"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DPIA conform AVG</w:t>
            </w: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10"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 xml:space="preserve">De Inschrijver werkt volgens geldende (en toekomstige herzieningen) beroepsstandaarden, (CBO)richtlijnen, veelbelovende of </w:t>
            </w:r>
            <w:proofErr w:type="spellStart"/>
            <w:r w:rsidRPr="009C0136">
              <w:rPr>
                <w:color w:val="auto"/>
                <w:sz w:val="22"/>
              </w:rPr>
              <w:t>evidence</w:t>
            </w:r>
            <w:proofErr w:type="spellEnd"/>
            <w:r w:rsidRPr="009C0136">
              <w:rPr>
                <w:color w:val="auto"/>
                <w:sz w:val="22"/>
              </w:rPr>
              <w:t xml:space="preserve"> </w:t>
            </w:r>
            <w:proofErr w:type="spellStart"/>
            <w:r w:rsidRPr="009C0136">
              <w:rPr>
                <w:color w:val="auto"/>
                <w:sz w:val="22"/>
              </w:rPr>
              <w:t>based</w:t>
            </w:r>
            <w:proofErr w:type="spellEnd"/>
            <w:r w:rsidRPr="009C0136">
              <w:rPr>
                <w:color w:val="auto"/>
                <w:sz w:val="22"/>
              </w:rPr>
              <w:t xml:space="preserve"> methodes en implementeert deze in zijn werkwijze. De Inschrijver zorgt voor kwalitatief goede, gevalideerde en zo mogelijk wetenschappelijk onderbouwde interventiemethoden.</w:t>
            </w:r>
          </w:p>
        </w:tc>
        <w:tc>
          <w:tcPr>
            <w:tcW w:w="1990" w:type="pct"/>
          </w:tcPr>
          <w:p w14:paraId="12A80F98" w14:textId="636F58AB"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Pr>
                <w:color w:val="auto"/>
                <w:sz w:val="22"/>
              </w:rPr>
              <w:t xml:space="preserve">met beschrijving </w:t>
            </w:r>
            <w:r w:rsidRPr="009C0136">
              <w:rPr>
                <w:color w:val="auto"/>
                <w:sz w:val="22"/>
              </w:rPr>
              <w:t>van gehanteerde methoden.</w:t>
            </w: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77777777" w:rsidR="0061213C" w:rsidRPr="009C0136" w:rsidRDefault="0061213C" w:rsidP="009C0136">
            <w:pPr>
              <w:rPr>
                <w:color w:val="auto"/>
                <w:sz w:val="22"/>
              </w:rPr>
            </w:pPr>
            <w:r w:rsidRPr="009C0136">
              <w:rPr>
                <w:color w:val="auto"/>
                <w:sz w:val="22"/>
              </w:rPr>
              <w:t xml:space="preserve">De Inschrijver voldoet aan de eisen van de norm van verantwoorde werktoedeling zoals omschreven in het </w:t>
            </w:r>
            <w:hyperlink r:id="rId11" w:history="1">
              <w:r w:rsidRPr="009C0136">
                <w:rPr>
                  <w:rStyle w:val="Hyperlink"/>
                  <w:color w:val="auto"/>
                  <w:sz w:val="22"/>
                </w:rPr>
                <w:t>Kwaliteitskader Jeugd</w:t>
              </w:r>
            </w:hyperlink>
            <w:r w:rsidRPr="009C0136">
              <w:rPr>
                <w:color w:val="auto"/>
                <w:sz w:val="22"/>
                <w:u w:val="single"/>
              </w:rPr>
              <w:t>.</w:t>
            </w:r>
            <w:r w:rsidRPr="009C0136">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1A85F584"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met het in de Regio werkzame personeel en hun registratienummer en hun diploma’s (voor Toetsingskader opleidingen en overzicht met opleidingen zie bijlage 1 t/m 3 bij </w:t>
            </w:r>
            <w:proofErr w:type="spellStart"/>
            <w:r w:rsidR="00072E6C">
              <w:rPr>
                <w:color w:val="auto"/>
                <w:sz w:val="22"/>
              </w:rPr>
              <w:t>PvE</w:t>
            </w:r>
            <w:proofErr w:type="spellEnd"/>
            <w:r w:rsidR="00072E6C">
              <w:rPr>
                <w:color w:val="auto"/>
                <w:sz w:val="22"/>
              </w:rPr>
              <w:t>).</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33F325D2"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betreffende functie die door de medewerker wordt uitgevoerd te zijn afgegeven. De verklaring mag niet eerder zijn afgegeven dan drie maanden voor het tijdstip waarop betrokkenen bij de aanbieder in dienst is getreden. 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 xml:space="preserve">Inschrijver specificeert en verklaart de aanwezigheid van de </w:t>
            </w:r>
            <w:proofErr w:type="spellStart"/>
            <w:r w:rsidR="00A31EDD">
              <w:rPr>
                <w:rFonts w:eastAsia="Calibri" w:cs="Arial"/>
                <w:color w:val="auto"/>
                <w:sz w:val="22"/>
                <w:szCs w:val="20"/>
              </w:rPr>
              <w:t>VOG’s</w:t>
            </w:r>
            <w:proofErr w:type="spellEnd"/>
            <w:r w:rsidR="00A31EDD">
              <w:rPr>
                <w:rFonts w:eastAsia="Calibri" w:cs="Arial"/>
                <w:color w:val="auto"/>
                <w:sz w:val="22"/>
                <w:szCs w:val="20"/>
              </w:rPr>
              <w:t xml:space="preserve">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lastRenderedPageBreak/>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4"/>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p w14:paraId="3F489C86" w14:textId="77777777" w:rsidR="0061213C" w:rsidRPr="0061213C" w:rsidRDefault="0061213C" w:rsidP="0061213C">
      <w:pPr>
        <w:rPr>
          <w:b/>
          <w:bCs/>
          <w:sz w:val="22"/>
        </w:rPr>
      </w:pPr>
    </w:p>
    <w:p w14:paraId="5FA98E87" w14:textId="77777777" w:rsidR="00072E6C" w:rsidRDefault="0061213C" w:rsidP="0061213C">
      <w:pPr>
        <w:pStyle w:val="Kop2"/>
      </w:pPr>
      <w:r w:rsidRPr="0061213C">
        <w:t xml:space="preserve"> </w:t>
      </w:r>
      <w:bookmarkEnd w:id="0"/>
    </w:p>
    <w:p w14:paraId="06CDC6AF" w14:textId="77777777" w:rsidR="00072E6C" w:rsidRDefault="00072E6C" w:rsidP="00072E6C">
      <w:pPr>
        <w:rPr>
          <w:rFonts w:eastAsiaTheme="majorEastAsia" w:cstheme="majorBidi"/>
          <w:color w:val="000000" w:themeColor="text1"/>
          <w:sz w:val="24"/>
          <w:szCs w:val="26"/>
        </w:rPr>
      </w:pPr>
      <w:r>
        <w:br w:type="page"/>
      </w:r>
    </w:p>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27101686" w14:textId="77777777" w:rsidR="0061213C" w:rsidRPr="0061213C" w:rsidRDefault="0061213C" w:rsidP="009C0136">
            <w:pPr>
              <w:rPr>
                <w:b/>
                <w:sz w:val="22"/>
              </w:rPr>
            </w:pPr>
            <w:r w:rsidRPr="0061213C">
              <w:rPr>
                <w:b/>
                <w:sz w:val="22"/>
              </w:rPr>
              <w:t>Akkoord</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388794B1"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2"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w:t>
            </w:r>
            <w:proofErr w:type="spellStart"/>
            <w:r w:rsidRPr="00072E6C">
              <w:rPr>
                <w:color w:val="auto"/>
                <w:sz w:val="22"/>
              </w:rPr>
              <w:t>regiebehandelaren</w:t>
            </w:r>
            <w:proofErr w:type="spellEnd"/>
            <w:r w:rsidRPr="00072E6C">
              <w:rPr>
                <w:color w:val="auto"/>
                <w:sz w:val="22"/>
              </w:rPr>
              <w:t xml:space="preserve">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77777777" w:rsidR="0061213C" w:rsidRPr="00072E6C" w:rsidRDefault="0061213C" w:rsidP="009C0136">
            <w:pPr>
              <w:pStyle w:val="Geenafstand"/>
              <w:rPr>
                <w:b/>
                <w:color w:val="auto"/>
                <w:sz w:val="22"/>
              </w:rPr>
            </w:pPr>
            <w:r w:rsidRPr="00072E6C">
              <w:rPr>
                <w:color w:val="auto"/>
                <w:sz w:val="22"/>
              </w:rPr>
              <w:t xml:space="preserve">De Inschrijver conformeert zich aan geldende kwaliteitsstandaarden zoals het Protocol Dyslexie Diagnose en Behandeling </w:t>
            </w:r>
            <w:proofErr w:type="spellStart"/>
            <w:r w:rsidRPr="00072E6C">
              <w:rPr>
                <w:color w:val="auto"/>
                <w:sz w:val="22"/>
              </w:rPr>
              <w:t>Blomert</w:t>
            </w:r>
            <w:proofErr w:type="spellEnd"/>
            <w:r w:rsidRPr="00072E6C">
              <w:rPr>
                <w:color w:val="auto"/>
                <w:sz w:val="22"/>
              </w:rPr>
              <w:t xml:space="preserve"> 2.0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lastRenderedPageBreak/>
        <w:t>Bijlagen</w:t>
      </w:r>
    </w:p>
    <w:p w14:paraId="2D0B040C" w14:textId="77777777" w:rsidR="00A12431" w:rsidRPr="00A12431" w:rsidRDefault="00A12431" w:rsidP="00A12431">
      <w:pPr>
        <w:pStyle w:val="Lijstalinea"/>
        <w:numPr>
          <w:ilvl w:val="0"/>
          <w:numId w:val="38"/>
        </w:numPr>
        <w:rPr>
          <w:color w:val="auto"/>
        </w:rPr>
      </w:pPr>
      <w:r w:rsidRPr="00A12431">
        <w:rPr>
          <w:color w:val="auto"/>
        </w:rPr>
        <w:t>Bijlage 1: Toetsingskader opleidingen</w:t>
      </w:r>
    </w:p>
    <w:p w14:paraId="1AA7158E" w14:textId="77777777" w:rsidR="00A12431" w:rsidRPr="00A12431" w:rsidRDefault="00A12431" w:rsidP="00A12431">
      <w:pPr>
        <w:pStyle w:val="Lijstalinea"/>
        <w:numPr>
          <w:ilvl w:val="0"/>
          <w:numId w:val="38"/>
        </w:numPr>
        <w:rPr>
          <w:color w:val="auto"/>
        </w:rPr>
      </w:pPr>
      <w:r w:rsidRPr="00A12431">
        <w:rPr>
          <w:color w:val="auto"/>
        </w:rPr>
        <w:t>Bijlage 2: Overzicht relevante HBO+WO-diploma’s</w:t>
      </w:r>
    </w:p>
    <w:p w14:paraId="16F2B038" w14:textId="77777777" w:rsidR="00A12431" w:rsidRPr="00A12431" w:rsidRDefault="00A12431" w:rsidP="00A12431">
      <w:pPr>
        <w:pStyle w:val="Lijstalinea"/>
        <w:numPr>
          <w:ilvl w:val="0"/>
          <w:numId w:val="38"/>
        </w:numPr>
        <w:rPr>
          <w:color w:val="auto"/>
        </w:rPr>
      </w:pPr>
      <w:r w:rsidRPr="00A12431">
        <w:rPr>
          <w:color w:val="auto"/>
        </w:rPr>
        <w:t>Bijlage 3: Overzicht relevante MBO-diploma’s</w:t>
      </w:r>
    </w:p>
    <w:p w14:paraId="775F20B1" w14:textId="77777777" w:rsidR="00A12431" w:rsidRDefault="00A12431" w:rsidP="0061213C">
      <w:pPr>
        <w:pStyle w:val="Kop2"/>
        <w:rPr>
          <w:color w:val="auto"/>
        </w:rPr>
      </w:pPr>
    </w:p>
    <w:p w14:paraId="17762A07" w14:textId="77777777" w:rsidR="00A12431" w:rsidRDefault="00A12431" w:rsidP="0061213C">
      <w:pPr>
        <w:pStyle w:val="Kop2"/>
        <w:rPr>
          <w:color w:val="auto"/>
        </w:rPr>
      </w:pP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519"/>
        <w:gridCol w:w="6769"/>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3"/>
      <w:headerReference w:type="first" r:id="rId14"/>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charset w:val="00"/>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E00002F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80395F0" w14:textId="7D75DA61" w:rsidR="009C0136" w:rsidRDefault="009C0136" w:rsidP="0061213C">
      <w:pPr>
        <w:pStyle w:val="Voetnoottekst"/>
      </w:pPr>
      <w:r>
        <w:rPr>
          <w:rStyle w:val="Voetnootmarkering"/>
        </w:rPr>
        <w:footnoteRef/>
      </w:r>
      <w:r>
        <w:t xml:space="preserve"> Hiermee wordt gedoeld op te ontwikkeling van de WTZ</w:t>
      </w:r>
      <w:r w:rsidR="00901E11">
        <w:t>A</w:t>
      </w:r>
      <w:r>
        <w:t xml:space="preserve"> (Wet toegelaten zorg</w:t>
      </w:r>
      <w:r w:rsidR="00901E11">
        <w:t>aanbieders</w:t>
      </w:r>
      <w:r w:rsidR="00A85B4C">
        <w:t xml:space="preserve"> </w:t>
      </w:r>
      <w:r>
        <w:t>en de omzetting van de WTZ</w:t>
      </w:r>
      <w:r w:rsidR="00901E11">
        <w:t>I</w:t>
      </w:r>
      <w:r>
        <w:t xml:space="preserve"> (Wet Toegelaten zorg</w:t>
      </w:r>
      <w:r w:rsidR="00901E11">
        <w:t>instellingen</w:t>
      </w:r>
      <w:r>
        <w:t>) naar de WTZ</w:t>
      </w:r>
      <w:r w:rsidR="00901E11">
        <w:t>A</w:t>
      </w:r>
    </w:p>
  </w:footnote>
  <w:footnote w:id="4">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5"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1"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1"/>
  </w:num>
  <w:num w:numId="4">
    <w:abstractNumId w:val="0"/>
  </w:num>
  <w:num w:numId="5">
    <w:abstractNumId w:val="9"/>
  </w:num>
  <w:num w:numId="6">
    <w:abstractNumId w:val="17"/>
  </w:num>
  <w:num w:numId="7">
    <w:abstractNumId w:val="16"/>
  </w:num>
  <w:num w:numId="8">
    <w:abstractNumId w:val="22"/>
  </w:num>
  <w:num w:numId="9">
    <w:abstractNumId w:val="20"/>
  </w:num>
  <w:num w:numId="10">
    <w:abstractNumId w:val="10"/>
  </w:num>
  <w:num w:numId="11">
    <w:abstractNumId w:val="13"/>
  </w:num>
  <w:num w:numId="12">
    <w:abstractNumId w:val="29"/>
  </w:num>
  <w:num w:numId="13">
    <w:abstractNumId w:val="25"/>
  </w:num>
  <w:num w:numId="14">
    <w:abstractNumId w:val="36"/>
  </w:num>
  <w:num w:numId="15">
    <w:abstractNumId w:val="11"/>
  </w:num>
  <w:num w:numId="16">
    <w:abstractNumId w:val="32"/>
  </w:num>
  <w:num w:numId="17">
    <w:abstractNumId w:val="23"/>
  </w:num>
  <w:num w:numId="18">
    <w:abstractNumId w:val="5"/>
  </w:num>
  <w:num w:numId="19">
    <w:abstractNumId w:val="12"/>
  </w:num>
  <w:num w:numId="20">
    <w:abstractNumId w:val="14"/>
  </w:num>
  <w:num w:numId="21">
    <w:abstractNumId w:val="37"/>
  </w:num>
  <w:num w:numId="22">
    <w:abstractNumId w:val="4"/>
  </w:num>
  <w:num w:numId="23">
    <w:abstractNumId w:val="18"/>
  </w:num>
  <w:num w:numId="24">
    <w:abstractNumId w:val="24"/>
  </w:num>
  <w:num w:numId="25">
    <w:abstractNumId w:val="28"/>
  </w:num>
  <w:num w:numId="26">
    <w:abstractNumId w:val="35"/>
  </w:num>
  <w:num w:numId="27">
    <w:abstractNumId w:val="6"/>
  </w:num>
  <w:num w:numId="28">
    <w:abstractNumId w:val="8"/>
  </w:num>
  <w:num w:numId="29">
    <w:abstractNumId w:val="21"/>
  </w:num>
  <w:num w:numId="30">
    <w:abstractNumId w:val="27"/>
  </w:num>
  <w:num w:numId="31">
    <w:abstractNumId w:val="15"/>
  </w:num>
  <w:num w:numId="32">
    <w:abstractNumId w:val="26"/>
  </w:num>
  <w:num w:numId="33">
    <w:abstractNumId w:val="2"/>
  </w:num>
  <w:num w:numId="34">
    <w:abstractNumId w:val="31"/>
  </w:num>
  <w:num w:numId="35">
    <w:abstractNumId w:val="33"/>
  </w:num>
  <w:num w:numId="36">
    <w:abstractNumId w:val="3"/>
  </w:num>
  <w:num w:numId="37">
    <w:abstractNumId w:val="34"/>
  </w:num>
  <w:num w:numId="3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D0A"/>
    <w:rsid w:val="00010194"/>
    <w:rsid w:val="000219DA"/>
    <w:rsid w:val="000265CD"/>
    <w:rsid w:val="00056691"/>
    <w:rsid w:val="00072E6C"/>
    <w:rsid w:val="00081FAA"/>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21F1"/>
    <w:rsid w:val="001C6586"/>
    <w:rsid w:val="001E1E99"/>
    <w:rsid w:val="002215DA"/>
    <w:rsid w:val="00250B5E"/>
    <w:rsid w:val="00264FBC"/>
    <w:rsid w:val="00273B02"/>
    <w:rsid w:val="002814D9"/>
    <w:rsid w:val="002C48B1"/>
    <w:rsid w:val="002C648E"/>
    <w:rsid w:val="002F66C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90144"/>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80088C"/>
    <w:rsid w:val="0080697B"/>
    <w:rsid w:val="00825BC1"/>
    <w:rsid w:val="00825FA0"/>
    <w:rsid w:val="00830244"/>
    <w:rsid w:val="008355F1"/>
    <w:rsid w:val="00841432"/>
    <w:rsid w:val="00845D36"/>
    <w:rsid w:val="008537FB"/>
    <w:rsid w:val="00860D9D"/>
    <w:rsid w:val="00872AF0"/>
    <w:rsid w:val="008A6521"/>
    <w:rsid w:val="008C5085"/>
    <w:rsid w:val="008E3186"/>
    <w:rsid w:val="00901E11"/>
    <w:rsid w:val="0090289E"/>
    <w:rsid w:val="009152E0"/>
    <w:rsid w:val="00935074"/>
    <w:rsid w:val="00945CFF"/>
    <w:rsid w:val="00971048"/>
    <w:rsid w:val="00971D42"/>
    <w:rsid w:val="009914FA"/>
    <w:rsid w:val="00993AE8"/>
    <w:rsid w:val="009963C4"/>
    <w:rsid w:val="009B4581"/>
    <w:rsid w:val="009B7D0A"/>
    <w:rsid w:val="009C0136"/>
    <w:rsid w:val="009C714E"/>
    <w:rsid w:val="009D09AC"/>
    <w:rsid w:val="009D1914"/>
    <w:rsid w:val="009E1D28"/>
    <w:rsid w:val="009E2C98"/>
    <w:rsid w:val="009F4328"/>
    <w:rsid w:val="00A007FB"/>
    <w:rsid w:val="00A109DB"/>
    <w:rsid w:val="00A12431"/>
    <w:rsid w:val="00A15FCF"/>
    <w:rsid w:val="00A25E5F"/>
    <w:rsid w:val="00A27A56"/>
    <w:rsid w:val="00A31EDD"/>
    <w:rsid w:val="00A44807"/>
    <w:rsid w:val="00A85B4C"/>
    <w:rsid w:val="00A905F8"/>
    <w:rsid w:val="00AA4420"/>
    <w:rsid w:val="00AC1984"/>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DD2"/>
    <w:rsid w:val="00DA19EF"/>
    <w:rsid w:val="00DA630F"/>
    <w:rsid w:val="00DC3305"/>
    <w:rsid w:val="00DD1D84"/>
    <w:rsid w:val="00E04CCA"/>
    <w:rsid w:val="00E55653"/>
    <w:rsid w:val="00EA033B"/>
    <w:rsid w:val="00EA54DB"/>
    <w:rsid w:val="00EB64F9"/>
    <w:rsid w:val="00EC2C4B"/>
    <w:rsid w:val="00F01F9E"/>
    <w:rsid w:val="00F10392"/>
    <w:rsid w:val="00F17A26"/>
    <w:rsid w:val="00F30C95"/>
    <w:rsid w:val="00F3320B"/>
    <w:rsid w:val="00F41C14"/>
    <w:rsid w:val="00F42618"/>
    <w:rsid w:val="00F61779"/>
    <w:rsid w:val="00F83C5C"/>
    <w:rsid w:val="00F961A8"/>
    <w:rsid w:val="00FC5010"/>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3A5D97"/>
  <w15:docId w15:val="{A01FEA77-18C1-40AC-9C25-4956EDB0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orginzicht.nl/kwaliteitsinstrumenten/ggz-landelijk-kwaliteitsstatuu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jksoverheid.nl/documenten/rapporten/2016/08/29/kwaliteitskader-jeug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tten.overheid.nl/BWBR0034925/" TargetMode="External"/><Relationship Id="rId4" Type="http://schemas.openxmlformats.org/officeDocument/2006/relationships/settings" Target="settings.xml"/><Relationship Id="rId9" Type="http://schemas.openxmlformats.org/officeDocument/2006/relationships/hyperlink" Target="http://www.zorginzou.n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5</TotalTime>
  <Pages>11</Pages>
  <Words>3269</Words>
  <Characters>17982</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Molen, Greetje van der</cp:lastModifiedBy>
  <cp:revision>8</cp:revision>
  <cp:lastPrinted>2022-04-24T19:49:00Z</cp:lastPrinted>
  <dcterms:created xsi:type="dcterms:W3CDTF">2021-08-12T08:00:00Z</dcterms:created>
  <dcterms:modified xsi:type="dcterms:W3CDTF">2022-04-24T19:49:00Z</dcterms:modified>
</cp:coreProperties>
</file>