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27296" w14:textId="5C919B68" w:rsidR="0036158E" w:rsidRDefault="00C92469" w:rsidP="000B16D2">
      <w:pPr>
        <w:pStyle w:val="Titel"/>
        <w:rPr>
          <w:noProof/>
          <w:sz w:val="32"/>
          <w:szCs w:val="32"/>
          <w:lang w:val="en-US"/>
        </w:rPr>
      </w:pPr>
      <w:r>
        <w:rPr>
          <w:noProof/>
          <w:sz w:val="32"/>
          <w:szCs w:val="32"/>
          <w:lang w:val="en-US"/>
        </w:rPr>
        <w:t xml:space="preserve">BIJLAGE </w:t>
      </w:r>
      <w:bookmarkStart w:id="0" w:name="_GoBack"/>
      <w:bookmarkEnd w:id="0"/>
      <w:r w:rsidR="003534CD" w:rsidRPr="003534CD">
        <w:rPr>
          <w:noProof/>
          <w:sz w:val="32"/>
          <w:szCs w:val="32"/>
          <w:lang w:val="en-US"/>
        </w:rPr>
        <w:t>8</w:t>
      </w:r>
      <w:r w:rsidR="00A97E83" w:rsidRPr="003534CD">
        <w:rPr>
          <w:noProof/>
          <w:sz w:val="32"/>
          <w:szCs w:val="32"/>
          <w:lang w:val="en-US"/>
        </w:rPr>
        <w:t xml:space="preserve"> </w:t>
      </w:r>
      <w:r w:rsidR="00CD55AF" w:rsidRPr="003534CD">
        <w:rPr>
          <w:noProof/>
          <w:sz w:val="32"/>
          <w:szCs w:val="32"/>
          <w:lang w:val="en-US"/>
        </w:rPr>
        <w:t>–</w:t>
      </w:r>
      <w:r w:rsidR="00A97E83" w:rsidRPr="003534CD">
        <w:rPr>
          <w:noProof/>
          <w:sz w:val="32"/>
          <w:szCs w:val="32"/>
          <w:lang w:val="en-US"/>
        </w:rPr>
        <w:t xml:space="preserve"> </w:t>
      </w:r>
      <w:r w:rsidR="003534CD" w:rsidRPr="003534CD">
        <w:rPr>
          <w:noProof/>
          <w:sz w:val="32"/>
          <w:szCs w:val="32"/>
          <w:lang w:val="en-US"/>
        </w:rPr>
        <w:t xml:space="preserve">INVULBLAD </w:t>
      </w:r>
    </w:p>
    <w:p w14:paraId="19B44D16" w14:textId="250BC507" w:rsidR="003534CD" w:rsidRPr="00C92469" w:rsidRDefault="003534CD" w:rsidP="000B16D2">
      <w:pPr>
        <w:pStyle w:val="Titel"/>
        <w:rPr>
          <w:noProof/>
          <w:sz w:val="32"/>
          <w:szCs w:val="32"/>
        </w:rPr>
      </w:pPr>
      <w:r w:rsidRPr="00C92469">
        <w:rPr>
          <w:noProof/>
          <w:sz w:val="32"/>
          <w:szCs w:val="32"/>
        </w:rPr>
        <w:t>SUB-GUNNINGSCRITERIUM SOCIAL RETURN</w:t>
      </w:r>
    </w:p>
    <w:p w14:paraId="780E8281" w14:textId="0DC1CA50" w:rsidR="009A1708" w:rsidRPr="00C92469" w:rsidRDefault="003534CD" w:rsidP="000B16D2">
      <w:pPr>
        <w:pStyle w:val="Titel"/>
        <w:rPr>
          <w:noProof/>
          <w:sz w:val="32"/>
          <w:szCs w:val="32"/>
        </w:rPr>
      </w:pPr>
      <w:r w:rsidRPr="00C92469">
        <w:rPr>
          <w:noProof/>
          <w:sz w:val="32"/>
          <w:szCs w:val="32"/>
        </w:rPr>
        <w:t xml:space="preserve"> </w:t>
      </w:r>
    </w:p>
    <w:p w14:paraId="14D0C2F5" w14:textId="155D7779" w:rsidR="009A1708" w:rsidRDefault="009A1708" w:rsidP="000B16D2">
      <w:pPr>
        <w:pStyle w:val="Stijl1"/>
        <w:spacing w:before="0" w:line="255" w:lineRule="atLeast"/>
        <w:rPr>
          <w:sz w:val="18"/>
          <w:szCs w:val="18"/>
        </w:rPr>
      </w:pPr>
      <w:r w:rsidRPr="000B16D2">
        <w:rPr>
          <w:sz w:val="18"/>
          <w:szCs w:val="18"/>
        </w:rPr>
        <w:t xml:space="preserve">Europese aanbesteding </w:t>
      </w:r>
      <w:r w:rsidR="003534CD">
        <w:rPr>
          <w:sz w:val="18"/>
          <w:szCs w:val="18"/>
        </w:rPr>
        <w:t>AUDIOVISUELE MIDDELEN EN AANVERWANTE DIENSTVERLENING</w:t>
      </w:r>
    </w:p>
    <w:p w14:paraId="4F40AF5A" w14:textId="3DBD2C88" w:rsidR="00CD55AF" w:rsidRPr="0008407F" w:rsidRDefault="00CD55AF" w:rsidP="0008407F">
      <w:pPr>
        <w:pStyle w:val="Stijl1"/>
        <w:spacing w:before="0" w:line="255" w:lineRule="atLeast"/>
        <w:rPr>
          <w:color w:val="auto"/>
          <w:sz w:val="18"/>
          <w:szCs w:val="18"/>
        </w:rPr>
      </w:pPr>
    </w:p>
    <w:p w14:paraId="14AD62DF" w14:textId="7F34D1EA" w:rsidR="00CD55AF" w:rsidRPr="0072239A" w:rsidRDefault="00CD55AF" w:rsidP="0008407F">
      <w:pPr>
        <w:pStyle w:val="Kop1"/>
        <w:numPr>
          <w:ilvl w:val="0"/>
          <w:numId w:val="4"/>
        </w:numPr>
        <w:spacing w:before="0" w:line="255" w:lineRule="atLeast"/>
        <w:ind w:left="284" w:hanging="284"/>
        <w:rPr>
          <w:b/>
          <w:szCs w:val="18"/>
        </w:rPr>
      </w:pPr>
      <w:r w:rsidRPr="0072239A">
        <w:rPr>
          <w:b/>
          <w:szCs w:val="18"/>
        </w:rPr>
        <w:t>Gegevens Inschrijver</w:t>
      </w:r>
    </w:p>
    <w:p w14:paraId="389844B8" w14:textId="77777777" w:rsidR="00CD55AF" w:rsidRPr="000B16D2" w:rsidRDefault="00CD55AF"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4320D1A" w14:textId="468ABB7E" w:rsidR="00CD55AF" w:rsidRDefault="00CD55AF"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r w:rsidRPr="000B16D2">
        <w:rPr>
          <w:rFonts w:ascii="Verdana" w:hAnsi="Verdana"/>
          <w:sz w:val="18"/>
          <w:szCs w:val="18"/>
        </w:rPr>
        <w:t>Naam Inschrijver:</w:t>
      </w:r>
      <w:r w:rsidR="00B51298" w:rsidRPr="000B16D2">
        <w:rPr>
          <w:rFonts w:ascii="Verdana" w:hAnsi="Verdana"/>
          <w:sz w:val="18"/>
          <w:szCs w:val="18"/>
        </w:rPr>
        <w:t xml:space="preserve"> </w:t>
      </w:r>
      <w:r w:rsidR="00B51298" w:rsidRPr="008C7439">
        <w:rPr>
          <w:rFonts w:ascii="Verdana" w:hAnsi="Verdana"/>
          <w:bCs/>
          <w:sz w:val="18"/>
          <w:szCs w:val="18"/>
          <w:highlight w:val="yellow"/>
        </w:rPr>
        <w:fldChar w:fldCharType="begin">
          <w:ffData>
            <w:name w:val="Text13"/>
            <w:enabled/>
            <w:calcOnExit w:val="0"/>
            <w:textInput>
              <w:default w:val="Naam van de Onderneming dat Inschrijft"/>
            </w:textInput>
          </w:ffData>
        </w:fldChar>
      </w:r>
      <w:bookmarkStart w:id="1" w:name="Text13"/>
      <w:r w:rsidR="00B51298" w:rsidRPr="008C7439">
        <w:rPr>
          <w:rFonts w:ascii="Verdana" w:hAnsi="Verdana"/>
          <w:bCs/>
          <w:sz w:val="18"/>
          <w:szCs w:val="18"/>
          <w:highlight w:val="yellow"/>
        </w:rPr>
        <w:instrText xml:space="preserve"> FORMTEXT </w:instrText>
      </w:r>
      <w:r w:rsidR="00B51298" w:rsidRPr="008C7439">
        <w:rPr>
          <w:rFonts w:ascii="Verdana" w:hAnsi="Verdana"/>
          <w:bCs/>
          <w:sz w:val="18"/>
          <w:szCs w:val="18"/>
          <w:highlight w:val="yellow"/>
        </w:rPr>
      </w:r>
      <w:r w:rsidR="00B51298" w:rsidRPr="008C7439">
        <w:rPr>
          <w:rFonts w:ascii="Verdana" w:hAnsi="Verdana"/>
          <w:bCs/>
          <w:sz w:val="18"/>
          <w:szCs w:val="18"/>
          <w:highlight w:val="yellow"/>
        </w:rPr>
        <w:fldChar w:fldCharType="separate"/>
      </w:r>
      <w:r w:rsidR="00B51298" w:rsidRPr="008C7439">
        <w:rPr>
          <w:rFonts w:ascii="Verdana" w:hAnsi="Verdana"/>
          <w:bCs/>
          <w:noProof/>
          <w:sz w:val="18"/>
          <w:szCs w:val="18"/>
          <w:highlight w:val="yellow"/>
        </w:rPr>
        <w:t>Naam van de Onderneming dat Inschrijft</w:t>
      </w:r>
      <w:r w:rsidR="00B51298" w:rsidRPr="008C7439">
        <w:rPr>
          <w:rFonts w:ascii="Verdana" w:hAnsi="Verdana"/>
          <w:bCs/>
          <w:sz w:val="18"/>
          <w:szCs w:val="18"/>
          <w:highlight w:val="yellow"/>
        </w:rPr>
        <w:fldChar w:fldCharType="end"/>
      </w:r>
      <w:bookmarkEnd w:id="1"/>
      <w:r w:rsidRPr="000B16D2">
        <w:rPr>
          <w:rFonts w:ascii="Verdana" w:hAnsi="Verdana"/>
          <w:sz w:val="18"/>
          <w:szCs w:val="18"/>
        </w:rPr>
        <w:t xml:space="preserve"> </w:t>
      </w:r>
    </w:p>
    <w:p w14:paraId="5347AD62" w14:textId="77777777" w:rsidR="000B16D2" w:rsidRPr="000B16D2" w:rsidRDefault="000B16D2"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08C075" w14:textId="5B290976" w:rsidR="00CD55AF" w:rsidRPr="000B16D2" w:rsidRDefault="00CD55AF" w:rsidP="0008407F">
      <w:pPr>
        <w:tabs>
          <w:tab w:val="left" w:pos="5910"/>
        </w:tabs>
        <w:spacing w:before="0" w:after="0" w:line="255" w:lineRule="atLeast"/>
        <w:rPr>
          <w:rFonts w:ascii="Verdana" w:hAnsi="Verdana"/>
          <w:sz w:val="18"/>
          <w:szCs w:val="18"/>
        </w:rPr>
      </w:pPr>
    </w:p>
    <w:p w14:paraId="50986F84" w14:textId="55FFB14B" w:rsidR="009A1708" w:rsidRPr="0072239A" w:rsidRDefault="003534CD" w:rsidP="0008407F">
      <w:pPr>
        <w:pStyle w:val="Kop1"/>
        <w:numPr>
          <w:ilvl w:val="0"/>
          <w:numId w:val="4"/>
        </w:numPr>
        <w:spacing w:before="0" w:line="255" w:lineRule="atLeast"/>
        <w:ind w:left="284" w:hanging="284"/>
        <w:rPr>
          <w:b/>
          <w:szCs w:val="18"/>
        </w:rPr>
      </w:pPr>
      <w:r>
        <w:rPr>
          <w:b/>
          <w:szCs w:val="18"/>
        </w:rPr>
        <w:t>SUB-GUnningscriterium Kwaliteit: 4. Social ReTURN</w:t>
      </w:r>
    </w:p>
    <w:p w14:paraId="5CFC0B69" w14:textId="77777777" w:rsidR="003534CD" w:rsidRPr="000B16D2" w:rsidRDefault="003534CD"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AEF1287" w14:textId="5D4892F8" w:rsidR="003534CD" w:rsidRPr="003534CD" w:rsidRDefault="003534CD" w:rsidP="003534CD">
      <w:pPr>
        <w:spacing w:before="0" w:after="0" w:line="255" w:lineRule="atLeast"/>
        <w:rPr>
          <w:rFonts w:ascii="Verdana" w:hAnsi="Verdana"/>
          <w:sz w:val="18"/>
          <w:szCs w:val="18"/>
        </w:rPr>
      </w:pPr>
      <w:r w:rsidRPr="003534CD">
        <w:rPr>
          <w:rFonts w:ascii="Verdana" w:hAnsi="Verdana"/>
          <w:sz w:val="18"/>
          <w:szCs w:val="18"/>
        </w:rPr>
        <w:t xml:space="preserve">Voor de invulling van social return heeft UWV gekozen voor de Bouwblokkenmethode. De Inschrijver verplicht zich om </w:t>
      </w:r>
      <w:r w:rsidRPr="008C7439">
        <w:rPr>
          <w:rFonts w:ascii="Verdana" w:hAnsi="Verdana"/>
          <w:b/>
          <w:sz w:val="18"/>
          <w:szCs w:val="18"/>
          <w:u w:val="single"/>
        </w:rPr>
        <w:t>minimaal 3%</w:t>
      </w:r>
      <w:r w:rsidRPr="003534CD">
        <w:rPr>
          <w:rFonts w:ascii="Verdana" w:hAnsi="Verdana"/>
          <w:sz w:val="18"/>
          <w:szCs w:val="18"/>
        </w:rPr>
        <w:t xml:space="preserve"> van de totale geraamde Opdrachtwaarde</w:t>
      </w:r>
      <w:r w:rsidR="008C7439">
        <w:rPr>
          <w:rFonts w:ascii="Verdana" w:hAnsi="Verdana"/>
          <w:sz w:val="18"/>
          <w:szCs w:val="18"/>
        </w:rPr>
        <w:t xml:space="preserve"> (excl. BTW)</w:t>
      </w:r>
      <w:r w:rsidRPr="003534CD">
        <w:rPr>
          <w:rFonts w:ascii="Verdana" w:hAnsi="Verdana"/>
          <w:sz w:val="18"/>
          <w:szCs w:val="18"/>
        </w:rPr>
        <w:t xml:space="preserve"> in te zetten voor social return. De activiteiten mogen binnen de Opdracht worden uitgevoerd, maar ook in de bedrijfsvoering van de Inschrijver of bij een Onderaannemer of toeleverancier. Voorwaarde is wel dat het een nieuwe, aanvullende activiteit betreft en dat deze activiteit alleen bij UWV wordt opgegeven. Bestaande of reeds eerder uitgevoerde activiteiten worden niet meegenomen. Uitzonderingen hierop staan vermeld in Handleiding social return – Bouwblokkenmethode in bijlage 7.</w:t>
      </w:r>
    </w:p>
    <w:p w14:paraId="60A69630" w14:textId="77777777" w:rsidR="003534CD" w:rsidRPr="003534CD" w:rsidRDefault="003534CD" w:rsidP="003534CD">
      <w:pPr>
        <w:spacing w:before="0" w:after="0" w:line="255" w:lineRule="atLeast"/>
        <w:rPr>
          <w:rFonts w:ascii="Verdana" w:hAnsi="Verdana"/>
          <w:sz w:val="18"/>
          <w:szCs w:val="18"/>
        </w:rPr>
      </w:pPr>
    </w:p>
    <w:p w14:paraId="71DCA4C6" w14:textId="77777777" w:rsidR="003534CD" w:rsidRPr="003534CD" w:rsidRDefault="003534CD" w:rsidP="003534CD">
      <w:pPr>
        <w:rPr>
          <w:rFonts w:ascii="Verdana" w:hAnsi="Verdana"/>
          <w:sz w:val="18"/>
          <w:szCs w:val="18"/>
        </w:rPr>
      </w:pPr>
      <w:r w:rsidRPr="003534CD">
        <w:rPr>
          <w:rFonts w:ascii="Verdana" w:hAnsi="Verdana"/>
          <w:sz w:val="18"/>
          <w:szCs w:val="18"/>
        </w:rPr>
        <w:t>Inschrijvers die op basis van de bouwblokkenmethode meer dan 3% van de totale opdrachtsom aan social return aanwenden kunnen op basis van de onderstaande tabel punten verdienen.</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612"/>
      </w:tblGrid>
      <w:tr w:rsidR="003534CD" w:rsidRPr="003534CD" w14:paraId="0EAA3C47" w14:textId="77777777" w:rsidTr="00C04C9C">
        <w:trPr>
          <w:trHeight w:val="289"/>
        </w:trPr>
        <w:tc>
          <w:tcPr>
            <w:tcW w:w="4673" w:type="dxa"/>
            <w:shd w:val="clear" w:color="auto" w:fill="A6A6A6"/>
          </w:tcPr>
          <w:p w14:paraId="38AA2B01" w14:textId="5A3A775B" w:rsidR="003534CD" w:rsidRPr="003534CD" w:rsidRDefault="003534CD"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Verdana" w:eastAsia="Times New Roman" w:hAnsi="Verdana" w:cs="Arial"/>
                <w:b/>
                <w:sz w:val="18"/>
                <w:szCs w:val="18"/>
              </w:rPr>
            </w:pPr>
            <w:r>
              <w:rPr>
                <w:rFonts w:ascii="Verdana" w:eastAsia="Times New Roman" w:hAnsi="Verdana" w:cs="Arial"/>
                <w:b/>
                <w:sz w:val="18"/>
                <w:szCs w:val="18"/>
              </w:rPr>
              <w:t xml:space="preserve">Percentage </w:t>
            </w:r>
            <w:r w:rsidRPr="003534CD">
              <w:rPr>
                <w:rFonts w:ascii="Verdana" w:eastAsia="Times New Roman" w:hAnsi="Verdana" w:cs="Arial"/>
                <w:b/>
                <w:sz w:val="18"/>
                <w:szCs w:val="18"/>
              </w:rPr>
              <w:t xml:space="preserve">van de totale opdrachtsom </w:t>
            </w:r>
            <w:r w:rsidR="008C7439">
              <w:rPr>
                <w:rFonts w:ascii="Verdana" w:eastAsia="Times New Roman" w:hAnsi="Verdana" w:cs="Arial"/>
                <w:b/>
                <w:sz w:val="18"/>
                <w:szCs w:val="18"/>
              </w:rPr>
              <w:t xml:space="preserve">(excl. BTW) </w:t>
            </w:r>
            <w:r w:rsidRPr="003534CD">
              <w:rPr>
                <w:rFonts w:ascii="Verdana" w:eastAsia="Times New Roman" w:hAnsi="Verdana" w:cs="Arial"/>
                <w:b/>
                <w:sz w:val="18"/>
                <w:szCs w:val="18"/>
              </w:rPr>
              <w:t>op basis van de bouwblokkenmethode</w:t>
            </w:r>
          </w:p>
        </w:tc>
        <w:tc>
          <w:tcPr>
            <w:tcW w:w="4612" w:type="dxa"/>
            <w:shd w:val="clear" w:color="auto" w:fill="A6A6A6"/>
          </w:tcPr>
          <w:p w14:paraId="73408E91" w14:textId="77777777" w:rsidR="003534CD" w:rsidRPr="003534CD" w:rsidRDefault="003534CD"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Verdana" w:eastAsia="Times New Roman" w:hAnsi="Verdana" w:cs="Arial"/>
                <w:b/>
                <w:sz w:val="18"/>
                <w:szCs w:val="18"/>
              </w:rPr>
            </w:pPr>
            <w:r w:rsidRPr="003534CD">
              <w:rPr>
                <w:rFonts w:ascii="Verdana" w:eastAsia="Times New Roman" w:hAnsi="Verdana" w:cs="Arial"/>
                <w:b/>
                <w:sz w:val="18"/>
                <w:szCs w:val="18"/>
              </w:rPr>
              <w:t>Waardering in punten</w:t>
            </w:r>
          </w:p>
        </w:tc>
      </w:tr>
      <w:tr w:rsidR="003534CD" w:rsidRPr="003534CD" w14:paraId="5929703C" w14:textId="77777777" w:rsidTr="00C04C9C">
        <w:trPr>
          <w:trHeight w:val="150"/>
        </w:trPr>
        <w:tc>
          <w:tcPr>
            <w:tcW w:w="4673" w:type="dxa"/>
            <w:tcBorders>
              <w:top w:val="single" w:sz="4" w:space="0" w:color="auto"/>
              <w:left w:val="single" w:sz="4" w:space="0" w:color="auto"/>
              <w:bottom w:val="single" w:sz="4" w:space="0" w:color="auto"/>
              <w:right w:val="single" w:sz="4" w:space="0" w:color="auto"/>
            </w:tcBorders>
          </w:tcPr>
          <w:p w14:paraId="33D71CFA" w14:textId="77777777" w:rsidR="003534CD" w:rsidRPr="003534CD" w:rsidRDefault="003534CD"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Verdana" w:eastAsia="Times New Roman" w:hAnsi="Verdana" w:cs="Arial"/>
                <w:sz w:val="18"/>
                <w:szCs w:val="18"/>
              </w:rPr>
            </w:pPr>
            <w:r w:rsidRPr="003534CD">
              <w:rPr>
                <w:rFonts w:ascii="Verdana" w:eastAsia="Times New Roman" w:hAnsi="Verdana" w:cs="Arial"/>
                <w:sz w:val="18"/>
                <w:szCs w:val="18"/>
              </w:rPr>
              <w:t>3%</w:t>
            </w:r>
          </w:p>
        </w:tc>
        <w:tc>
          <w:tcPr>
            <w:tcW w:w="4612" w:type="dxa"/>
            <w:tcBorders>
              <w:top w:val="single" w:sz="4" w:space="0" w:color="auto"/>
              <w:left w:val="single" w:sz="4" w:space="0" w:color="auto"/>
              <w:bottom w:val="single" w:sz="4" w:space="0" w:color="auto"/>
              <w:right w:val="single" w:sz="4" w:space="0" w:color="auto"/>
            </w:tcBorders>
          </w:tcPr>
          <w:p w14:paraId="5E7F6A9A" w14:textId="77777777" w:rsidR="003534CD" w:rsidRPr="003534CD" w:rsidRDefault="003534CD"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Verdana" w:eastAsia="Times New Roman" w:hAnsi="Verdana" w:cs="Arial"/>
                <w:sz w:val="18"/>
                <w:szCs w:val="18"/>
              </w:rPr>
            </w:pPr>
            <w:r w:rsidRPr="003534CD">
              <w:rPr>
                <w:rFonts w:ascii="Verdana" w:eastAsia="Times New Roman" w:hAnsi="Verdana" w:cs="Arial"/>
                <w:sz w:val="18"/>
                <w:szCs w:val="18"/>
              </w:rPr>
              <w:t>Niet van toepassing (minimumeis)</w:t>
            </w:r>
          </w:p>
        </w:tc>
      </w:tr>
      <w:tr w:rsidR="003534CD" w:rsidRPr="003534CD" w14:paraId="15C653BF" w14:textId="77777777" w:rsidTr="00C04C9C">
        <w:trPr>
          <w:trHeight w:val="150"/>
        </w:trPr>
        <w:tc>
          <w:tcPr>
            <w:tcW w:w="4673" w:type="dxa"/>
            <w:tcBorders>
              <w:top w:val="single" w:sz="4" w:space="0" w:color="auto"/>
              <w:left w:val="single" w:sz="4" w:space="0" w:color="auto"/>
              <w:bottom w:val="single" w:sz="4" w:space="0" w:color="auto"/>
              <w:right w:val="single" w:sz="4" w:space="0" w:color="auto"/>
            </w:tcBorders>
          </w:tcPr>
          <w:p w14:paraId="25C382EB" w14:textId="77777777" w:rsidR="003534CD" w:rsidRPr="003534CD" w:rsidRDefault="003534CD"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Verdana" w:eastAsia="Times New Roman" w:hAnsi="Verdana" w:cs="Arial"/>
                <w:sz w:val="18"/>
                <w:szCs w:val="18"/>
              </w:rPr>
            </w:pPr>
            <w:r w:rsidRPr="003534CD">
              <w:rPr>
                <w:rFonts w:ascii="Verdana" w:eastAsia="Times New Roman" w:hAnsi="Verdana" w:cs="Arial"/>
                <w:sz w:val="18"/>
                <w:szCs w:val="18"/>
              </w:rPr>
              <w:t>4%</w:t>
            </w:r>
          </w:p>
        </w:tc>
        <w:tc>
          <w:tcPr>
            <w:tcW w:w="4612" w:type="dxa"/>
            <w:tcBorders>
              <w:top w:val="single" w:sz="4" w:space="0" w:color="auto"/>
              <w:left w:val="single" w:sz="4" w:space="0" w:color="auto"/>
              <w:bottom w:val="single" w:sz="4" w:space="0" w:color="auto"/>
              <w:right w:val="single" w:sz="4" w:space="0" w:color="auto"/>
            </w:tcBorders>
          </w:tcPr>
          <w:p w14:paraId="58823208" w14:textId="77777777" w:rsidR="003534CD" w:rsidRPr="003534CD" w:rsidRDefault="003534CD"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Verdana" w:eastAsia="Times New Roman" w:hAnsi="Verdana" w:cs="Arial"/>
                <w:sz w:val="18"/>
                <w:szCs w:val="18"/>
              </w:rPr>
            </w:pPr>
            <w:r w:rsidRPr="003534CD">
              <w:rPr>
                <w:rFonts w:ascii="Verdana" w:eastAsia="Times New Roman" w:hAnsi="Verdana" w:cs="Arial"/>
                <w:sz w:val="18"/>
                <w:szCs w:val="18"/>
              </w:rPr>
              <w:t>1</w:t>
            </w:r>
          </w:p>
        </w:tc>
      </w:tr>
      <w:tr w:rsidR="003534CD" w:rsidRPr="003534CD" w14:paraId="2D9BC3CD" w14:textId="77777777" w:rsidTr="00C04C9C">
        <w:trPr>
          <w:trHeight w:val="150"/>
        </w:trPr>
        <w:tc>
          <w:tcPr>
            <w:tcW w:w="4673" w:type="dxa"/>
            <w:tcBorders>
              <w:top w:val="single" w:sz="4" w:space="0" w:color="auto"/>
              <w:left w:val="single" w:sz="4" w:space="0" w:color="auto"/>
              <w:bottom w:val="single" w:sz="4" w:space="0" w:color="auto"/>
              <w:right w:val="single" w:sz="4" w:space="0" w:color="auto"/>
            </w:tcBorders>
          </w:tcPr>
          <w:p w14:paraId="74877D02" w14:textId="77777777" w:rsidR="003534CD" w:rsidRPr="003534CD" w:rsidRDefault="003534CD"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Verdana" w:eastAsia="Times New Roman" w:hAnsi="Verdana" w:cs="Arial"/>
                <w:sz w:val="18"/>
                <w:szCs w:val="18"/>
              </w:rPr>
            </w:pPr>
            <w:r w:rsidRPr="003534CD">
              <w:rPr>
                <w:rFonts w:ascii="Verdana" w:eastAsia="Times New Roman" w:hAnsi="Verdana" w:cs="Arial"/>
                <w:sz w:val="18"/>
                <w:szCs w:val="18"/>
              </w:rPr>
              <w:t xml:space="preserve">5% </w:t>
            </w:r>
          </w:p>
        </w:tc>
        <w:tc>
          <w:tcPr>
            <w:tcW w:w="4612" w:type="dxa"/>
            <w:tcBorders>
              <w:top w:val="single" w:sz="4" w:space="0" w:color="auto"/>
              <w:left w:val="single" w:sz="4" w:space="0" w:color="auto"/>
              <w:bottom w:val="single" w:sz="4" w:space="0" w:color="auto"/>
              <w:right w:val="single" w:sz="4" w:space="0" w:color="auto"/>
            </w:tcBorders>
          </w:tcPr>
          <w:p w14:paraId="0CD39F87" w14:textId="77777777" w:rsidR="003534CD" w:rsidRPr="003534CD" w:rsidRDefault="003534CD"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Verdana" w:eastAsia="Times New Roman" w:hAnsi="Verdana" w:cs="Arial"/>
                <w:sz w:val="18"/>
                <w:szCs w:val="18"/>
              </w:rPr>
            </w:pPr>
            <w:r w:rsidRPr="003534CD">
              <w:rPr>
                <w:rFonts w:ascii="Verdana" w:eastAsia="Times New Roman" w:hAnsi="Verdana" w:cs="Arial"/>
                <w:sz w:val="18"/>
                <w:szCs w:val="18"/>
              </w:rPr>
              <w:t>3</w:t>
            </w:r>
          </w:p>
        </w:tc>
      </w:tr>
      <w:tr w:rsidR="003534CD" w:rsidRPr="003534CD" w14:paraId="0E430CAD" w14:textId="77777777" w:rsidTr="00C04C9C">
        <w:trPr>
          <w:trHeight w:val="150"/>
        </w:trPr>
        <w:tc>
          <w:tcPr>
            <w:tcW w:w="4673" w:type="dxa"/>
            <w:tcBorders>
              <w:top w:val="single" w:sz="4" w:space="0" w:color="auto"/>
              <w:left w:val="single" w:sz="4" w:space="0" w:color="auto"/>
              <w:bottom w:val="single" w:sz="4" w:space="0" w:color="auto"/>
              <w:right w:val="single" w:sz="4" w:space="0" w:color="auto"/>
            </w:tcBorders>
          </w:tcPr>
          <w:p w14:paraId="4BB36D6F" w14:textId="77777777" w:rsidR="003534CD" w:rsidRPr="003534CD" w:rsidRDefault="003534CD"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Verdana" w:eastAsia="Times New Roman" w:hAnsi="Verdana" w:cs="Arial"/>
                <w:sz w:val="18"/>
                <w:szCs w:val="18"/>
              </w:rPr>
            </w:pPr>
            <w:r w:rsidRPr="003534CD">
              <w:rPr>
                <w:rFonts w:ascii="Verdana" w:eastAsia="Times New Roman" w:hAnsi="Verdana" w:cs="Arial"/>
                <w:sz w:val="18"/>
                <w:szCs w:val="18"/>
              </w:rPr>
              <w:t>6% of meer</w:t>
            </w:r>
          </w:p>
        </w:tc>
        <w:tc>
          <w:tcPr>
            <w:tcW w:w="4612" w:type="dxa"/>
            <w:tcBorders>
              <w:top w:val="single" w:sz="4" w:space="0" w:color="auto"/>
              <w:left w:val="single" w:sz="4" w:space="0" w:color="auto"/>
              <w:bottom w:val="single" w:sz="4" w:space="0" w:color="auto"/>
              <w:right w:val="single" w:sz="4" w:space="0" w:color="auto"/>
            </w:tcBorders>
          </w:tcPr>
          <w:p w14:paraId="3D7A0C9F" w14:textId="77777777" w:rsidR="003534CD" w:rsidRPr="003534CD" w:rsidRDefault="003534CD" w:rsidP="00C04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Verdana" w:eastAsia="Times New Roman" w:hAnsi="Verdana" w:cs="Arial"/>
                <w:sz w:val="18"/>
                <w:szCs w:val="18"/>
              </w:rPr>
            </w:pPr>
            <w:r w:rsidRPr="003534CD">
              <w:rPr>
                <w:rFonts w:ascii="Verdana" w:eastAsia="Times New Roman" w:hAnsi="Verdana" w:cs="Arial"/>
                <w:sz w:val="18"/>
                <w:szCs w:val="18"/>
              </w:rPr>
              <w:t>5</w:t>
            </w:r>
          </w:p>
        </w:tc>
      </w:tr>
    </w:tbl>
    <w:p w14:paraId="344C6592" w14:textId="2909BBBD" w:rsidR="003534CD" w:rsidRDefault="003534CD" w:rsidP="003534CD">
      <w:pPr>
        <w:pStyle w:val="Stijl1"/>
        <w:spacing w:before="0" w:line="255" w:lineRule="atLeast"/>
        <w:rPr>
          <w:sz w:val="18"/>
          <w:szCs w:val="18"/>
        </w:rPr>
      </w:pPr>
    </w:p>
    <w:p w14:paraId="745E655F" w14:textId="6DADA1F4" w:rsidR="008C7439" w:rsidRPr="008C7439" w:rsidRDefault="003534CD"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r>
        <w:rPr>
          <w:rFonts w:ascii="Verdana" w:hAnsi="Verdana"/>
          <w:sz w:val="18"/>
          <w:szCs w:val="18"/>
        </w:rPr>
        <w:t xml:space="preserve">Geef aan welk percentage van de totale opdrachtsom u op basis van de bouwblokkenmethode gaat aanwenden aan social return als u de opdracht gegund krijgt. </w:t>
      </w:r>
      <w:r w:rsidR="008C7439" w:rsidRPr="008C7439">
        <w:rPr>
          <w:rFonts w:ascii="Verdana" w:hAnsi="Verdana"/>
          <w:sz w:val="18"/>
          <w:szCs w:val="18"/>
        </w:rPr>
        <w:t>Let op: U dient hier minimaal 3% in te vullen (knock-out criterium)</w:t>
      </w:r>
      <w:r w:rsidR="00387614">
        <w:rPr>
          <w:rFonts w:ascii="Verdana" w:hAnsi="Verdana"/>
          <w:sz w:val="18"/>
          <w:szCs w:val="18"/>
        </w:rPr>
        <w:t>.</w:t>
      </w:r>
    </w:p>
    <w:p w14:paraId="12EE5D1E" w14:textId="5DF79A3C" w:rsidR="003534CD" w:rsidRPr="008C7439" w:rsidRDefault="003534CD"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28923C17" w14:textId="5EFB537E" w:rsidR="000B16D2" w:rsidRDefault="000B16D2" w:rsidP="0008407F">
      <w:pPr>
        <w:widowControl w:val="0"/>
        <w:tabs>
          <w:tab w:val="num" w:pos="0"/>
          <w:tab w:val="left" w:pos="7515"/>
        </w:tabs>
        <w:overflowPunct w:val="0"/>
        <w:autoSpaceDE w:val="0"/>
        <w:autoSpaceDN w:val="0"/>
        <w:adjustRightInd w:val="0"/>
        <w:spacing w:before="0" w:after="0" w:line="255" w:lineRule="atLeast"/>
        <w:textAlignment w:val="baseline"/>
        <w:rPr>
          <w:rFonts w:ascii="Verdana" w:hAnsi="Verdana"/>
          <w:b/>
          <w:sz w:val="18"/>
          <w:szCs w:val="18"/>
        </w:rPr>
      </w:pPr>
      <w:r w:rsidRPr="000B16D2">
        <w:rPr>
          <w:rFonts w:ascii="Verdana" w:hAnsi="Verdana"/>
          <w:b/>
          <w:sz w:val="18"/>
          <w:szCs w:val="18"/>
        </w:rPr>
        <w:t>Antwoord Inschrijver:</w:t>
      </w:r>
    </w:p>
    <w:p w14:paraId="263EC961" w14:textId="6048C156" w:rsidR="0008407F" w:rsidRDefault="0008407F" w:rsidP="0008407F">
      <w:pPr>
        <w:widowControl w:val="0"/>
        <w:tabs>
          <w:tab w:val="num" w:pos="0"/>
          <w:tab w:val="left" w:pos="7515"/>
        </w:tabs>
        <w:overflowPunct w:val="0"/>
        <w:autoSpaceDE w:val="0"/>
        <w:autoSpaceDN w:val="0"/>
        <w:adjustRightInd w:val="0"/>
        <w:spacing w:before="0" w:after="0" w:line="255" w:lineRule="atLeast"/>
        <w:textAlignment w:val="baseline"/>
        <w:rPr>
          <w:rFonts w:ascii="Verdana" w:hAnsi="Verdana"/>
          <w:sz w:val="18"/>
          <w:szCs w:val="18"/>
          <w:highlight w:val="yellow"/>
        </w:rPr>
      </w:pPr>
    </w:p>
    <w:tbl>
      <w:tblPr>
        <w:tblStyle w:val="Tabelraster"/>
        <w:tblW w:w="0" w:type="auto"/>
        <w:tblLook w:val="04A0" w:firstRow="1" w:lastRow="0" w:firstColumn="1" w:lastColumn="0" w:noHBand="0" w:noVBand="1"/>
      </w:tblPr>
      <w:tblGrid>
        <w:gridCol w:w="4673"/>
        <w:gridCol w:w="4390"/>
      </w:tblGrid>
      <w:tr w:rsidR="008C7439" w14:paraId="16156FE1" w14:textId="77777777" w:rsidTr="008C7439">
        <w:tc>
          <w:tcPr>
            <w:tcW w:w="4673" w:type="dxa"/>
            <w:shd w:val="clear" w:color="auto" w:fill="BFBFBF" w:themeFill="background1" w:themeFillShade="BF"/>
          </w:tcPr>
          <w:p w14:paraId="21278BD7" w14:textId="477C48E2" w:rsidR="008C7439" w:rsidRDefault="008C7439" w:rsidP="0008407F">
            <w:pPr>
              <w:widowControl w:val="0"/>
              <w:tabs>
                <w:tab w:val="num" w:pos="0"/>
                <w:tab w:val="left" w:pos="7515"/>
              </w:tabs>
              <w:overflowPunct w:val="0"/>
              <w:autoSpaceDE w:val="0"/>
              <w:autoSpaceDN w:val="0"/>
              <w:adjustRightInd w:val="0"/>
              <w:spacing w:line="255" w:lineRule="atLeast"/>
              <w:textAlignment w:val="baseline"/>
              <w:rPr>
                <w:rFonts w:ascii="Verdana" w:hAnsi="Verdana"/>
                <w:sz w:val="18"/>
                <w:szCs w:val="18"/>
                <w:highlight w:val="yellow"/>
              </w:rPr>
            </w:pPr>
            <w:r>
              <w:rPr>
                <w:rFonts w:ascii="Verdana" w:eastAsia="Times New Roman" w:hAnsi="Verdana" w:cs="Arial"/>
                <w:b/>
                <w:sz w:val="18"/>
                <w:szCs w:val="18"/>
              </w:rPr>
              <w:t xml:space="preserve">Percentage </w:t>
            </w:r>
            <w:r w:rsidRPr="003534CD">
              <w:rPr>
                <w:rFonts w:ascii="Verdana" w:eastAsia="Times New Roman" w:hAnsi="Verdana" w:cs="Arial"/>
                <w:b/>
                <w:sz w:val="18"/>
                <w:szCs w:val="18"/>
              </w:rPr>
              <w:t>van de totale opdrachtsom</w:t>
            </w:r>
            <w:r>
              <w:rPr>
                <w:rFonts w:ascii="Verdana" w:eastAsia="Times New Roman" w:hAnsi="Verdana" w:cs="Arial"/>
                <w:b/>
                <w:sz w:val="18"/>
                <w:szCs w:val="18"/>
              </w:rPr>
              <w:t xml:space="preserve"> (excl. BTW)</w:t>
            </w:r>
            <w:r w:rsidRPr="003534CD">
              <w:rPr>
                <w:rFonts w:ascii="Verdana" w:eastAsia="Times New Roman" w:hAnsi="Verdana" w:cs="Arial"/>
                <w:b/>
                <w:sz w:val="18"/>
                <w:szCs w:val="18"/>
              </w:rPr>
              <w:t xml:space="preserve"> op basis van de bouwblokkenmethode</w:t>
            </w:r>
          </w:p>
        </w:tc>
        <w:tc>
          <w:tcPr>
            <w:tcW w:w="4390" w:type="dxa"/>
          </w:tcPr>
          <w:p w14:paraId="052C7872" w14:textId="21B6BDFB" w:rsidR="008C7439" w:rsidRDefault="008C7439" w:rsidP="0008407F">
            <w:pPr>
              <w:widowControl w:val="0"/>
              <w:tabs>
                <w:tab w:val="num" w:pos="0"/>
                <w:tab w:val="left" w:pos="7515"/>
              </w:tabs>
              <w:overflowPunct w:val="0"/>
              <w:autoSpaceDE w:val="0"/>
              <w:autoSpaceDN w:val="0"/>
              <w:adjustRightInd w:val="0"/>
              <w:spacing w:line="255" w:lineRule="atLeast"/>
              <w:textAlignment w:val="baseline"/>
              <w:rPr>
                <w:rFonts w:ascii="Verdana" w:hAnsi="Verdana"/>
                <w:sz w:val="18"/>
                <w:szCs w:val="18"/>
                <w:highlight w:val="yellow"/>
              </w:rPr>
            </w:pPr>
            <w:r>
              <w:rPr>
                <w:rFonts w:ascii="Verdana" w:hAnsi="Verdana"/>
                <w:sz w:val="18"/>
                <w:szCs w:val="18"/>
                <w:highlight w:val="yellow"/>
              </w:rPr>
              <w:t>%</w:t>
            </w:r>
          </w:p>
        </w:tc>
      </w:tr>
    </w:tbl>
    <w:p w14:paraId="622DED43" w14:textId="77777777" w:rsidR="008C7439" w:rsidRPr="000B16D2" w:rsidRDefault="008C7439" w:rsidP="0008407F">
      <w:pPr>
        <w:widowControl w:val="0"/>
        <w:tabs>
          <w:tab w:val="num" w:pos="0"/>
          <w:tab w:val="left" w:pos="7515"/>
        </w:tabs>
        <w:overflowPunct w:val="0"/>
        <w:autoSpaceDE w:val="0"/>
        <w:autoSpaceDN w:val="0"/>
        <w:adjustRightInd w:val="0"/>
        <w:spacing w:before="0" w:after="0" w:line="255" w:lineRule="atLeast"/>
        <w:textAlignment w:val="baseline"/>
        <w:rPr>
          <w:rFonts w:ascii="Verdana" w:hAnsi="Verdana"/>
          <w:sz w:val="18"/>
          <w:szCs w:val="18"/>
          <w:highlight w:val="yellow"/>
        </w:rPr>
      </w:pPr>
    </w:p>
    <w:p w14:paraId="2EE66D07" w14:textId="4A710740" w:rsidR="00CD55AF" w:rsidRPr="000B16D2" w:rsidRDefault="00CD55AF"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07AC196B" w14:textId="7BDA50E2" w:rsidR="00CD55AF" w:rsidRPr="000B16D2" w:rsidRDefault="00CD55AF"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08020FE1" w14:textId="1F9E14ED" w:rsidR="000B16D2" w:rsidRPr="000B16D2" w:rsidRDefault="003534CD"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 xml:space="preserve"> </w:t>
      </w:r>
    </w:p>
    <w:sectPr w:rsidR="000B16D2" w:rsidRPr="000B16D2" w:rsidSect="00473024">
      <w:headerReference w:type="default" r:id="rId13"/>
      <w:footerReference w:type="default" r:id="rId14"/>
      <w:headerReference w:type="first" r:id="rId15"/>
      <w:pgSz w:w="11906" w:h="16838"/>
      <w:pgMar w:top="1702" w:right="1416" w:bottom="1276" w:left="1417" w:header="624"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61572" w14:textId="77777777" w:rsidR="00CC59AC" w:rsidRDefault="00CC59AC" w:rsidP="003F25FC">
      <w:pPr>
        <w:spacing w:before="0" w:after="0" w:line="240" w:lineRule="auto"/>
      </w:pPr>
      <w:r>
        <w:separator/>
      </w:r>
    </w:p>
  </w:endnote>
  <w:endnote w:type="continuationSeparator" w:id="0">
    <w:p w14:paraId="089DA52E" w14:textId="77777777" w:rsidR="00CC59AC" w:rsidRDefault="00CC59AC"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F7758" w14:textId="7F57B368" w:rsidR="00473024" w:rsidRDefault="005859E1" w:rsidP="00473024">
    <w:pPr>
      <w:spacing w:before="0" w:after="0" w:line="255" w:lineRule="atLeast"/>
      <w:rPr>
        <w:rStyle w:val="Subtieleverwijzing"/>
        <w:b w:val="0"/>
      </w:rPr>
    </w:pPr>
    <w:r>
      <w:rPr>
        <w:rStyle w:val="Subtieleverwijzing"/>
        <w:b w:val="0"/>
      </w:rPr>
      <w:t>Kenmerk</w:t>
    </w:r>
    <w:r w:rsidRPr="009A1708">
      <w:rPr>
        <w:rStyle w:val="Subtieleverwijzing"/>
        <w:b w:val="0"/>
      </w:rPr>
      <w:t xml:space="preserve"> </w:t>
    </w:r>
    <w:r w:rsidR="003534CD">
      <w:rPr>
        <w:rStyle w:val="Subtieleverwijzing"/>
        <w:b w:val="0"/>
      </w:rPr>
      <w:t>JS.2022.268</w:t>
    </w:r>
  </w:p>
  <w:p w14:paraId="1F9F9C89" w14:textId="32839D8A" w:rsidR="005859E1" w:rsidRPr="00473024" w:rsidRDefault="00473024" w:rsidP="00473024">
    <w:pPr>
      <w:spacing w:before="0" w:after="0" w:line="255" w:lineRule="atLeast"/>
      <w:rPr>
        <w:rFonts w:ascii="Verdana" w:hAnsi="Verdana"/>
        <w:bCs/>
        <w:color w:val="0078D2"/>
        <w:sz w:val="16"/>
      </w:rPr>
    </w:pPr>
    <w:r>
      <w:rPr>
        <w:rStyle w:val="Subtieleverwijzing"/>
        <w:b w:val="0"/>
        <w:color w:val="BFBFBF" w:themeColor="background1" w:themeShade="BF"/>
        <w:sz w:val="14"/>
        <w:szCs w:val="14"/>
      </w:rPr>
      <w:t>V1.0, 17-03</w:t>
    </w:r>
    <w:r w:rsidR="005859E1" w:rsidRPr="005859E1">
      <w:rPr>
        <w:rStyle w:val="Subtieleverwijzing"/>
        <w:b w:val="0"/>
        <w:color w:val="BFBFBF" w:themeColor="background1" w:themeShade="BF"/>
        <w:sz w:val="14"/>
        <w:szCs w:val="14"/>
      </w:rPr>
      <w:t>-2022, UWV-Inkoop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C66E" w14:textId="77777777" w:rsidR="00CC59AC" w:rsidRDefault="00CC59AC" w:rsidP="003F25FC">
      <w:pPr>
        <w:spacing w:before="0" w:after="0" w:line="240" w:lineRule="auto"/>
      </w:pPr>
      <w:r>
        <w:separator/>
      </w:r>
    </w:p>
  </w:footnote>
  <w:footnote w:type="continuationSeparator" w:id="0">
    <w:p w14:paraId="03A9E346" w14:textId="77777777" w:rsidR="00CC59AC" w:rsidRDefault="00CC59AC"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79DB" w14:textId="4D1DDC32" w:rsidR="00BA6550" w:rsidRDefault="00BA6550">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656874"/>
    <w:multiLevelType w:val="hybridMultilevel"/>
    <w:tmpl w:val="8ED60B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09"/>
    <w:rsid w:val="000049A4"/>
    <w:rsid w:val="00012E3B"/>
    <w:rsid w:val="000150A5"/>
    <w:rsid w:val="00031A40"/>
    <w:rsid w:val="00037741"/>
    <w:rsid w:val="00043D72"/>
    <w:rsid w:val="000532DF"/>
    <w:rsid w:val="0008407F"/>
    <w:rsid w:val="000B0A26"/>
    <w:rsid w:val="000B16D2"/>
    <w:rsid w:val="000B3DD4"/>
    <w:rsid w:val="000E46FD"/>
    <w:rsid w:val="000F2931"/>
    <w:rsid w:val="000F627D"/>
    <w:rsid w:val="001048A4"/>
    <w:rsid w:val="00115DE1"/>
    <w:rsid w:val="00127085"/>
    <w:rsid w:val="00134BF6"/>
    <w:rsid w:val="00135C3C"/>
    <w:rsid w:val="0014089B"/>
    <w:rsid w:val="00145FED"/>
    <w:rsid w:val="00155BF0"/>
    <w:rsid w:val="00186D6D"/>
    <w:rsid w:val="001929AC"/>
    <w:rsid w:val="001B15EA"/>
    <w:rsid w:val="001C7875"/>
    <w:rsid w:val="001D3E91"/>
    <w:rsid w:val="001E1889"/>
    <w:rsid w:val="001E1FC8"/>
    <w:rsid w:val="002012A9"/>
    <w:rsid w:val="00207EF2"/>
    <w:rsid w:val="00220519"/>
    <w:rsid w:val="00225C5C"/>
    <w:rsid w:val="00226929"/>
    <w:rsid w:val="002302A3"/>
    <w:rsid w:val="00235B58"/>
    <w:rsid w:val="00235FA2"/>
    <w:rsid w:val="002501B4"/>
    <w:rsid w:val="00250728"/>
    <w:rsid w:val="002625DC"/>
    <w:rsid w:val="00267915"/>
    <w:rsid w:val="00273203"/>
    <w:rsid w:val="00296AF6"/>
    <w:rsid w:val="002970F4"/>
    <w:rsid w:val="002D399C"/>
    <w:rsid w:val="002D3FA6"/>
    <w:rsid w:val="002D77F5"/>
    <w:rsid w:val="00301C93"/>
    <w:rsid w:val="003034BA"/>
    <w:rsid w:val="003054AC"/>
    <w:rsid w:val="0032785A"/>
    <w:rsid w:val="003534CD"/>
    <w:rsid w:val="00353904"/>
    <w:rsid w:val="0036158E"/>
    <w:rsid w:val="00373B52"/>
    <w:rsid w:val="00387614"/>
    <w:rsid w:val="003A72DF"/>
    <w:rsid w:val="003B0446"/>
    <w:rsid w:val="003B4234"/>
    <w:rsid w:val="003B6C88"/>
    <w:rsid w:val="003B799C"/>
    <w:rsid w:val="003C41AD"/>
    <w:rsid w:val="003C51C7"/>
    <w:rsid w:val="003D3FB5"/>
    <w:rsid w:val="003E62EA"/>
    <w:rsid w:val="003F25FC"/>
    <w:rsid w:val="00423D90"/>
    <w:rsid w:val="0043639E"/>
    <w:rsid w:val="00440E6F"/>
    <w:rsid w:val="00443EA0"/>
    <w:rsid w:val="00473024"/>
    <w:rsid w:val="00473554"/>
    <w:rsid w:val="00475338"/>
    <w:rsid w:val="0048780C"/>
    <w:rsid w:val="00490153"/>
    <w:rsid w:val="0049107D"/>
    <w:rsid w:val="00497EA3"/>
    <w:rsid w:val="004A487F"/>
    <w:rsid w:val="004B03F0"/>
    <w:rsid w:val="004B265A"/>
    <w:rsid w:val="004D110F"/>
    <w:rsid w:val="004D1FA1"/>
    <w:rsid w:val="004D2DFE"/>
    <w:rsid w:val="004D583D"/>
    <w:rsid w:val="004E4E88"/>
    <w:rsid w:val="00516A64"/>
    <w:rsid w:val="00523E0D"/>
    <w:rsid w:val="00536FDC"/>
    <w:rsid w:val="005400B1"/>
    <w:rsid w:val="005478E5"/>
    <w:rsid w:val="00581512"/>
    <w:rsid w:val="005859E1"/>
    <w:rsid w:val="00585ACE"/>
    <w:rsid w:val="0059220E"/>
    <w:rsid w:val="005A3590"/>
    <w:rsid w:val="005A6796"/>
    <w:rsid w:val="005A739B"/>
    <w:rsid w:val="005A7509"/>
    <w:rsid w:val="005C0A3B"/>
    <w:rsid w:val="005C18B0"/>
    <w:rsid w:val="005C64A0"/>
    <w:rsid w:val="005D6F5E"/>
    <w:rsid w:val="005F61FD"/>
    <w:rsid w:val="005F68BB"/>
    <w:rsid w:val="006016C0"/>
    <w:rsid w:val="006019F8"/>
    <w:rsid w:val="00606B0C"/>
    <w:rsid w:val="00606CCC"/>
    <w:rsid w:val="00615BB2"/>
    <w:rsid w:val="00617F3A"/>
    <w:rsid w:val="00623C0B"/>
    <w:rsid w:val="006271E8"/>
    <w:rsid w:val="00640CB8"/>
    <w:rsid w:val="00641232"/>
    <w:rsid w:val="00652679"/>
    <w:rsid w:val="00654B7D"/>
    <w:rsid w:val="00665F79"/>
    <w:rsid w:val="0067428C"/>
    <w:rsid w:val="006916B8"/>
    <w:rsid w:val="00693D46"/>
    <w:rsid w:val="00696EE8"/>
    <w:rsid w:val="006A7C01"/>
    <w:rsid w:val="006B2BCB"/>
    <w:rsid w:val="006B49A5"/>
    <w:rsid w:val="006C06B3"/>
    <w:rsid w:val="006D2126"/>
    <w:rsid w:val="006E10BF"/>
    <w:rsid w:val="006E5812"/>
    <w:rsid w:val="006F1F92"/>
    <w:rsid w:val="00716E6D"/>
    <w:rsid w:val="0072239A"/>
    <w:rsid w:val="00744D43"/>
    <w:rsid w:val="007716EC"/>
    <w:rsid w:val="00783A3C"/>
    <w:rsid w:val="00787A73"/>
    <w:rsid w:val="00791D75"/>
    <w:rsid w:val="00791E22"/>
    <w:rsid w:val="00794869"/>
    <w:rsid w:val="007A0A0C"/>
    <w:rsid w:val="007A2D3C"/>
    <w:rsid w:val="007A72BE"/>
    <w:rsid w:val="007D0435"/>
    <w:rsid w:val="007D0459"/>
    <w:rsid w:val="007E2523"/>
    <w:rsid w:val="007F56DC"/>
    <w:rsid w:val="00805062"/>
    <w:rsid w:val="0081204B"/>
    <w:rsid w:val="0082593C"/>
    <w:rsid w:val="00835559"/>
    <w:rsid w:val="00840303"/>
    <w:rsid w:val="008572BD"/>
    <w:rsid w:val="00867CB3"/>
    <w:rsid w:val="0089781B"/>
    <w:rsid w:val="008C467C"/>
    <w:rsid w:val="008C7439"/>
    <w:rsid w:val="008D3B49"/>
    <w:rsid w:val="008E77D0"/>
    <w:rsid w:val="008F4462"/>
    <w:rsid w:val="008F5F1A"/>
    <w:rsid w:val="00913D2B"/>
    <w:rsid w:val="00914351"/>
    <w:rsid w:val="0091778D"/>
    <w:rsid w:val="009200CA"/>
    <w:rsid w:val="009218F5"/>
    <w:rsid w:val="009428FE"/>
    <w:rsid w:val="00946130"/>
    <w:rsid w:val="0094761E"/>
    <w:rsid w:val="0095000E"/>
    <w:rsid w:val="009529B5"/>
    <w:rsid w:val="009536C7"/>
    <w:rsid w:val="009660DA"/>
    <w:rsid w:val="00971180"/>
    <w:rsid w:val="009A1540"/>
    <w:rsid w:val="009A1708"/>
    <w:rsid w:val="009A32A2"/>
    <w:rsid w:val="009B5B4E"/>
    <w:rsid w:val="009C2970"/>
    <w:rsid w:val="009C6D69"/>
    <w:rsid w:val="009C74F0"/>
    <w:rsid w:val="009D1061"/>
    <w:rsid w:val="009E46DA"/>
    <w:rsid w:val="009F724A"/>
    <w:rsid w:val="00A0081D"/>
    <w:rsid w:val="00A0339B"/>
    <w:rsid w:val="00A07B8E"/>
    <w:rsid w:val="00A43EF0"/>
    <w:rsid w:val="00A51F2A"/>
    <w:rsid w:val="00A53357"/>
    <w:rsid w:val="00A80469"/>
    <w:rsid w:val="00A8143C"/>
    <w:rsid w:val="00A97E83"/>
    <w:rsid w:val="00AB0BC6"/>
    <w:rsid w:val="00AF2D04"/>
    <w:rsid w:val="00AF305D"/>
    <w:rsid w:val="00B05BB7"/>
    <w:rsid w:val="00B207E9"/>
    <w:rsid w:val="00B305C1"/>
    <w:rsid w:val="00B31B45"/>
    <w:rsid w:val="00B31D45"/>
    <w:rsid w:val="00B3430E"/>
    <w:rsid w:val="00B35912"/>
    <w:rsid w:val="00B51298"/>
    <w:rsid w:val="00B57743"/>
    <w:rsid w:val="00B66D23"/>
    <w:rsid w:val="00B705D7"/>
    <w:rsid w:val="00B727F3"/>
    <w:rsid w:val="00B770A3"/>
    <w:rsid w:val="00B8402D"/>
    <w:rsid w:val="00B84171"/>
    <w:rsid w:val="00B9604C"/>
    <w:rsid w:val="00B974C5"/>
    <w:rsid w:val="00BA26C7"/>
    <w:rsid w:val="00BA2B82"/>
    <w:rsid w:val="00BA6550"/>
    <w:rsid w:val="00BA7C82"/>
    <w:rsid w:val="00BB03A8"/>
    <w:rsid w:val="00BB5D42"/>
    <w:rsid w:val="00BD3BDA"/>
    <w:rsid w:val="00BD5AE9"/>
    <w:rsid w:val="00BD751F"/>
    <w:rsid w:val="00BF4196"/>
    <w:rsid w:val="00BF5F6D"/>
    <w:rsid w:val="00C15B8B"/>
    <w:rsid w:val="00C24666"/>
    <w:rsid w:val="00C27F34"/>
    <w:rsid w:val="00C75CA1"/>
    <w:rsid w:val="00C82548"/>
    <w:rsid w:val="00C83A3A"/>
    <w:rsid w:val="00C85734"/>
    <w:rsid w:val="00C91D87"/>
    <w:rsid w:val="00C92469"/>
    <w:rsid w:val="00CB251C"/>
    <w:rsid w:val="00CC457F"/>
    <w:rsid w:val="00CC57B2"/>
    <w:rsid w:val="00CC59AC"/>
    <w:rsid w:val="00CD55AF"/>
    <w:rsid w:val="00D12C14"/>
    <w:rsid w:val="00D22208"/>
    <w:rsid w:val="00D3335E"/>
    <w:rsid w:val="00D54D47"/>
    <w:rsid w:val="00D613B7"/>
    <w:rsid w:val="00D80213"/>
    <w:rsid w:val="00D86179"/>
    <w:rsid w:val="00D91E85"/>
    <w:rsid w:val="00DA4F0E"/>
    <w:rsid w:val="00DB02DF"/>
    <w:rsid w:val="00DB6FC4"/>
    <w:rsid w:val="00DD020D"/>
    <w:rsid w:val="00DD32F3"/>
    <w:rsid w:val="00DD4DBE"/>
    <w:rsid w:val="00DD56F9"/>
    <w:rsid w:val="00DE018D"/>
    <w:rsid w:val="00DF6DAD"/>
    <w:rsid w:val="00E060D5"/>
    <w:rsid w:val="00E14EBE"/>
    <w:rsid w:val="00E2356D"/>
    <w:rsid w:val="00E40AD9"/>
    <w:rsid w:val="00E46FB3"/>
    <w:rsid w:val="00E504FC"/>
    <w:rsid w:val="00E517FD"/>
    <w:rsid w:val="00E85875"/>
    <w:rsid w:val="00E86698"/>
    <w:rsid w:val="00E91047"/>
    <w:rsid w:val="00EA58A4"/>
    <w:rsid w:val="00EF1DBF"/>
    <w:rsid w:val="00F17114"/>
    <w:rsid w:val="00F54729"/>
    <w:rsid w:val="00F57E8D"/>
    <w:rsid w:val="00F61008"/>
    <w:rsid w:val="00F738D6"/>
    <w:rsid w:val="00F83817"/>
    <w:rsid w:val="00F9020B"/>
    <w:rsid w:val="00F935ED"/>
    <w:rsid w:val="00F93B26"/>
    <w:rsid w:val="00FA24F0"/>
    <w:rsid w:val="00FA727F"/>
    <w:rsid w:val="00FC420D"/>
    <w:rsid w:val="00FC686D"/>
    <w:rsid w:val="00FE5907"/>
    <w:rsid w:val="00FF2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9A1708"/>
    <w:pPr>
      <w:pBdr>
        <w:top w:val="dotted" w:sz="6" w:space="2" w:color="5B9BD5" w:themeColor="accent1"/>
      </w:pBdr>
      <w:spacing w:before="200" w:after="0"/>
      <w:outlineLvl w:val="3"/>
    </w:pPr>
    <w:rPr>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9A1708"/>
    <w:rPr>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semiHidden/>
    <w:unhideWhenUsed/>
    <w:rsid w:val="00606B0C"/>
    <w:pPr>
      <w:spacing w:line="240" w:lineRule="auto"/>
    </w:pPr>
  </w:style>
  <w:style w:type="character" w:customStyle="1" w:styleId="TekstopmerkingChar">
    <w:name w:val="Tekst opmerking Char"/>
    <w:basedOn w:val="Standaardalinea-lettertype"/>
    <w:link w:val="Tekstopmerking"/>
    <w:uiPriority w:val="99"/>
    <w:semiHidden/>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 w:type="paragraph" w:customStyle="1" w:styleId="Stijl1">
    <w:name w:val="Stijl1"/>
    <w:basedOn w:val="Kop4"/>
    <w:link w:val="Stijl1Char"/>
    <w:qFormat/>
    <w:rsid w:val="00CD55AF"/>
    <w:rPr>
      <w:rFonts w:ascii="Verdana" w:hAnsi="Verdana"/>
    </w:rPr>
  </w:style>
  <w:style w:type="character" w:customStyle="1" w:styleId="Stijl1Char">
    <w:name w:val="Stijl1 Char"/>
    <w:basedOn w:val="Kop4Char"/>
    <w:link w:val="Stijl1"/>
    <w:rsid w:val="00CD55AF"/>
    <w:rPr>
      <w:rFonts w:ascii="Verdana" w:hAnsi="Verdana"/>
      <w:caps/>
      <w:color w:val="0078D2"/>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083D1065629F4EB82D434EDD9D64B5" ma:contentTypeVersion="0" ma:contentTypeDescription="Een nieuw document maken." ma:contentTypeScope="" ma:versionID="060f7b570f21bd5e8423a54d26139dd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c8cb159-2b14-44f1-9f1e-2f87ce4796a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1C7FC-1D5B-464B-8DA9-828F2CAAE6DC}">
  <ds:schemaRefs>
    <ds:schemaRef ds:uri="http://schemas.microsoft.com/office/2006/metadata/customXsn"/>
  </ds:schemaRefs>
</ds:datastoreItem>
</file>

<file path=customXml/itemProps2.xml><?xml version="1.0" encoding="utf-8"?>
<ds:datastoreItem xmlns:ds="http://schemas.openxmlformats.org/officeDocument/2006/customXml" ds:itemID="{D014172A-9419-437A-9357-4636048FD657}">
  <ds:schemaRefs>
    <ds:schemaRef ds:uri="http://schemas.microsoft.com/sharepoint/v3/contenttype/forms"/>
  </ds:schemaRefs>
</ds:datastoreItem>
</file>

<file path=customXml/itemProps3.xml><?xml version="1.0" encoding="utf-8"?>
<ds:datastoreItem xmlns:ds="http://schemas.openxmlformats.org/officeDocument/2006/customXml" ds:itemID="{141A0033-7B0E-46BE-A985-5461A4A1DC9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8778E66-3B8A-484A-BE5F-79AF9CB31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5E29A84-033F-4BED-9C21-702A693E665B}">
  <ds:schemaRefs>
    <ds:schemaRef ds:uri="Microsoft.SharePoint.Taxonomy.ContentTypeSync"/>
  </ds:schemaRefs>
</ds:datastoreItem>
</file>

<file path=customXml/itemProps6.xml><?xml version="1.0" encoding="utf-8"?>
<ds:datastoreItem xmlns:ds="http://schemas.openxmlformats.org/officeDocument/2006/customXml" ds:itemID="{86111246-F2F5-4D27-BE4C-9BADE269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Marita (M.)</dc:creator>
  <cp:keywords/>
  <dc:description/>
  <cp:lastModifiedBy>Scheffers, Jessica (J.)</cp:lastModifiedBy>
  <cp:revision>215</cp:revision>
  <dcterms:created xsi:type="dcterms:W3CDTF">2021-05-07T12:48:00Z</dcterms:created>
  <dcterms:modified xsi:type="dcterms:W3CDTF">2022-07-16T21:24:00Z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0x010100E8083D1065629F4EB82D434EDD9D64B5</vt:lpwstr>
  </property>
</Properties>
</file>