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411D2" w14:textId="7AB13C83" w:rsidR="00AF092A" w:rsidRPr="00074B82" w:rsidRDefault="00AF092A" w:rsidP="00426805">
      <w:pPr>
        <w:ind w:left="-992"/>
      </w:pPr>
      <w:bookmarkStart w:id="0" w:name="_GoBack"/>
      <w:bookmarkEnd w:id="0"/>
    </w:p>
    <w:p w14:paraId="71920F64" w14:textId="77777777" w:rsidR="00074B82" w:rsidRDefault="00074B82" w:rsidP="00426805">
      <w:pPr>
        <w:ind w:left="-992"/>
      </w:pPr>
    </w:p>
    <w:p w14:paraId="0B6562CC" w14:textId="77777777" w:rsidR="00074B82" w:rsidRDefault="00074B82" w:rsidP="00426805">
      <w:pPr>
        <w:ind w:left="-992"/>
      </w:pPr>
    </w:p>
    <w:p w14:paraId="4B8BDC23" w14:textId="550EAAB1" w:rsidR="00074B82" w:rsidRDefault="00074B82" w:rsidP="00426805">
      <w:pPr>
        <w:ind w:left="-992"/>
      </w:pPr>
    </w:p>
    <w:p w14:paraId="4F89151D" w14:textId="77777777" w:rsidR="00074B82" w:rsidRDefault="00074B82" w:rsidP="003B0676"/>
    <w:p w14:paraId="3E45D6F9" w14:textId="77777777" w:rsidR="008A14E6" w:rsidRDefault="008A14E6" w:rsidP="00305D73">
      <w:pPr>
        <w:pStyle w:val="Title"/>
        <w:ind w:left="-426"/>
      </w:pPr>
      <w:bookmarkStart w:id="1" w:name="BM_Titel"/>
    </w:p>
    <w:p w14:paraId="19EA87E8" w14:textId="2826C5CA" w:rsidR="008B38FE" w:rsidRDefault="00541C36" w:rsidP="00541C36">
      <w:pPr>
        <w:pStyle w:val="Title"/>
        <w:ind w:left="-426"/>
      </w:pPr>
      <w:r>
        <w:t>C</w:t>
      </w:r>
      <w:r w:rsidR="00116A33">
        <w:t>hecklist</w:t>
      </w:r>
      <w:bookmarkEnd w:id="1"/>
      <w:r>
        <w:t xml:space="preserve">, </w:t>
      </w:r>
      <w:r>
        <w:rPr>
          <w:lang w:eastAsia="nl-NL"/>
        </w:rPr>
        <w:t>g</w:t>
      </w:r>
      <w:r w:rsidR="008B38FE">
        <w:rPr>
          <w:lang w:eastAsia="nl-NL"/>
        </w:rPr>
        <w:t>ebaseerd op Handreiking Security bij het Juridisch Normenkader versie 2.0.</w:t>
      </w:r>
    </w:p>
    <w:tbl>
      <w:tblPr>
        <w:tblStyle w:val="TableGrid"/>
        <w:tblW w:w="0" w:type="auto"/>
        <w:tblLook w:val="04A0" w:firstRow="1" w:lastRow="0" w:firstColumn="1" w:lastColumn="0" w:noHBand="0" w:noVBand="1"/>
      </w:tblPr>
      <w:tblGrid>
        <w:gridCol w:w="3068"/>
        <w:gridCol w:w="5432"/>
      </w:tblGrid>
      <w:tr w:rsidR="00D37157" w14:paraId="1E09AEF7" w14:textId="77777777" w:rsidTr="00D37157">
        <w:tc>
          <w:tcPr>
            <w:tcW w:w="3068" w:type="dxa"/>
          </w:tcPr>
          <w:p w14:paraId="3547D090" w14:textId="50124353" w:rsidR="00D37157" w:rsidRDefault="00D37157">
            <w:pPr>
              <w:spacing w:after="0" w:line="240" w:lineRule="auto"/>
              <w:rPr>
                <w:lang w:eastAsia="nl-NL"/>
              </w:rPr>
            </w:pPr>
            <w:r>
              <w:rPr>
                <w:lang w:eastAsia="nl-NL"/>
              </w:rPr>
              <w:t xml:space="preserve">Checklist </w:t>
            </w:r>
          </w:p>
        </w:tc>
        <w:tc>
          <w:tcPr>
            <w:tcW w:w="5432" w:type="dxa"/>
          </w:tcPr>
          <w:p w14:paraId="1F18FF34" w14:textId="77777777" w:rsidR="00D37157" w:rsidRDefault="00D37157">
            <w:pPr>
              <w:spacing w:after="0" w:line="240" w:lineRule="auto"/>
              <w:rPr>
                <w:lang w:eastAsia="nl-NL"/>
              </w:rPr>
            </w:pPr>
          </w:p>
        </w:tc>
      </w:tr>
      <w:tr w:rsidR="00D37157" w14:paraId="5D2BEC29" w14:textId="77777777" w:rsidTr="00D37157">
        <w:tc>
          <w:tcPr>
            <w:tcW w:w="3068" w:type="dxa"/>
          </w:tcPr>
          <w:p w14:paraId="748A0D33" w14:textId="67ADB598" w:rsidR="00D37157" w:rsidRDefault="00D37157">
            <w:pPr>
              <w:spacing w:after="0" w:line="240" w:lineRule="auto"/>
              <w:rPr>
                <w:lang w:eastAsia="nl-NL"/>
              </w:rPr>
            </w:pPr>
            <w:r>
              <w:rPr>
                <w:lang w:eastAsia="nl-NL"/>
              </w:rPr>
              <w:t>Applicatie</w:t>
            </w:r>
          </w:p>
        </w:tc>
        <w:tc>
          <w:tcPr>
            <w:tcW w:w="5432" w:type="dxa"/>
          </w:tcPr>
          <w:p w14:paraId="6F2944B3" w14:textId="0F8842B4" w:rsidR="00D37157" w:rsidRDefault="00385ACE">
            <w:pPr>
              <w:spacing w:after="0" w:line="240" w:lineRule="auto"/>
              <w:rPr>
                <w:lang w:eastAsia="nl-NL"/>
              </w:rPr>
            </w:pPr>
            <w:r>
              <w:rPr>
                <w:lang w:eastAsia="nl-NL"/>
              </w:rPr>
              <w:t>Beheer Magento Webshops SURF</w:t>
            </w:r>
          </w:p>
        </w:tc>
      </w:tr>
      <w:tr w:rsidR="00D37157" w14:paraId="62DB8CFB" w14:textId="77777777" w:rsidTr="00D37157">
        <w:tc>
          <w:tcPr>
            <w:tcW w:w="3068" w:type="dxa"/>
          </w:tcPr>
          <w:p w14:paraId="6F44FA9D" w14:textId="1BBC695B" w:rsidR="00D37157" w:rsidRDefault="00D37157">
            <w:pPr>
              <w:spacing w:after="0" w:line="240" w:lineRule="auto"/>
              <w:rPr>
                <w:lang w:eastAsia="nl-NL"/>
              </w:rPr>
            </w:pPr>
            <w:r>
              <w:rPr>
                <w:lang w:eastAsia="nl-NL"/>
              </w:rPr>
              <w:t>Classificatie</w:t>
            </w:r>
          </w:p>
        </w:tc>
        <w:tc>
          <w:tcPr>
            <w:tcW w:w="5432" w:type="dxa"/>
          </w:tcPr>
          <w:p w14:paraId="444F42FC" w14:textId="33DBCD84" w:rsidR="00D37157" w:rsidRDefault="00D37157">
            <w:pPr>
              <w:spacing w:after="0" w:line="240" w:lineRule="auto"/>
              <w:rPr>
                <w:lang w:eastAsia="nl-NL"/>
              </w:rPr>
            </w:pPr>
            <w:r>
              <w:rPr>
                <w:lang w:eastAsia="nl-NL"/>
              </w:rPr>
              <w:t>HOOG</w:t>
            </w:r>
          </w:p>
        </w:tc>
      </w:tr>
      <w:tr w:rsidR="00D37157" w14:paraId="13236625" w14:textId="77777777" w:rsidTr="00D37157">
        <w:tc>
          <w:tcPr>
            <w:tcW w:w="3068" w:type="dxa"/>
          </w:tcPr>
          <w:p w14:paraId="790FCE49" w14:textId="0E1C7E62" w:rsidR="00D37157" w:rsidRDefault="00D37157">
            <w:pPr>
              <w:spacing w:after="0" w:line="240" w:lineRule="auto"/>
              <w:rPr>
                <w:lang w:eastAsia="nl-NL"/>
              </w:rPr>
            </w:pPr>
            <w:r>
              <w:rPr>
                <w:lang w:eastAsia="nl-NL"/>
              </w:rPr>
              <w:t>Datum</w:t>
            </w:r>
          </w:p>
        </w:tc>
        <w:tc>
          <w:tcPr>
            <w:tcW w:w="5432" w:type="dxa"/>
          </w:tcPr>
          <w:p w14:paraId="6E69CE36" w14:textId="711C4B56" w:rsidR="00D37157" w:rsidRDefault="00385ACE">
            <w:pPr>
              <w:spacing w:after="0" w:line="240" w:lineRule="auto"/>
              <w:rPr>
                <w:lang w:eastAsia="nl-NL"/>
              </w:rPr>
            </w:pPr>
            <w:r>
              <w:rPr>
                <w:lang w:eastAsia="nl-NL"/>
              </w:rPr>
              <w:t>februari</w:t>
            </w:r>
            <w:r w:rsidR="00D37157">
              <w:rPr>
                <w:lang w:eastAsia="nl-NL"/>
              </w:rPr>
              <w:t xml:space="preserve"> 2022</w:t>
            </w:r>
          </w:p>
        </w:tc>
      </w:tr>
      <w:tr w:rsidR="00D37157" w14:paraId="0ECD05F1" w14:textId="77777777" w:rsidTr="00D37157">
        <w:tc>
          <w:tcPr>
            <w:tcW w:w="3068" w:type="dxa"/>
          </w:tcPr>
          <w:p w14:paraId="0BD5474C" w14:textId="6A69AA57" w:rsidR="00D37157" w:rsidRDefault="00D37157">
            <w:pPr>
              <w:spacing w:after="0" w:line="240" w:lineRule="auto"/>
              <w:rPr>
                <w:lang w:eastAsia="nl-NL"/>
              </w:rPr>
            </w:pPr>
            <w:r>
              <w:rPr>
                <w:lang w:eastAsia="nl-NL"/>
              </w:rPr>
              <w:t>Check door</w:t>
            </w:r>
          </w:p>
        </w:tc>
        <w:tc>
          <w:tcPr>
            <w:tcW w:w="5432" w:type="dxa"/>
          </w:tcPr>
          <w:p w14:paraId="101CF56B" w14:textId="289F45CE" w:rsidR="00D37157" w:rsidRDefault="00D37157">
            <w:pPr>
              <w:spacing w:after="0" w:line="240" w:lineRule="auto"/>
              <w:rPr>
                <w:lang w:eastAsia="nl-NL"/>
              </w:rPr>
            </w:pPr>
          </w:p>
        </w:tc>
      </w:tr>
      <w:tr w:rsidR="00D37157" w14:paraId="5BE69B71" w14:textId="77777777" w:rsidTr="00D37157">
        <w:tc>
          <w:tcPr>
            <w:tcW w:w="3068" w:type="dxa"/>
          </w:tcPr>
          <w:p w14:paraId="4CDFC95F" w14:textId="27EF414F" w:rsidR="00D37157" w:rsidRDefault="00D37157">
            <w:pPr>
              <w:spacing w:after="0" w:line="240" w:lineRule="auto"/>
              <w:rPr>
                <w:lang w:eastAsia="nl-NL"/>
              </w:rPr>
            </w:pPr>
            <w:r>
              <w:rPr>
                <w:lang w:eastAsia="nl-NL"/>
              </w:rPr>
              <w:t>Bijzonderheden</w:t>
            </w:r>
          </w:p>
        </w:tc>
        <w:tc>
          <w:tcPr>
            <w:tcW w:w="5432" w:type="dxa"/>
          </w:tcPr>
          <w:p w14:paraId="403D1C1A" w14:textId="5A1BED07" w:rsidR="00D37157" w:rsidRDefault="00D37157">
            <w:pPr>
              <w:spacing w:after="0" w:line="240" w:lineRule="auto"/>
              <w:rPr>
                <w:lang w:eastAsia="nl-NL"/>
              </w:rPr>
            </w:pPr>
            <w:r>
              <w:rPr>
                <w:lang w:eastAsia="nl-NL"/>
              </w:rPr>
              <w:t>Behoort</w:t>
            </w:r>
            <w:r w:rsidR="00385ACE" w:rsidRPr="00385ACE">
              <w:rPr>
                <w:lang w:eastAsia="nl-NL"/>
              </w:rPr>
              <w:t xml:space="preserve"> bij de openbare Europese Aanbesteding - Beheer en doorontwikkeling Magento Webshops SURF </w:t>
            </w:r>
            <w:r>
              <w:rPr>
                <w:lang w:eastAsia="nl-NL"/>
              </w:rPr>
              <w:t>2022</w:t>
            </w:r>
          </w:p>
        </w:tc>
      </w:tr>
    </w:tbl>
    <w:p w14:paraId="0F5AFDE5" w14:textId="77777777" w:rsidR="00116A33" w:rsidRDefault="00116A33">
      <w:pPr>
        <w:spacing w:after="0" w:line="240" w:lineRule="auto"/>
        <w:rPr>
          <w:lang w:eastAsia="nl-NL"/>
        </w:rPr>
      </w:pPr>
    </w:p>
    <w:p w14:paraId="30CB04E5" w14:textId="38C18AF4" w:rsidR="00116A33" w:rsidRDefault="008B38FE">
      <w:pPr>
        <w:spacing w:after="0" w:line="240" w:lineRule="auto"/>
        <w:rPr>
          <w:lang w:eastAsia="nl-NL"/>
        </w:rPr>
      </w:pPr>
      <w:r>
        <w:rPr>
          <w:lang w:eastAsia="nl-NL"/>
        </w:rPr>
        <w:t>Toelichting op deze lijst:</w:t>
      </w:r>
    </w:p>
    <w:p w14:paraId="3AC58144" w14:textId="6476FB03" w:rsidR="00116A33" w:rsidRPr="00541C36" w:rsidRDefault="008B38FE">
      <w:pPr>
        <w:spacing w:after="0" w:line="240" w:lineRule="auto"/>
        <w:rPr>
          <w:lang w:eastAsia="nl-NL"/>
        </w:rPr>
      </w:pPr>
      <w:r>
        <w:rPr>
          <w:lang w:eastAsia="nl-NL"/>
        </w:rPr>
        <w:t xml:space="preserve">Van alle items wordt vastgesteld of er wel of niet voldaan wordt aan de norm met daarbij een toelichting. Het kan zijn dat een norm niet van toepassing is, dat zal dan in de </w:t>
      </w:r>
      <w:r w:rsidR="00541C36">
        <w:rPr>
          <w:lang w:eastAsia="nl-NL"/>
        </w:rPr>
        <w:t>toelichting onderbo</w:t>
      </w:r>
      <w:r>
        <w:rPr>
          <w:lang w:eastAsia="nl-NL"/>
        </w:rPr>
        <w:t>uwd moeten worden. Ook als er niet voldaan wordt aan een van de no</w:t>
      </w:r>
      <w:r w:rsidR="00D37157">
        <w:rPr>
          <w:lang w:eastAsia="nl-NL"/>
        </w:rPr>
        <w:t>r</w:t>
      </w:r>
      <w:r>
        <w:rPr>
          <w:lang w:eastAsia="nl-NL"/>
        </w:rPr>
        <w:t>men kan dit toegelicht worden met een verklaring waarom niet voldaan wordt of niet voldaan hoeft te worden.</w:t>
      </w:r>
      <w:r w:rsidR="00116A33">
        <w:rPr>
          <w:lang w:eastAsia="nl-NL"/>
        </w:rPr>
        <w:br w:type="page"/>
      </w:r>
    </w:p>
    <w:p w14:paraId="33B17BC7" w14:textId="38E4A219" w:rsidR="00F31349" w:rsidRPr="00116A33" w:rsidRDefault="00F31349" w:rsidP="00116A33">
      <w:pPr>
        <w:pStyle w:val="Heading1"/>
        <w:pageBreakBefore w:val="0"/>
        <w:rPr>
          <w:lang w:eastAsia="nl-NL"/>
        </w:rPr>
      </w:pPr>
      <w:r>
        <w:rPr>
          <w:lang w:eastAsia="nl-NL"/>
        </w:rPr>
        <w:lastRenderedPageBreak/>
        <w:t>Beleid en organisatie</w:t>
      </w:r>
    </w:p>
    <w:tbl>
      <w:tblPr>
        <w:tblStyle w:val="GridTable4"/>
        <w:tblW w:w="13863" w:type="dxa"/>
        <w:tblLook w:val="04A0" w:firstRow="1" w:lastRow="0" w:firstColumn="1" w:lastColumn="0" w:noHBand="0" w:noVBand="1"/>
      </w:tblPr>
      <w:tblGrid>
        <w:gridCol w:w="732"/>
        <w:gridCol w:w="6044"/>
        <w:gridCol w:w="2268"/>
        <w:gridCol w:w="1275"/>
        <w:gridCol w:w="3544"/>
      </w:tblGrid>
      <w:tr w:rsidR="00116A33" w:rsidRPr="004D6254" w14:paraId="31980508" w14:textId="66ABE59F" w:rsidTr="00116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70B1AC49" w14:textId="77777777" w:rsidR="00116A33" w:rsidRPr="007E04A4" w:rsidRDefault="00116A33" w:rsidP="008A14E6">
            <w:pPr>
              <w:spacing w:after="0"/>
              <w:rPr>
                <w:rFonts w:cs="Arial"/>
                <w:b w:val="0"/>
              </w:rPr>
            </w:pPr>
            <w:r w:rsidRPr="007E04A4">
              <w:rPr>
                <w:rFonts w:cs="Arial"/>
                <w:b w:val="0"/>
              </w:rPr>
              <w:t>#</w:t>
            </w:r>
          </w:p>
        </w:tc>
        <w:tc>
          <w:tcPr>
            <w:tcW w:w="6044" w:type="dxa"/>
            <w:tcBorders>
              <w:bottom w:val="single" w:sz="4" w:space="0" w:color="666666" w:themeColor="text1" w:themeTint="99"/>
            </w:tcBorders>
          </w:tcPr>
          <w:p w14:paraId="6B2B6A19" w14:textId="77777777" w:rsidR="00116A33" w:rsidRPr="004D6254" w:rsidRDefault="00116A33" w:rsidP="008A14E6">
            <w:pPr>
              <w:spacing w:after="0"/>
              <w:cnfStyle w:val="100000000000" w:firstRow="1" w:lastRow="0" w:firstColumn="0" w:lastColumn="0" w:oddVBand="0" w:evenVBand="0" w:oddHBand="0" w:evenHBand="0" w:firstRowFirstColumn="0" w:firstRowLastColumn="0" w:lastRowFirstColumn="0" w:lastRowLastColumn="0"/>
              <w:rPr>
                <w:rFonts w:cs="Arial"/>
                <w:b w:val="0"/>
              </w:rPr>
            </w:pPr>
            <w:r w:rsidRPr="004D6254">
              <w:rPr>
                <w:rFonts w:cs="Arial"/>
                <w:b w:val="0"/>
              </w:rPr>
              <w:t>Maatregel</w:t>
            </w:r>
          </w:p>
        </w:tc>
        <w:tc>
          <w:tcPr>
            <w:tcW w:w="2268" w:type="dxa"/>
            <w:tcBorders>
              <w:bottom w:val="single" w:sz="4" w:space="0" w:color="666666" w:themeColor="text1" w:themeTint="99"/>
            </w:tcBorders>
          </w:tcPr>
          <w:p w14:paraId="7B922B67" w14:textId="77777777" w:rsidR="00116A33" w:rsidRPr="004D6254" w:rsidRDefault="00116A33" w:rsidP="008A14E6">
            <w:pPr>
              <w:spacing w:after="0"/>
              <w:cnfStyle w:val="100000000000" w:firstRow="1" w:lastRow="0" w:firstColumn="0" w:lastColumn="0" w:oddVBand="0" w:evenVBand="0" w:oddHBand="0" w:evenHBand="0" w:firstRowFirstColumn="0" w:firstRowLastColumn="0" w:lastRowFirstColumn="0" w:lastRowLastColumn="0"/>
              <w:rPr>
                <w:rFonts w:cs="Arial"/>
                <w:b w:val="0"/>
              </w:rPr>
            </w:pPr>
            <w:r w:rsidRPr="004D6254">
              <w:rPr>
                <w:rFonts w:cs="Arial"/>
                <w:b w:val="0"/>
              </w:rPr>
              <w:t>Referentie</w:t>
            </w:r>
          </w:p>
        </w:tc>
        <w:tc>
          <w:tcPr>
            <w:tcW w:w="1275" w:type="dxa"/>
            <w:tcBorders>
              <w:bottom w:val="single" w:sz="4" w:space="0" w:color="666666" w:themeColor="text1" w:themeTint="99"/>
            </w:tcBorders>
          </w:tcPr>
          <w:p w14:paraId="57E7D349" w14:textId="43BB07CC" w:rsidR="00116A33" w:rsidRPr="004D6254" w:rsidRDefault="00116A33" w:rsidP="008A14E6">
            <w:pPr>
              <w:spacing w:after="0"/>
              <w:cnfStyle w:val="100000000000" w:firstRow="1" w:lastRow="0" w:firstColumn="0" w:lastColumn="0" w:oddVBand="0" w:evenVBand="0" w:oddHBand="0" w:evenHBand="0" w:firstRowFirstColumn="0" w:firstRowLastColumn="0" w:lastRowFirstColumn="0" w:lastRowLastColumn="0"/>
              <w:rPr>
                <w:rFonts w:cs="Arial"/>
              </w:rPr>
            </w:pPr>
            <w:r>
              <w:rPr>
                <w:rFonts w:cs="Arial"/>
              </w:rPr>
              <w:t>Status</w:t>
            </w:r>
          </w:p>
        </w:tc>
        <w:tc>
          <w:tcPr>
            <w:tcW w:w="3544" w:type="dxa"/>
            <w:tcBorders>
              <w:bottom w:val="single" w:sz="4" w:space="0" w:color="666666" w:themeColor="text1" w:themeTint="99"/>
            </w:tcBorders>
          </w:tcPr>
          <w:p w14:paraId="6B94F7D9" w14:textId="044DB50A" w:rsidR="00116A33" w:rsidRDefault="00116A33" w:rsidP="008A14E6">
            <w:pPr>
              <w:spacing w:after="0"/>
              <w:cnfStyle w:val="100000000000" w:firstRow="1" w:lastRow="0" w:firstColumn="0" w:lastColumn="0" w:oddVBand="0" w:evenVBand="0" w:oddHBand="0" w:evenHBand="0" w:firstRowFirstColumn="0" w:firstRowLastColumn="0" w:lastRowFirstColumn="0" w:lastRowLastColumn="0"/>
              <w:rPr>
                <w:rFonts w:cs="Arial"/>
              </w:rPr>
            </w:pPr>
            <w:r>
              <w:rPr>
                <w:rFonts w:cs="Arial"/>
              </w:rPr>
              <w:t>Toelichting</w:t>
            </w:r>
          </w:p>
        </w:tc>
      </w:tr>
      <w:tr w:rsidR="00116A33" w14:paraId="1A2ED4E9" w14:textId="4CF54009"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shd w:val="clear" w:color="auto" w:fill="7F7F7F" w:themeFill="text1" w:themeFillTint="80"/>
          </w:tcPr>
          <w:p w14:paraId="099AD87B" w14:textId="77777777" w:rsidR="00116A33" w:rsidRPr="008B38FE" w:rsidRDefault="00116A33" w:rsidP="008A14E6">
            <w:pPr>
              <w:spacing w:after="0"/>
              <w:rPr>
                <w:rFonts w:asciiTheme="minorHAnsi" w:hAnsiTheme="minorHAnsi" w:cs="Arial"/>
                <w:b w:val="0"/>
                <w:color w:val="FFFFFF" w:themeColor="background1"/>
                <w:sz w:val="18"/>
                <w:szCs w:val="18"/>
              </w:rPr>
            </w:pPr>
          </w:p>
        </w:tc>
        <w:tc>
          <w:tcPr>
            <w:tcW w:w="8312" w:type="dxa"/>
            <w:gridSpan w:val="2"/>
            <w:shd w:val="clear" w:color="auto" w:fill="7F7F7F" w:themeFill="text1" w:themeFillTint="80"/>
          </w:tcPr>
          <w:p w14:paraId="146FA58D"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r w:rsidRPr="008B38FE">
              <w:rPr>
                <w:rFonts w:asciiTheme="minorHAnsi" w:hAnsiTheme="minorHAnsi" w:cs="Arial"/>
                <w:b/>
                <w:color w:val="FFFFFF" w:themeColor="background1"/>
                <w:sz w:val="18"/>
                <w:szCs w:val="18"/>
              </w:rPr>
              <w:t>Actueel informatiebeveiligingsbeleid en organisatie van informatiebeveiliging</w:t>
            </w:r>
          </w:p>
        </w:tc>
        <w:tc>
          <w:tcPr>
            <w:tcW w:w="1275" w:type="dxa"/>
            <w:shd w:val="clear" w:color="auto" w:fill="7F7F7F" w:themeFill="text1" w:themeFillTint="80"/>
          </w:tcPr>
          <w:p w14:paraId="12787441"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p>
        </w:tc>
        <w:tc>
          <w:tcPr>
            <w:tcW w:w="3544" w:type="dxa"/>
            <w:shd w:val="clear" w:color="auto" w:fill="7F7F7F" w:themeFill="text1" w:themeFillTint="80"/>
          </w:tcPr>
          <w:p w14:paraId="77A66B03"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p>
        </w:tc>
      </w:tr>
      <w:tr w:rsidR="00116A33" w14:paraId="2F997DBA" w14:textId="466458D0" w:rsidTr="00116A33">
        <w:tc>
          <w:tcPr>
            <w:cnfStyle w:val="001000000000" w:firstRow="0" w:lastRow="0" w:firstColumn="1" w:lastColumn="0" w:oddVBand="0" w:evenVBand="0" w:oddHBand="0" w:evenHBand="0" w:firstRowFirstColumn="0" w:firstRowLastColumn="0" w:lastRowFirstColumn="0" w:lastRowLastColumn="0"/>
            <w:tcW w:w="732" w:type="dxa"/>
          </w:tcPr>
          <w:p w14:paraId="11AABB73" w14:textId="77777777"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1.1</w:t>
            </w:r>
          </w:p>
        </w:tc>
        <w:tc>
          <w:tcPr>
            <w:tcW w:w="6044" w:type="dxa"/>
          </w:tcPr>
          <w:p w14:paraId="5DE5E538"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De directie van de leverancier heeft een Informatiebeveiligingsbeleid vastgesteld en communiceert dit aantoonbaar op regelmatige basis (jaarlijks), zowel intern als aan relevante externe partijen.</w:t>
            </w:r>
          </w:p>
        </w:tc>
        <w:tc>
          <w:tcPr>
            <w:tcW w:w="2268" w:type="dxa"/>
          </w:tcPr>
          <w:p w14:paraId="57978942"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6B7982BD"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§5.1.1</w:t>
            </w:r>
          </w:p>
        </w:tc>
        <w:tc>
          <w:tcPr>
            <w:tcW w:w="1275" w:type="dxa"/>
          </w:tcPr>
          <w:p w14:paraId="41B2DF56" w14:textId="0145C3D6"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3544" w:type="dxa"/>
          </w:tcPr>
          <w:p w14:paraId="12AFEDD2" w14:textId="366FEFC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116A33" w14:paraId="7763676C" w14:textId="024344FE"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2E792628" w14:textId="77777777"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1.2</w:t>
            </w:r>
          </w:p>
        </w:tc>
        <w:tc>
          <w:tcPr>
            <w:tcW w:w="6044" w:type="dxa"/>
          </w:tcPr>
          <w:p w14:paraId="78B9A159"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Het informatiebeveiligingsbeleid wordt tenminste jaarlijks beoordeeld of als zich een grote verandering heeft voorgedaan.</w:t>
            </w:r>
          </w:p>
          <w:p w14:paraId="046FC4DA"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2268" w:type="dxa"/>
          </w:tcPr>
          <w:p w14:paraId="4EDF99DD"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731E95BD"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§5.1.2</w:t>
            </w:r>
          </w:p>
        </w:tc>
        <w:tc>
          <w:tcPr>
            <w:tcW w:w="1275" w:type="dxa"/>
          </w:tcPr>
          <w:p w14:paraId="4C0CE5F8" w14:textId="6C768D9B"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3544" w:type="dxa"/>
          </w:tcPr>
          <w:p w14:paraId="69BA847C" w14:textId="7F4E7D1B"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r w:rsidR="00116A33" w14:paraId="625849B4" w14:textId="33797C71" w:rsidTr="00116A33">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3B838C80" w14:textId="77777777"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1.3</w:t>
            </w:r>
          </w:p>
        </w:tc>
        <w:tc>
          <w:tcPr>
            <w:tcW w:w="6044" w:type="dxa"/>
            <w:tcBorders>
              <w:bottom w:val="single" w:sz="4" w:space="0" w:color="666666" w:themeColor="text1" w:themeTint="99"/>
            </w:tcBorders>
          </w:tcPr>
          <w:p w14:paraId="40B1E47D"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De leverancier heeft de verantwoordelijkheden met betrekking tot Informatiebeveiliging gedefinieerd en vastgelegd, en toegepast in de vorm van functiebeschrijvingen.</w:t>
            </w:r>
          </w:p>
        </w:tc>
        <w:tc>
          <w:tcPr>
            <w:tcW w:w="2268" w:type="dxa"/>
            <w:tcBorders>
              <w:bottom w:val="single" w:sz="4" w:space="0" w:color="666666" w:themeColor="text1" w:themeTint="99"/>
            </w:tcBorders>
          </w:tcPr>
          <w:p w14:paraId="03976F06"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638AE3F6"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§6.1.1</w:t>
            </w:r>
          </w:p>
        </w:tc>
        <w:tc>
          <w:tcPr>
            <w:tcW w:w="1275" w:type="dxa"/>
            <w:tcBorders>
              <w:bottom w:val="single" w:sz="4" w:space="0" w:color="666666" w:themeColor="text1" w:themeTint="99"/>
            </w:tcBorders>
          </w:tcPr>
          <w:p w14:paraId="02685F2F" w14:textId="1B235B3D"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3544" w:type="dxa"/>
            <w:tcBorders>
              <w:bottom w:val="single" w:sz="4" w:space="0" w:color="666666" w:themeColor="text1" w:themeTint="99"/>
            </w:tcBorders>
          </w:tcPr>
          <w:p w14:paraId="56A7BB0A" w14:textId="01227085"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116A33" w:rsidRPr="002F3293" w14:paraId="7215850C" w14:textId="7BBF4D1D"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shd w:val="clear" w:color="auto" w:fill="7F7F7F" w:themeFill="text1" w:themeFillTint="80"/>
          </w:tcPr>
          <w:p w14:paraId="70106976" w14:textId="77777777" w:rsidR="00116A33" w:rsidRPr="008B38FE" w:rsidRDefault="00116A33" w:rsidP="008A14E6">
            <w:pPr>
              <w:spacing w:after="0"/>
              <w:rPr>
                <w:rFonts w:asciiTheme="minorHAnsi" w:hAnsiTheme="minorHAnsi" w:cs="Arial"/>
                <w:color w:val="FFFFFF" w:themeColor="background1"/>
                <w:sz w:val="18"/>
                <w:szCs w:val="18"/>
              </w:rPr>
            </w:pPr>
          </w:p>
        </w:tc>
        <w:tc>
          <w:tcPr>
            <w:tcW w:w="8312" w:type="dxa"/>
            <w:gridSpan w:val="2"/>
            <w:shd w:val="clear" w:color="auto" w:fill="7F7F7F" w:themeFill="text1" w:themeFillTint="80"/>
          </w:tcPr>
          <w:p w14:paraId="40AAC35C"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r w:rsidRPr="008B38FE">
              <w:rPr>
                <w:rFonts w:asciiTheme="minorHAnsi" w:hAnsiTheme="minorHAnsi" w:cs="Arial"/>
                <w:b/>
                <w:color w:val="FFFFFF" w:themeColor="background1"/>
                <w:sz w:val="18"/>
                <w:szCs w:val="18"/>
              </w:rPr>
              <w:t>Risicoanalyse</w:t>
            </w:r>
          </w:p>
        </w:tc>
        <w:tc>
          <w:tcPr>
            <w:tcW w:w="1275" w:type="dxa"/>
            <w:shd w:val="clear" w:color="auto" w:fill="7F7F7F" w:themeFill="text1" w:themeFillTint="80"/>
          </w:tcPr>
          <w:p w14:paraId="348039EA"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p>
        </w:tc>
        <w:tc>
          <w:tcPr>
            <w:tcW w:w="3544" w:type="dxa"/>
            <w:shd w:val="clear" w:color="auto" w:fill="7F7F7F" w:themeFill="text1" w:themeFillTint="80"/>
          </w:tcPr>
          <w:p w14:paraId="74FE539C"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p>
        </w:tc>
      </w:tr>
      <w:tr w:rsidR="00116A33" w14:paraId="7C8BACA3" w14:textId="5BDA6E19" w:rsidTr="00116A33">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3E9E1B64" w14:textId="77777777"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1.4</w:t>
            </w:r>
          </w:p>
        </w:tc>
        <w:tc>
          <w:tcPr>
            <w:tcW w:w="6044" w:type="dxa"/>
            <w:tcBorders>
              <w:bottom w:val="single" w:sz="4" w:space="0" w:color="666666" w:themeColor="text1" w:themeTint="99"/>
            </w:tcBorders>
          </w:tcPr>
          <w:p w14:paraId="528D92E2"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De leverancier voert ten minste iedere 3 jaar een risicoanalyse uit om </w:t>
            </w:r>
            <w:r w:rsidRPr="008B38FE">
              <w:rPr>
                <w:rFonts w:asciiTheme="minorHAnsi" w:hAnsiTheme="minorHAnsi"/>
                <w:color w:val="000000"/>
                <w:sz w:val="18"/>
                <w:szCs w:val="18"/>
              </w:rPr>
              <w:t>de bedreigingen en kwetsbaarheden, de gevolgen daarvan voor de organisatie en de kans op die gevolgen in kaart te brengen. Op basis van de risicoanalyse worden adequate beveiligingsmaatregelen vastgesteld en ingevoerd.</w:t>
            </w:r>
          </w:p>
        </w:tc>
        <w:tc>
          <w:tcPr>
            <w:tcW w:w="2268" w:type="dxa"/>
            <w:tcBorders>
              <w:bottom w:val="single" w:sz="4" w:space="0" w:color="666666" w:themeColor="text1" w:themeTint="99"/>
            </w:tcBorders>
          </w:tcPr>
          <w:p w14:paraId="1C48D3DA"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27001:2014</w:t>
            </w:r>
          </w:p>
          <w:p w14:paraId="30F40D51"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§8.2</w:t>
            </w:r>
          </w:p>
          <w:p w14:paraId="1DAF9BF8"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27005:2011</w:t>
            </w:r>
          </w:p>
          <w:p w14:paraId="74FF2DC4"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§12.1</w:t>
            </w:r>
          </w:p>
        </w:tc>
        <w:tc>
          <w:tcPr>
            <w:tcW w:w="1275" w:type="dxa"/>
            <w:tcBorders>
              <w:bottom w:val="single" w:sz="4" w:space="0" w:color="666666" w:themeColor="text1" w:themeTint="99"/>
            </w:tcBorders>
          </w:tcPr>
          <w:p w14:paraId="7E3645FD" w14:textId="4BBD1D5C"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3544" w:type="dxa"/>
            <w:tcBorders>
              <w:bottom w:val="single" w:sz="4" w:space="0" w:color="666666" w:themeColor="text1" w:themeTint="99"/>
            </w:tcBorders>
          </w:tcPr>
          <w:p w14:paraId="65BE9A9C" w14:textId="21434D99"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116A33" w14:paraId="79E4A992" w14:textId="5C3E313B"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shd w:val="clear" w:color="auto" w:fill="D99594" w:themeFill="accent2" w:themeFillTint="99"/>
          </w:tcPr>
          <w:p w14:paraId="156AF3E9" w14:textId="77777777" w:rsidR="00116A33" w:rsidRPr="008B38FE" w:rsidRDefault="00116A33" w:rsidP="00A42EB2">
            <w:pPr>
              <w:spacing w:after="0" w:line="240" w:lineRule="auto"/>
              <w:rPr>
                <w:rFonts w:asciiTheme="minorHAnsi" w:hAnsiTheme="minorHAnsi" w:cs="Arial"/>
                <w:b w:val="0"/>
                <w:color w:val="000000"/>
                <w:sz w:val="18"/>
                <w:szCs w:val="18"/>
              </w:rPr>
            </w:pPr>
            <w:r w:rsidRPr="008B38FE">
              <w:rPr>
                <w:rFonts w:asciiTheme="minorHAnsi" w:hAnsiTheme="minorHAnsi" w:cs="Arial"/>
                <w:b w:val="0"/>
                <w:color w:val="000000"/>
                <w:sz w:val="18"/>
                <w:szCs w:val="18"/>
              </w:rPr>
              <w:t>1.4</w:t>
            </w:r>
          </w:p>
          <w:p w14:paraId="431BED83" w14:textId="77777777" w:rsidR="00116A33" w:rsidRPr="008B38FE" w:rsidRDefault="00116A33" w:rsidP="00A42EB2">
            <w:pPr>
              <w:spacing w:after="0" w:line="240" w:lineRule="auto"/>
              <w:rPr>
                <w:rFonts w:asciiTheme="minorHAnsi" w:hAnsiTheme="minorHAnsi" w:cs="Arial"/>
                <w:b w:val="0"/>
                <w:color w:val="000000"/>
                <w:sz w:val="18"/>
                <w:szCs w:val="18"/>
              </w:rPr>
            </w:pPr>
            <w:r w:rsidRPr="008B38FE">
              <w:rPr>
                <w:rFonts w:asciiTheme="minorHAnsi" w:hAnsiTheme="minorHAnsi" w:cs="Arial"/>
                <w:b w:val="0"/>
                <w:color w:val="000000"/>
                <w:sz w:val="18"/>
                <w:szCs w:val="18"/>
              </w:rPr>
              <w:t>HOOG</w:t>
            </w:r>
          </w:p>
        </w:tc>
        <w:tc>
          <w:tcPr>
            <w:tcW w:w="6044" w:type="dxa"/>
            <w:shd w:val="clear" w:color="auto" w:fill="D99594" w:themeFill="accent2" w:themeFillTint="99"/>
          </w:tcPr>
          <w:p w14:paraId="21739974" w14:textId="77777777" w:rsidR="00116A33" w:rsidRPr="008B38FE" w:rsidRDefault="00116A33" w:rsidP="00A42EB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De leverancier voert ten minste </w:t>
            </w:r>
            <w:r w:rsidRPr="008B38FE">
              <w:rPr>
                <w:rFonts w:asciiTheme="minorHAnsi" w:hAnsiTheme="minorHAnsi" w:cs="Arial"/>
                <w:b/>
                <w:color w:val="000000"/>
                <w:sz w:val="18"/>
                <w:szCs w:val="18"/>
              </w:rPr>
              <w:t>ieder jaar</w:t>
            </w:r>
            <w:r w:rsidRPr="008B38FE">
              <w:rPr>
                <w:rFonts w:asciiTheme="minorHAnsi" w:hAnsiTheme="minorHAnsi" w:cs="Arial"/>
                <w:color w:val="000000"/>
                <w:sz w:val="18"/>
                <w:szCs w:val="18"/>
              </w:rPr>
              <w:t xml:space="preserve"> een risicoanalyse uit om </w:t>
            </w:r>
            <w:r w:rsidRPr="008B38FE">
              <w:rPr>
                <w:rFonts w:asciiTheme="minorHAnsi" w:hAnsiTheme="minorHAnsi"/>
                <w:color w:val="000000"/>
                <w:sz w:val="18"/>
                <w:szCs w:val="18"/>
              </w:rPr>
              <w:t>de bedreigingen en kwetsbaarheden, de gevolgen daarvan voor de organisatie en de kans op die gevolgen in kaart te brengen. Op basis van de risicoanalyse worden adequate beveiligingsmaatregelen vastgesteld en ingevoerd.</w:t>
            </w:r>
          </w:p>
        </w:tc>
        <w:tc>
          <w:tcPr>
            <w:tcW w:w="2268" w:type="dxa"/>
            <w:shd w:val="clear" w:color="auto" w:fill="D99594" w:themeFill="accent2" w:themeFillTint="99"/>
          </w:tcPr>
          <w:p w14:paraId="6AD2A8F7" w14:textId="77777777" w:rsidR="00116A33" w:rsidRPr="008B38FE" w:rsidRDefault="00116A33" w:rsidP="00A42EB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27001:2014</w:t>
            </w:r>
          </w:p>
          <w:p w14:paraId="2EA903EB" w14:textId="77777777" w:rsidR="00116A33" w:rsidRPr="008B38FE" w:rsidRDefault="00116A33" w:rsidP="00A42EB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§8.2</w:t>
            </w:r>
          </w:p>
          <w:p w14:paraId="25080F56" w14:textId="77777777" w:rsidR="00116A33" w:rsidRPr="008B38FE" w:rsidRDefault="00116A33" w:rsidP="00A42EB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27005:2011</w:t>
            </w:r>
          </w:p>
          <w:p w14:paraId="41411C3A" w14:textId="77777777" w:rsidR="00116A33" w:rsidRPr="008B38FE" w:rsidRDefault="00116A33" w:rsidP="00A42EB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§12.1</w:t>
            </w:r>
          </w:p>
        </w:tc>
        <w:tc>
          <w:tcPr>
            <w:tcW w:w="1275" w:type="dxa"/>
            <w:shd w:val="clear" w:color="auto" w:fill="D99594" w:themeFill="accent2" w:themeFillTint="99"/>
          </w:tcPr>
          <w:p w14:paraId="2F831D2A" w14:textId="311C23FC" w:rsidR="00116A33" w:rsidRPr="008B38FE" w:rsidRDefault="00116A33" w:rsidP="00A42EB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3544" w:type="dxa"/>
            <w:shd w:val="clear" w:color="auto" w:fill="D99594" w:themeFill="accent2" w:themeFillTint="99"/>
          </w:tcPr>
          <w:p w14:paraId="58F3871D" w14:textId="2E04B1AA" w:rsidR="00116A33" w:rsidRPr="008B38FE" w:rsidRDefault="00116A33" w:rsidP="00A42EB2">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r w:rsidR="00116A33" w14:paraId="02BED936" w14:textId="119345D8" w:rsidTr="00116A33">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544A3156" w14:textId="77777777"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1.5</w:t>
            </w:r>
          </w:p>
        </w:tc>
        <w:tc>
          <w:tcPr>
            <w:tcW w:w="6044" w:type="dxa"/>
            <w:tcBorders>
              <w:bottom w:val="single" w:sz="4" w:space="0" w:color="666666" w:themeColor="text1" w:themeTint="99"/>
            </w:tcBorders>
          </w:tcPr>
          <w:p w14:paraId="3D538E47"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De leverancier beschrijft hoe de geïdentificeerde risico’s worden behandeld en onderbouwt waarom eventuele restrisico’s worden geaccepteerd.</w:t>
            </w:r>
          </w:p>
        </w:tc>
        <w:tc>
          <w:tcPr>
            <w:tcW w:w="2268" w:type="dxa"/>
            <w:tcBorders>
              <w:bottom w:val="single" w:sz="4" w:space="0" w:color="666666" w:themeColor="text1" w:themeTint="99"/>
            </w:tcBorders>
          </w:tcPr>
          <w:p w14:paraId="4986120F"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27001:2014</w:t>
            </w:r>
          </w:p>
          <w:p w14:paraId="376FA23D"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§8.3</w:t>
            </w:r>
          </w:p>
          <w:p w14:paraId="50AFE15D"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27005:2011</w:t>
            </w:r>
          </w:p>
          <w:p w14:paraId="06659983"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§9 en §10</w:t>
            </w:r>
          </w:p>
        </w:tc>
        <w:tc>
          <w:tcPr>
            <w:tcW w:w="1275" w:type="dxa"/>
            <w:tcBorders>
              <w:bottom w:val="single" w:sz="4" w:space="0" w:color="666666" w:themeColor="text1" w:themeTint="99"/>
            </w:tcBorders>
          </w:tcPr>
          <w:p w14:paraId="025FE5FB" w14:textId="1F9D3658"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3544" w:type="dxa"/>
            <w:tcBorders>
              <w:bottom w:val="single" w:sz="4" w:space="0" w:color="666666" w:themeColor="text1" w:themeTint="99"/>
            </w:tcBorders>
          </w:tcPr>
          <w:p w14:paraId="59EB2EEF" w14:textId="052085E4"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116A33" w:rsidRPr="007E04A4" w14:paraId="5CB5AF63" w14:textId="2E745AE5"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shd w:val="clear" w:color="auto" w:fill="7F7F7F" w:themeFill="text1" w:themeFillTint="80"/>
          </w:tcPr>
          <w:p w14:paraId="6E9F9CF2" w14:textId="77777777" w:rsidR="00116A33" w:rsidRPr="008B38FE" w:rsidRDefault="00116A33" w:rsidP="008A14E6">
            <w:pPr>
              <w:spacing w:after="0"/>
              <w:rPr>
                <w:rFonts w:asciiTheme="minorHAnsi" w:hAnsiTheme="minorHAnsi" w:cs="Arial"/>
                <w:color w:val="FFFFFF" w:themeColor="background1"/>
                <w:sz w:val="18"/>
                <w:szCs w:val="18"/>
              </w:rPr>
            </w:pPr>
          </w:p>
        </w:tc>
        <w:tc>
          <w:tcPr>
            <w:tcW w:w="8312" w:type="dxa"/>
            <w:gridSpan w:val="2"/>
            <w:shd w:val="clear" w:color="auto" w:fill="7F7F7F" w:themeFill="text1" w:themeFillTint="80"/>
          </w:tcPr>
          <w:p w14:paraId="7C54CFD2"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r w:rsidRPr="008B38FE">
              <w:rPr>
                <w:rFonts w:asciiTheme="minorHAnsi" w:hAnsiTheme="minorHAnsi" w:cs="Arial"/>
                <w:b/>
                <w:color w:val="FFFFFF" w:themeColor="background1"/>
                <w:sz w:val="18"/>
                <w:szCs w:val="18"/>
              </w:rPr>
              <w:t>Bewustzijn en training</w:t>
            </w:r>
          </w:p>
        </w:tc>
        <w:tc>
          <w:tcPr>
            <w:tcW w:w="1275" w:type="dxa"/>
            <w:shd w:val="clear" w:color="auto" w:fill="7F7F7F" w:themeFill="text1" w:themeFillTint="80"/>
          </w:tcPr>
          <w:p w14:paraId="7994B776"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p>
        </w:tc>
        <w:tc>
          <w:tcPr>
            <w:tcW w:w="3544" w:type="dxa"/>
            <w:shd w:val="clear" w:color="auto" w:fill="7F7F7F" w:themeFill="text1" w:themeFillTint="80"/>
          </w:tcPr>
          <w:p w14:paraId="40CFD563"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p>
        </w:tc>
      </w:tr>
      <w:tr w:rsidR="00116A33" w14:paraId="6486AF28" w14:textId="003A1AC6" w:rsidTr="00116A33">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41164BCC" w14:textId="77777777"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1.6</w:t>
            </w:r>
          </w:p>
        </w:tc>
        <w:tc>
          <w:tcPr>
            <w:tcW w:w="6044" w:type="dxa"/>
            <w:tcBorders>
              <w:bottom w:val="single" w:sz="4" w:space="0" w:color="666666" w:themeColor="text1" w:themeTint="99"/>
            </w:tcBorders>
          </w:tcPr>
          <w:p w14:paraId="0F669AFE"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Alle werknemers van de leverancier en, voor zover van toepassing, ingehuurd personeel en externe gebruikers krijgen training bij indiensttreding en vervolgens regelmatig bijscholing over het Informatiebeveiligingsbeleid en de informatiebeveiligingsprocedures.</w:t>
            </w:r>
          </w:p>
        </w:tc>
        <w:tc>
          <w:tcPr>
            <w:tcW w:w="2268" w:type="dxa"/>
            <w:tcBorders>
              <w:bottom w:val="single" w:sz="4" w:space="0" w:color="666666" w:themeColor="text1" w:themeTint="99"/>
            </w:tcBorders>
          </w:tcPr>
          <w:p w14:paraId="6E54B97E"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435D11F5"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§7.2.2</w:t>
            </w:r>
          </w:p>
        </w:tc>
        <w:tc>
          <w:tcPr>
            <w:tcW w:w="1275" w:type="dxa"/>
            <w:tcBorders>
              <w:bottom w:val="single" w:sz="4" w:space="0" w:color="666666" w:themeColor="text1" w:themeTint="99"/>
            </w:tcBorders>
          </w:tcPr>
          <w:p w14:paraId="4BC8F4F9" w14:textId="6D3A7F7E"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3544" w:type="dxa"/>
            <w:tcBorders>
              <w:bottom w:val="single" w:sz="4" w:space="0" w:color="666666" w:themeColor="text1" w:themeTint="99"/>
            </w:tcBorders>
          </w:tcPr>
          <w:p w14:paraId="5021CF4F"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116A33" w14:paraId="7C8FF410" w14:textId="3C1AD814"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shd w:val="clear" w:color="auto" w:fill="D99594" w:themeFill="accent2" w:themeFillTint="99"/>
          </w:tcPr>
          <w:p w14:paraId="1DFA727E" w14:textId="77777777"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1.6</w:t>
            </w:r>
          </w:p>
          <w:p w14:paraId="2C0700E6" w14:textId="77777777"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HOOG</w:t>
            </w:r>
          </w:p>
        </w:tc>
        <w:tc>
          <w:tcPr>
            <w:tcW w:w="6044" w:type="dxa"/>
            <w:tcBorders>
              <w:bottom w:val="single" w:sz="4" w:space="0" w:color="666666" w:themeColor="text1" w:themeTint="99"/>
            </w:tcBorders>
            <w:shd w:val="clear" w:color="auto" w:fill="D99594" w:themeFill="accent2" w:themeFillTint="99"/>
          </w:tcPr>
          <w:p w14:paraId="23BA4914"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Alle werknemers van de leverancier en, voor zover van toepassing, ingehuurd personeel en externe gebruikers krijgen training bij indiensttreding en </w:t>
            </w:r>
            <w:r w:rsidRPr="008B38FE">
              <w:rPr>
                <w:rFonts w:asciiTheme="minorHAnsi" w:hAnsiTheme="minorHAnsi" w:cs="Arial"/>
                <w:color w:val="000000"/>
                <w:sz w:val="18"/>
                <w:szCs w:val="18"/>
              </w:rPr>
              <w:lastRenderedPageBreak/>
              <w:t xml:space="preserve">vervolgens </w:t>
            </w:r>
            <w:r w:rsidRPr="008B38FE">
              <w:rPr>
                <w:rFonts w:asciiTheme="minorHAnsi" w:hAnsiTheme="minorHAnsi" w:cs="Arial"/>
                <w:b/>
                <w:color w:val="000000"/>
                <w:sz w:val="18"/>
                <w:szCs w:val="18"/>
              </w:rPr>
              <w:t>tenminste jaarlijks</w:t>
            </w:r>
            <w:r w:rsidRPr="008B38FE">
              <w:rPr>
                <w:rFonts w:asciiTheme="minorHAnsi" w:hAnsiTheme="minorHAnsi" w:cs="Arial"/>
                <w:color w:val="000000"/>
                <w:sz w:val="18"/>
                <w:szCs w:val="18"/>
              </w:rPr>
              <w:t xml:space="preserve"> bijscholing over het Informatiebeveiligingsbeleid en de informatiebeveiligingsprocedures.</w:t>
            </w:r>
          </w:p>
        </w:tc>
        <w:tc>
          <w:tcPr>
            <w:tcW w:w="2268" w:type="dxa"/>
            <w:tcBorders>
              <w:bottom w:val="single" w:sz="4" w:space="0" w:color="666666" w:themeColor="text1" w:themeTint="99"/>
            </w:tcBorders>
            <w:shd w:val="clear" w:color="auto" w:fill="D99594" w:themeFill="accent2" w:themeFillTint="99"/>
          </w:tcPr>
          <w:p w14:paraId="3C924FB8"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lastRenderedPageBreak/>
              <w:t>ISO 27002:2013</w:t>
            </w:r>
          </w:p>
          <w:p w14:paraId="54091C4F"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§7.2.2</w:t>
            </w:r>
          </w:p>
        </w:tc>
        <w:tc>
          <w:tcPr>
            <w:tcW w:w="1275" w:type="dxa"/>
            <w:tcBorders>
              <w:bottom w:val="single" w:sz="4" w:space="0" w:color="666666" w:themeColor="text1" w:themeTint="99"/>
            </w:tcBorders>
            <w:shd w:val="clear" w:color="auto" w:fill="D99594" w:themeFill="accent2" w:themeFillTint="99"/>
          </w:tcPr>
          <w:p w14:paraId="5A4A8AD2" w14:textId="783A0772"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3544" w:type="dxa"/>
            <w:tcBorders>
              <w:bottom w:val="single" w:sz="4" w:space="0" w:color="666666" w:themeColor="text1" w:themeTint="99"/>
            </w:tcBorders>
            <w:shd w:val="clear" w:color="auto" w:fill="D99594" w:themeFill="accent2" w:themeFillTint="99"/>
          </w:tcPr>
          <w:p w14:paraId="6CE038FA"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r w:rsidR="00116A33" w:rsidRPr="002F3293" w14:paraId="0AE6143C" w14:textId="70F6B41F" w:rsidTr="00116A33">
        <w:tc>
          <w:tcPr>
            <w:cnfStyle w:val="001000000000" w:firstRow="0" w:lastRow="0" w:firstColumn="1" w:lastColumn="0" w:oddVBand="0" w:evenVBand="0" w:oddHBand="0" w:evenHBand="0" w:firstRowFirstColumn="0" w:firstRowLastColumn="0" w:lastRowFirstColumn="0" w:lastRowLastColumn="0"/>
            <w:tcW w:w="732" w:type="dxa"/>
            <w:shd w:val="clear" w:color="auto" w:fill="7F7F7F" w:themeFill="text1" w:themeFillTint="80"/>
          </w:tcPr>
          <w:p w14:paraId="4526A331" w14:textId="77777777" w:rsidR="00116A33" w:rsidRPr="008B38FE" w:rsidRDefault="00116A33" w:rsidP="008A14E6">
            <w:pPr>
              <w:spacing w:after="0"/>
              <w:rPr>
                <w:rFonts w:asciiTheme="minorHAnsi" w:hAnsiTheme="minorHAnsi" w:cs="Arial"/>
                <w:color w:val="000000"/>
                <w:sz w:val="18"/>
                <w:szCs w:val="18"/>
              </w:rPr>
            </w:pPr>
          </w:p>
        </w:tc>
        <w:tc>
          <w:tcPr>
            <w:tcW w:w="6044" w:type="dxa"/>
            <w:shd w:val="clear" w:color="auto" w:fill="7F7F7F" w:themeFill="text1" w:themeFillTint="80"/>
          </w:tcPr>
          <w:p w14:paraId="764F71EE" w14:textId="6CA59D94"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Calibri" w:hAnsi="Calibri"/>
                <w:b/>
                <w:color w:val="000000"/>
                <w:sz w:val="18"/>
                <w:szCs w:val="18"/>
              </w:rPr>
            </w:pPr>
            <w:r w:rsidRPr="008B38FE">
              <w:rPr>
                <w:rFonts w:asciiTheme="minorHAnsi" w:hAnsiTheme="minorHAnsi" w:cs="Arial"/>
                <w:b/>
                <w:color w:val="FFFFFF" w:themeColor="background1"/>
                <w:sz w:val="18"/>
                <w:szCs w:val="18"/>
              </w:rPr>
              <w:t>Incidentenbeheer en datalekken</w:t>
            </w:r>
          </w:p>
        </w:tc>
        <w:tc>
          <w:tcPr>
            <w:tcW w:w="2268" w:type="dxa"/>
            <w:shd w:val="clear" w:color="auto" w:fill="7F7F7F" w:themeFill="text1" w:themeFillTint="80"/>
          </w:tcPr>
          <w:p w14:paraId="60D29D36"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000000"/>
                <w:sz w:val="18"/>
                <w:szCs w:val="18"/>
              </w:rPr>
            </w:pPr>
          </w:p>
        </w:tc>
        <w:tc>
          <w:tcPr>
            <w:tcW w:w="1275" w:type="dxa"/>
            <w:shd w:val="clear" w:color="auto" w:fill="7F7F7F" w:themeFill="text1" w:themeFillTint="80"/>
          </w:tcPr>
          <w:p w14:paraId="70E825D9"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000000"/>
                <w:sz w:val="18"/>
                <w:szCs w:val="18"/>
              </w:rPr>
            </w:pPr>
          </w:p>
        </w:tc>
        <w:tc>
          <w:tcPr>
            <w:tcW w:w="3544" w:type="dxa"/>
            <w:shd w:val="clear" w:color="auto" w:fill="7F7F7F" w:themeFill="text1" w:themeFillTint="80"/>
          </w:tcPr>
          <w:p w14:paraId="4368F948"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000000"/>
                <w:sz w:val="18"/>
                <w:szCs w:val="18"/>
              </w:rPr>
            </w:pPr>
          </w:p>
        </w:tc>
      </w:tr>
      <w:tr w:rsidR="00116A33" w14:paraId="4D73B822" w14:textId="2D3007EA"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27337117" w14:textId="77777777"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1.7</w:t>
            </w:r>
          </w:p>
        </w:tc>
        <w:tc>
          <w:tcPr>
            <w:tcW w:w="6044" w:type="dxa"/>
          </w:tcPr>
          <w:p w14:paraId="7B8646C2" w14:textId="6B0AE1E2"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8B38FE">
              <w:rPr>
                <w:rFonts w:ascii="Calibri" w:hAnsi="Calibri"/>
                <w:color w:val="000000"/>
                <w:sz w:val="18"/>
                <w:szCs w:val="18"/>
              </w:rPr>
              <w:t xml:space="preserve">De leverancier voert incidentenbeheer procesmatig uit. </w:t>
            </w:r>
          </w:p>
          <w:p w14:paraId="695584A6"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rPr>
              <w:t>De activiteiten classificeren, prioriteren, diagnosticeren, communiceren en dossiervorming worden daarbij onderscheiden.</w:t>
            </w:r>
          </w:p>
        </w:tc>
        <w:tc>
          <w:tcPr>
            <w:tcW w:w="2268" w:type="dxa"/>
          </w:tcPr>
          <w:p w14:paraId="10CEBE08"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665CF7B2"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§16.1.1</w:t>
            </w:r>
          </w:p>
          <w:p w14:paraId="179749BF"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27035:2011</w:t>
            </w:r>
          </w:p>
          <w:p w14:paraId="21F4F550"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NIST SP800-61r2</w:t>
            </w:r>
          </w:p>
        </w:tc>
        <w:tc>
          <w:tcPr>
            <w:tcW w:w="1275" w:type="dxa"/>
          </w:tcPr>
          <w:p w14:paraId="5DF4AB28" w14:textId="60A8ADA1"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3544" w:type="dxa"/>
          </w:tcPr>
          <w:p w14:paraId="26AC5DCC" w14:textId="653C9839"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r w:rsidR="00116A33" w14:paraId="1B3B9C55" w14:textId="3D972105" w:rsidTr="00116A33">
        <w:tc>
          <w:tcPr>
            <w:cnfStyle w:val="001000000000" w:firstRow="0" w:lastRow="0" w:firstColumn="1" w:lastColumn="0" w:oddVBand="0" w:evenVBand="0" w:oddHBand="0" w:evenHBand="0" w:firstRowFirstColumn="0" w:firstRowLastColumn="0" w:lastRowFirstColumn="0" w:lastRowLastColumn="0"/>
            <w:tcW w:w="732" w:type="dxa"/>
          </w:tcPr>
          <w:p w14:paraId="6B6BC16C" w14:textId="77777777"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1.8</w:t>
            </w:r>
          </w:p>
        </w:tc>
        <w:tc>
          <w:tcPr>
            <w:tcW w:w="6044" w:type="dxa"/>
          </w:tcPr>
          <w:p w14:paraId="1FE83A9B" w14:textId="1B0F7499"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rPr>
              <w:t>De leverancier heeft functiebeschrijvingen in gebruik waarin de taken met betrekking tot incidentenbeheer zijn opgenomen.</w:t>
            </w:r>
          </w:p>
        </w:tc>
        <w:tc>
          <w:tcPr>
            <w:tcW w:w="2268" w:type="dxa"/>
          </w:tcPr>
          <w:p w14:paraId="2B1D1537"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15C3AEB5"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§16.1.1</w:t>
            </w:r>
          </w:p>
          <w:p w14:paraId="0F12136C"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27035:2011</w:t>
            </w:r>
          </w:p>
          <w:p w14:paraId="437FDC84"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NIST SP800-61r2</w:t>
            </w:r>
          </w:p>
        </w:tc>
        <w:tc>
          <w:tcPr>
            <w:tcW w:w="1275" w:type="dxa"/>
          </w:tcPr>
          <w:p w14:paraId="3C67C623" w14:textId="74F521DD"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3544" w:type="dxa"/>
          </w:tcPr>
          <w:p w14:paraId="69DA8259" w14:textId="4219DB0C"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116A33" w14:paraId="7F695B71" w14:textId="7EC77FBF"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58E91D54" w14:textId="77777777"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1.9</w:t>
            </w:r>
          </w:p>
        </w:tc>
        <w:tc>
          <w:tcPr>
            <w:tcW w:w="6044" w:type="dxa"/>
          </w:tcPr>
          <w:p w14:paraId="0216FF0E"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rPr>
              <w:t>De leverancier hanteert een vaste werkwijze en vast format voor incidentrapportages.</w:t>
            </w:r>
          </w:p>
        </w:tc>
        <w:tc>
          <w:tcPr>
            <w:tcW w:w="2268" w:type="dxa"/>
          </w:tcPr>
          <w:p w14:paraId="47435FE7"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7EC2F403"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§16.1.2</w:t>
            </w:r>
          </w:p>
          <w:p w14:paraId="181818CB"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27035:2011</w:t>
            </w:r>
          </w:p>
          <w:p w14:paraId="6F7BE767"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NIST SP800-61r2</w:t>
            </w:r>
          </w:p>
        </w:tc>
        <w:tc>
          <w:tcPr>
            <w:tcW w:w="1275" w:type="dxa"/>
          </w:tcPr>
          <w:p w14:paraId="64382F67" w14:textId="3FB84120"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3544" w:type="dxa"/>
          </w:tcPr>
          <w:p w14:paraId="467CC669" w14:textId="7B211890"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r w:rsidR="00116A33" w14:paraId="0F47DED2" w14:textId="3BD48615" w:rsidTr="00116A33">
        <w:tc>
          <w:tcPr>
            <w:cnfStyle w:val="001000000000" w:firstRow="0" w:lastRow="0" w:firstColumn="1" w:lastColumn="0" w:oddVBand="0" w:evenVBand="0" w:oddHBand="0" w:evenHBand="0" w:firstRowFirstColumn="0" w:firstRowLastColumn="0" w:lastRowFirstColumn="0" w:lastRowLastColumn="0"/>
            <w:tcW w:w="732" w:type="dxa"/>
          </w:tcPr>
          <w:p w14:paraId="07E5F62A" w14:textId="77777777"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1.10</w:t>
            </w:r>
          </w:p>
        </w:tc>
        <w:tc>
          <w:tcPr>
            <w:tcW w:w="6044" w:type="dxa"/>
          </w:tcPr>
          <w:p w14:paraId="1C216354"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rPr>
              <w:t>De leverancier heeft een incident classificatiekader (al dan niet geautomatiseerd) naar urgentie en impact in gebruik.</w:t>
            </w:r>
          </w:p>
        </w:tc>
        <w:tc>
          <w:tcPr>
            <w:tcW w:w="2268" w:type="dxa"/>
          </w:tcPr>
          <w:p w14:paraId="47EC5E96"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51F58EDC"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§16.1.4</w:t>
            </w:r>
          </w:p>
          <w:p w14:paraId="54767D1D"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27035:2011</w:t>
            </w:r>
          </w:p>
          <w:p w14:paraId="60AAB0A7"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NIST SP800-61r2</w:t>
            </w:r>
          </w:p>
        </w:tc>
        <w:tc>
          <w:tcPr>
            <w:tcW w:w="1275" w:type="dxa"/>
          </w:tcPr>
          <w:p w14:paraId="675E6F78" w14:textId="1EB61502"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3544" w:type="dxa"/>
          </w:tcPr>
          <w:p w14:paraId="6328A899" w14:textId="1AA7495C"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116A33" w14:paraId="7E9F607C" w14:textId="29D8CEAC"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533BE432" w14:textId="77777777" w:rsidR="00116A33" w:rsidRPr="008B38FE" w:rsidRDefault="00116A33" w:rsidP="008A14E6">
            <w:pPr>
              <w:spacing w:after="0"/>
              <w:rPr>
                <w:rFonts w:ascii="Calibri" w:hAnsi="Calibri"/>
                <w:b w:val="0"/>
                <w:color w:val="000000"/>
                <w:sz w:val="18"/>
                <w:szCs w:val="18"/>
              </w:rPr>
            </w:pPr>
            <w:r w:rsidRPr="008B38FE">
              <w:rPr>
                <w:rFonts w:ascii="Calibri" w:hAnsi="Calibri"/>
                <w:b w:val="0"/>
                <w:color w:val="000000"/>
                <w:sz w:val="18"/>
                <w:szCs w:val="18"/>
              </w:rPr>
              <w:t>1.11</w:t>
            </w:r>
          </w:p>
        </w:tc>
        <w:tc>
          <w:tcPr>
            <w:tcW w:w="6044" w:type="dxa"/>
            <w:tcBorders>
              <w:bottom w:val="single" w:sz="4" w:space="0" w:color="666666" w:themeColor="text1" w:themeTint="99"/>
            </w:tcBorders>
          </w:tcPr>
          <w:p w14:paraId="3BAE3E10" w14:textId="41697822" w:rsidR="00116A33" w:rsidRPr="008B38FE" w:rsidRDefault="00116A33" w:rsidP="009876E8">
            <w:pPr>
              <w:spacing w:after="0"/>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8B38FE">
              <w:rPr>
                <w:rFonts w:ascii="Calibri" w:hAnsi="Calibri"/>
                <w:color w:val="000000"/>
                <w:sz w:val="18"/>
                <w:szCs w:val="18"/>
              </w:rPr>
              <w:t>De leverancier heeft een procedure ingericht om de opdrachtgever tijdig en adequaat te informeren over potentiële datalekken waarvan hij kennis krijgt (inclusief die bij sub-bewerkers of hulpleveranciers) en documenteert bij een incident alle stappen die zijn ondernomen in het kader van de meldplicht datalekken.</w:t>
            </w:r>
          </w:p>
        </w:tc>
        <w:tc>
          <w:tcPr>
            <w:tcW w:w="2268" w:type="dxa"/>
            <w:tcBorders>
              <w:bottom w:val="single" w:sz="4" w:space="0" w:color="666666" w:themeColor="text1" w:themeTint="99"/>
            </w:tcBorders>
          </w:tcPr>
          <w:p w14:paraId="268FB4DF"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Wbp, art. 14</w:t>
            </w:r>
          </w:p>
          <w:p w14:paraId="721A864E"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Beleidsregels Meldplicht Datalekken, H2.1 – 2.4 (AP)</w:t>
            </w:r>
          </w:p>
        </w:tc>
        <w:tc>
          <w:tcPr>
            <w:tcW w:w="1275" w:type="dxa"/>
            <w:tcBorders>
              <w:bottom w:val="single" w:sz="4" w:space="0" w:color="666666" w:themeColor="text1" w:themeTint="99"/>
            </w:tcBorders>
          </w:tcPr>
          <w:p w14:paraId="3CCD2790" w14:textId="4A50A540"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3544" w:type="dxa"/>
            <w:tcBorders>
              <w:bottom w:val="single" w:sz="4" w:space="0" w:color="666666" w:themeColor="text1" w:themeTint="99"/>
            </w:tcBorders>
          </w:tcPr>
          <w:p w14:paraId="7D7D7532"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r w:rsidR="00116A33" w:rsidRPr="007E04A4" w14:paraId="4F7B175A" w14:textId="510601C3" w:rsidTr="00116A33">
        <w:tc>
          <w:tcPr>
            <w:cnfStyle w:val="001000000000" w:firstRow="0" w:lastRow="0" w:firstColumn="1" w:lastColumn="0" w:oddVBand="0" w:evenVBand="0" w:oddHBand="0" w:evenHBand="0" w:firstRowFirstColumn="0" w:firstRowLastColumn="0" w:lastRowFirstColumn="0" w:lastRowLastColumn="0"/>
            <w:tcW w:w="732" w:type="dxa"/>
            <w:shd w:val="clear" w:color="auto" w:fill="7F7F7F" w:themeFill="text1" w:themeFillTint="80"/>
          </w:tcPr>
          <w:p w14:paraId="5E6D7B79" w14:textId="77777777" w:rsidR="00116A33" w:rsidRPr="008B38FE" w:rsidRDefault="00116A33" w:rsidP="008A14E6">
            <w:pPr>
              <w:spacing w:after="0"/>
              <w:rPr>
                <w:rFonts w:asciiTheme="minorHAnsi" w:hAnsiTheme="minorHAnsi" w:cs="Arial"/>
                <w:color w:val="FFFFFF" w:themeColor="background1"/>
                <w:sz w:val="18"/>
                <w:szCs w:val="18"/>
              </w:rPr>
            </w:pPr>
          </w:p>
        </w:tc>
        <w:tc>
          <w:tcPr>
            <w:tcW w:w="8312" w:type="dxa"/>
            <w:gridSpan w:val="2"/>
            <w:shd w:val="clear" w:color="auto" w:fill="7F7F7F" w:themeFill="text1" w:themeFillTint="80"/>
          </w:tcPr>
          <w:p w14:paraId="2926C5B2"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FFFFFF" w:themeColor="background1"/>
                <w:sz w:val="18"/>
                <w:szCs w:val="18"/>
              </w:rPr>
            </w:pPr>
            <w:r w:rsidRPr="008B38FE">
              <w:rPr>
                <w:rFonts w:asciiTheme="minorHAnsi" w:hAnsiTheme="minorHAnsi" w:cs="Arial"/>
                <w:b/>
                <w:color w:val="FFFFFF" w:themeColor="background1"/>
                <w:sz w:val="18"/>
                <w:szCs w:val="18"/>
              </w:rPr>
              <w:t>Wijzigingsbeheer</w:t>
            </w:r>
          </w:p>
        </w:tc>
        <w:tc>
          <w:tcPr>
            <w:tcW w:w="1275" w:type="dxa"/>
            <w:shd w:val="clear" w:color="auto" w:fill="7F7F7F" w:themeFill="text1" w:themeFillTint="80"/>
          </w:tcPr>
          <w:p w14:paraId="5EDE3DCE"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FFFFFF" w:themeColor="background1"/>
                <w:sz w:val="18"/>
                <w:szCs w:val="18"/>
              </w:rPr>
            </w:pPr>
          </w:p>
        </w:tc>
        <w:tc>
          <w:tcPr>
            <w:tcW w:w="3544" w:type="dxa"/>
            <w:shd w:val="clear" w:color="auto" w:fill="7F7F7F" w:themeFill="text1" w:themeFillTint="80"/>
          </w:tcPr>
          <w:p w14:paraId="6E7E86C1"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FFFFFF" w:themeColor="background1"/>
                <w:sz w:val="18"/>
                <w:szCs w:val="18"/>
              </w:rPr>
            </w:pPr>
          </w:p>
        </w:tc>
      </w:tr>
      <w:tr w:rsidR="00116A33" w14:paraId="0174EDB2" w14:textId="0704900E"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403BC1CB" w14:textId="6D4057DD"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1.12</w:t>
            </w:r>
          </w:p>
        </w:tc>
        <w:tc>
          <w:tcPr>
            <w:tcW w:w="6044" w:type="dxa"/>
          </w:tcPr>
          <w:p w14:paraId="4F866A61"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De leverancier heeft een proces ingericht voor wijzigingsbeheer, bijvoorbeeld op basis van ITIL3 of ISO 20000-1.</w:t>
            </w:r>
          </w:p>
        </w:tc>
        <w:tc>
          <w:tcPr>
            <w:tcW w:w="2268" w:type="dxa"/>
          </w:tcPr>
          <w:p w14:paraId="72ABD8B6"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ISO 27002:2013</w:t>
            </w:r>
          </w:p>
          <w:p w14:paraId="45A5B747"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§12.1.2</w:t>
            </w:r>
          </w:p>
        </w:tc>
        <w:tc>
          <w:tcPr>
            <w:tcW w:w="1275" w:type="dxa"/>
          </w:tcPr>
          <w:p w14:paraId="0A9D32FD" w14:textId="12E05295"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c>
          <w:tcPr>
            <w:tcW w:w="3544" w:type="dxa"/>
          </w:tcPr>
          <w:p w14:paraId="551718F7"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r>
      <w:tr w:rsidR="00116A33" w14:paraId="37A90FB2" w14:textId="72259830" w:rsidTr="00116A33">
        <w:tc>
          <w:tcPr>
            <w:cnfStyle w:val="001000000000" w:firstRow="0" w:lastRow="0" w:firstColumn="1" w:lastColumn="0" w:oddVBand="0" w:evenVBand="0" w:oddHBand="0" w:evenHBand="0" w:firstRowFirstColumn="0" w:firstRowLastColumn="0" w:lastRowFirstColumn="0" w:lastRowLastColumn="0"/>
            <w:tcW w:w="732" w:type="dxa"/>
          </w:tcPr>
          <w:p w14:paraId="7DCF8367" w14:textId="021F98AA"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1.13</w:t>
            </w:r>
          </w:p>
        </w:tc>
        <w:tc>
          <w:tcPr>
            <w:tcW w:w="6044" w:type="dxa"/>
          </w:tcPr>
          <w:p w14:paraId="1CF0FA09"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 xml:space="preserve">De </w:t>
            </w:r>
            <w:r w:rsidRPr="008B38FE">
              <w:rPr>
                <w:rFonts w:ascii="Calibri" w:hAnsi="Calibri"/>
                <w:color w:val="000000"/>
                <w:sz w:val="18"/>
                <w:szCs w:val="18"/>
                <w:lang w:eastAsia="nl-NL"/>
              </w:rPr>
              <w:t>leverancier test wijzigingen in een test- of acceptatieomgeving alvorens deze in productie te brengen en legt testresultaten vast.</w:t>
            </w:r>
          </w:p>
        </w:tc>
        <w:tc>
          <w:tcPr>
            <w:tcW w:w="2268" w:type="dxa"/>
          </w:tcPr>
          <w:p w14:paraId="63B4F4C6"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ISO 27002:2013</w:t>
            </w:r>
          </w:p>
          <w:p w14:paraId="51A6517F"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§12.1.4, §14.2.6, §14.2.9</w:t>
            </w:r>
          </w:p>
          <w:p w14:paraId="301F310A" w14:textId="7491599D"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PCI DSS v3.2 §6.4.5.3</w:t>
            </w:r>
          </w:p>
        </w:tc>
        <w:tc>
          <w:tcPr>
            <w:tcW w:w="1275" w:type="dxa"/>
          </w:tcPr>
          <w:p w14:paraId="308D795D" w14:textId="42CCD8CC"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tc>
        <w:tc>
          <w:tcPr>
            <w:tcW w:w="3544" w:type="dxa"/>
          </w:tcPr>
          <w:p w14:paraId="274C6F30"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tc>
      </w:tr>
      <w:tr w:rsidR="00116A33" w14:paraId="248A862E" w14:textId="3A5240C1"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6BCBE8F1" w14:textId="07DC69A8"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1.14</w:t>
            </w:r>
          </w:p>
        </w:tc>
        <w:tc>
          <w:tcPr>
            <w:tcW w:w="6044" w:type="dxa"/>
            <w:tcBorders>
              <w:bottom w:val="single" w:sz="4" w:space="0" w:color="666666" w:themeColor="text1" w:themeTint="99"/>
            </w:tcBorders>
          </w:tcPr>
          <w:p w14:paraId="08B4581F"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lang w:eastAsia="nl-NL"/>
              </w:rPr>
              <w:t>De leverancier voert wijzigingen uit in de afgesproken servicevensters en overlegt wijzigingen met grote impact voorafgaand aan realisatie met de opdrachtgever.</w:t>
            </w:r>
          </w:p>
        </w:tc>
        <w:tc>
          <w:tcPr>
            <w:tcW w:w="2268" w:type="dxa"/>
            <w:tcBorders>
              <w:bottom w:val="single" w:sz="4" w:space="0" w:color="666666" w:themeColor="text1" w:themeTint="99"/>
            </w:tcBorders>
          </w:tcPr>
          <w:p w14:paraId="7E815E5A"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PCI DSS v3.2 </w:t>
            </w:r>
          </w:p>
          <w:p w14:paraId="09A54667" w14:textId="59F2C61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§6.4.5, §6.4.5.1, §6.4.5.2</w:t>
            </w:r>
          </w:p>
        </w:tc>
        <w:tc>
          <w:tcPr>
            <w:tcW w:w="1275" w:type="dxa"/>
            <w:tcBorders>
              <w:bottom w:val="single" w:sz="4" w:space="0" w:color="666666" w:themeColor="text1" w:themeTint="99"/>
            </w:tcBorders>
          </w:tcPr>
          <w:p w14:paraId="43AC2DFD" w14:textId="47A5EC91"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3544" w:type="dxa"/>
            <w:tcBorders>
              <w:bottom w:val="single" w:sz="4" w:space="0" w:color="666666" w:themeColor="text1" w:themeTint="99"/>
            </w:tcBorders>
          </w:tcPr>
          <w:p w14:paraId="008B0E6C"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r w:rsidR="00116A33" w14:paraId="4033D48C" w14:textId="71B504B2" w:rsidTr="00116A33">
        <w:tc>
          <w:tcPr>
            <w:cnfStyle w:val="001000000000" w:firstRow="0" w:lastRow="0" w:firstColumn="1" w:lastColumn="0" w:oddVBand="0" w:evenVBand="0" w:oddHBand="0" w:evenHBand="0" w:firstRowFirstColumn="0" w:firstRowLastColumn="0" w:lastRowFirstColumn="0" w:lastRowLastColumn="0"/>
            <w:tcW w:w="732" w:type="dxa"/>
            <w:shd w:val="clear" w:color="auto" w:fill="D99594" w:themeFill="accent2" w:themeFillTint="99"/>
          </w:tcPr>
          <w:p w14:paraId="1723115E" w14:textId="440DA153" w:rsidR="00116A33" w:rsidRPr="008B38FE" w:rsidRDefault="00116A33" w:rsidP="008A14E6">
            <w:pPr>
              <w:spacing w:after="0" w:line="240" w:lineRule="auto"/>
              <w:rPr>
                <w:rFonts w:asciiTheme="minorHAnsi" w:hAnsiTheme="minorHAnsi" w:cs="Arial"/>
                <w:b w:val="0"/>
                <w:color w:val="000000"/>
                <w:sz w:val="18"/>
                <w:szCs w:val="18"/>
              </w:rPr>
            </w:pPr>
            <w:r w:rsidRPr="008B38FE">
              <w:rPr>
                <w:rFonts w:asciiTheme="minorHAnsi" w:hAnsiTheme="minorHAnsi" w:cs="Arial"/>
                <w:b w:val="0"/>
                <w:color w:val="000000"/>
                <w:sz w:val="18"/>
                <w:szCs w:val="18"/>
              </w:rPr>
              <w:lastRenderedPageBreak/>
              <w:t>1.14</w:t>
            </w:r>
          </w:p>
          <w:p w14:paraId="375E1126" w14:textId="77777777" w:rsidR="00116A33" w:rsidRPr="008B38FE" w:rsidRDefault="00116A33" w:rsidP="008A14E6">
            <w:pPr>
              <w:spacing w:after="0" w:line="240" w:lineRule="auto"/>
              <w:rPr>
                <w:rFonts w:asciiTheme="minorHAnsi" w:hAnsiTheme="minorHAnsi" w:cs="Arial"/>
                <w:b w:val="0"/>
                <w:color w:val="000000"/>
                <w:sz w:val="18"/>
                <w:szCs w:val="18"/>
              </w:rPr>
            </w:pPr>
            <w:r w:rsidRPr="008B38FE">
              <w:rPr>
                <w:rFonts w:asciiTheme="minorHAnsi" w:hAnsiTheme="minorHAnsi" w:cs="Arial"/>
                <w:b w:val="0"/>
                <w:color w:val="000000"/>
                <w:sz w:val="18"/>
                <w:szCs w:val="18"/>
              </w:rPr>
              <w:t>HOOG</w:t>
            </w:r>
          </w:p>
        </w:tc>
        <w:tc>
          <w:tcPr>
            <w:tcW w:w="6044" w:type="dxa"/>
            <w:shd w:val="clear" w:color="auto" w:fill="D99594" w:themeFill="accent2" w:themeFillTint="99"/>
          </w:tcPr>
          <w:p w14:paraId="2EC4BC04" w14:textId="0BE4C6CC" w:rsidR="00116A33" w:rsidRPr="008B38FE" w:rsidRDefault="00116A33" w:rsidP="00247D4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De leverancier voert wijzigingen uit in de afgesproken servicevensters en legt wijzigingen met grote impact voorafgaand aan realisatie voor aan de </w:t>
            </w:r>
            <w:r w:rsidRPr="008B38FE">
              <w:rPr>
                <w:rFonts w:asciiTheme="minorHAnsi" w:hAnsiTheme="minorHAnsi" w:cs="Arial"/>
                <w:i/>
                <w:color w:val="000000"/>
                <w:sz w:val="18"/>
                <w:szCs w:val="18"/>
              </w:rPr>
              <w:t>Change Advisory Board.</w:t>
            </w:r>
          </w:p>
        </w:tc>
        <w:tc>
          <w:tcPr>
            <w:tcW w:w="2268" w:type="dxa"/>
            <w:shd w:val="clear" w:color="auto" w:fill="D99594" w:themeFill="accent2" w:themeFillTint="99"/>
          </w:tcPr>
          <w:p w14:paraId="3B33D533" w14:textId="77777777" w:rsidR="00116A33" w:rsidRPr="008B38FE" w:rsidRDefault="00116A33" w:rsidP="0053326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PCI DSS v3.2 </w:t>
            </w:r>
          </w:p>
          <w:p w14:paraId="7E9F4C02" w14:textId="4E86C72A" w:rsidR="00116A33" w:rsidRPr="008B38FE" w:rsidRDefault="00116A33" w:rsidP="00533266">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§6.4.5, §6.4.5.1, §6.4.5.2</w:t>
            </w:r>
          </w:p>
        </w:tc>
        <w:tc>
          <w:tcPr>
            <w:tcW w:w="1275" w:type="dxa"/>
            <w:shd w:val="clear" w:color="auto" w:fill="D99594" w:themeFill="accent2" w:themeFillTint="99"/>
          </w:tcPr>
          <w:p w14:paraId="5A4AA885" w14:textId="43714414" w:rsidR="00116A33" w:rsidRPr="008B38FE" w:rsidRDefault="00116A33" w:rsidP="0053326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3544" w:type="dxa"/>
            <w:shd w:val="clear" w:color="auto" w:fill="D99594" w:themeFill="accent2" w:themeFillTint="99"/>
          </w:tcPr>
          <w:p w14:paraId="48821B19" w14:textId="5C35C8BB" w:rsidR="00116A33" w:rsidRPr="008B38FE" w:rsidRDefault="00E26EF5" w:rsidP="0053326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Pr>
                <w:rFonts w:asciiTheme="minorHAnsi" w:hAnsiTheme="minorHAnsi" w:cs="Arial"/>
                <w:color w:val="000000"/>
                <w:sz w:val="18"/>
                <w:szCs w:val="18"/>
              </w:rPr>
              <w:t>Wijzigingen worden voorgelegd aan SURF.</w:t>
            </w:r>
          </w:p>
        </w:tc>
      </w:tr>
      <w:tr w:rsidR="00116A33" w14:paraId="001FB92C" w14:textId="42566BD1"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714A655B" w14:textId="54F24FAC"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1.15</w:t>
            </w:r>
          </w:p>
        </w:tc>
        <w:tc>
          <w:tcPr>
            <w:tcW w:w="6044" w:type="dxa"/>
            <w:tcBorders>
              <w:bottom w:val="single" w:sz="4" w:space="0" w:color="666666" w:themeColor="text1" w:themeTint="99"/>
            </w:tcBorders>
          </w:tcPr>
          <w:p w14:paraId="4E1F3B4F"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De l</w:t>
            </w:r>
            <w:r w:rsidRPr="008B38FE">
              <w:rPr>
                <w:rFonts w:ascii="Calibri" w:hAnsi="Calibri"/>
                <w:color w:val="000000"/>
                <w:sz w:val="18"/>
                <w:szCs w:val="18"/>
                <w:lang w:eastAsia="nl-NL"/>
              </w:rPr>
              <w:t>everancier documenteert de situatie na een wijziging in de configuratiedatabase.</w:t>
            </w:r>
          </w:p>
        </w:tc>
        <w:tc>
          <w:tcPr>
            <w:tcW w:w="2268" w:type="dxa"/>
            <w:tcBorders>
              <w:bottom w:val="single" w:sz="4" w:space="0" w:color="666666" w:themeColor="text1" w:themeTint="99"/>
            </w:tcBorders>
          </w:tcPr>
          <w:p w14:paraId="1F332B3B"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ISO 27002:2013</w:t>
            </w:r>
          </w:p>
          <w:p w14:paraId="090E2EA2"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§12.4.1</w:t>
            </w:r>
          </w:p>
        </w:tc>
        <w:tc>
          <w:tcPr>
            <w:tcW w:w="1275" w:type="dxa"/>
            <w:tcBorders>
              <w:bottom w:val="single" w:sz="4" w:space="0" w:color="666666" w:themeColor="text1" w:themeTint="99"/>
            </w:tcBorders>
          </w:tcPr>
          <w:p w14:paraId="3205F587" w14:textId="6B4D7F1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c>
          <w:tcPr>
            <w:tcW w:w="3544" w:type="dxa"/>
            <w:tcBorders>
              <w:bottom w:val="single" w:sz="4" w:space="0" w:color="666666" w:themeColor="text1" w:themeTint="99"/>
            </w:tcBorders>
          </w:tcPr>
          <w:p w14:paraId="087313AF"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r>
      <w:tr w:rsidR="00116A33" w:rsidRPr="007E04A4" w14:paraId="62F6538D" w14:textId="41C6E37C" w:rsidTr="00116A33">
        <w:tc>
          <w:tcPr>
            <w:cnfStyle w:val="001000000000" w:firstRow="0" w:lastRow="0" w:firstColumn="1" w:lastColumn="0" w:oddVBand="0" w:evenVBand="0" w:oddHBand="0" w:evenHBand="0" w:firstRowFirstColumn="0" w:firstRowLastColumn="0" w:lastRowFirstColumn="0" w:lastRowLastColumn="0"/>
            <w:tcW w:w="732" w:type="dxa"/>
            <w:shd w:val="clear" w:color="auto" w:fill="7F7F7F" w:themeFill="text1" w:themeFillTint="80"/>
          </w:tcPr>
          <w:p w14:paraId="5C0F88ED" w14:textId="77777777" w:rsidR="00116A33" w:rsidRPr="008B38FE" w:rsidRDefault="00116A33" w:rsidP="008A14E6">
            <w:pPr>
              <w:spacing w:after="0"/>
              <w:rPr>
                <w:rFonts w:asciiTheme="minorHAnsi" w:hAnsiTheme="minorHAnsi" w:cs="Arial"/>
                <w:color w:val="FFFFFF" w:themeColor="background1"/>
                <w:sz w:val="18"/>
                <w:szCs w:val="18"/>
              </w:rPr>
            </w:pPr>
          </w:p>
        </w:tc>
        <w:tc>
          <w:tcPr>
            <w:tcW w:w="8312" w:type="dxa"/>
            <w:gridSpan w:val="2"/>
            <w:shd w:val="clear" w:color="auto" w:fill="7F7F7F" w:themeFill="text1" w:themeFillTint="80"/>
          </w:tcPr>
          <w:p w14:paraId="5B04D1ED"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FFFFFF" w:themeColor="background1"/>
                <w:sz w:val="18"/>
                <w:szCs w:val="18"/>
              </w:rPr>
            </w:pPr>
            <w:r w:rsidRPr="008B38FE">
              <w:rPr>
                <w:rFonts w:asciiTheme="minorHAnsi" w:hAnsiTheme="minorHAnsi" w:cs="Arial"/>
                <w:b/>
                <w:color w:val="FFFFFF" w:themeColor="background1"/>
                <w:sz w:val="18"/>
                <w:szCs w:val="18"/>
              </w:rPr>
              <w:t>Continuïteitsbeheer</w:t>
            </w:r>
          </w:p>
        </w:tc>
        <w:tc>
          <w:tcPr>
            <w:tcW w:w="1275" w:type="dxa"/>
            <w:shd w:val="clear" w:color="auto" w:fill="7F7F7F" w:themeFill="text1" w:themeFillTint="80"/>
          </w:tcPr>
          <w:p w14:paraId="5412EF4B"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FFFFFF" w:themeColor="background1"/>
                <w:sz w:val="18"/>
                <w:szCs w:val="18"/>
              </w:rPr>
            </w:pPr>
          </w:p>
        </w:tc>
        <w:tc>
          <w:tcPr>
            <w:tcW w:w="3544" w:type="dxa"/>
            <w:shd w:val="clear" w:color="auto" w:fill="7F7F7F" w:themeFill="text1" w:themeFillTint="80"/>
          </w:tcPr>
          <w:p w14:paraId="0611EDC2"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FFFFFF" w:themeColor="background1"/>
                <w:sz w:val="18"/>
                <w:szCs w:val="18"/>
              </w:rPr>
            </w:pPr>
          </w:p>
        </w:tc>
      </w:tr>
      <w:tr w:rsidR="00116A33" w14:paraId="3F77AEEF" w14:textId="78DAD98E"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1EF03BFD" w14:textId="3D6C96B7" w:rsidR="00116A33" w:rsidRPr="008B38FE" w:rsidRDefault="00116A33" w:rsidP="00247D45">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1.16</w:t>
            </w:r>
          </w:p>
        </w:tc>
        <w:tc>
          <w:tcPr>
            <w:tcW w:w="6044" w:type="dxa"/>
          </w:tcPr>
          <w:p w14:paraId="013A24BE"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De leverancier heeft preventieve en correctieve maatregelen ten behoeve van de realisatie van de beschikbaarheidseisen aantoonbaar getroffen.</w:t>
            </w:r>
          </w:p>
        </w:tc>
        <w:tc>
          <w:tcPr>
            <w:tcW w:w="2268" w:type="dxa"/>
          </w:tcPr>
          <w:p w14:paraId="2EA0399B"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ISO 27002:2013</w:t>
            </w:r>
          </w:p>
          <w:p w14:paraId="53CECC12"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§17.1 en §17.2</w:t>
            </w:r>
          </w:p>
        </w:tc>
        <w:tc>
          <w:tcPr>
            <w:tcW w:w="1275" w:type="dxa"/>
          </w:tcPr>
          <w:p w14:paraId="567F4929" w14:textId="17118EAB"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c>
          <w:tcPr>
            <w:tcW w:w="3544" w:type="dxa"/>
          </w:tcPr>
          <w:p w14:paraId="7ED9119F"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r>
      <w:tr w:rsidR="00116A33" w14:paraId="4242C6D8" w14:textId="6885F679" w:rsidTr="00116A33">
        <w:tc>
          <w:tcPr>
            <w:cnfStyle w:val="001000000000" w:firstRow="0" w:lastRow="0" w:firstColumn="1" w:lastColumn="0" w:oddVBand="0" w:evenVBand="0" w:oddHBand="0" w:evenHBand="0" w:firstRowFirstColumn="0" w:firstRowLastColumn="0" w:lastRowFirstColumn="0" w:lastRowLastColumn="0"/>
            <w:tcW w:w="732" w:type="dxa"/>
          </w:tcPr>
          <w:p w14:paraId="6D7EE7A1" w14:textId="3A140258"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1.17</w:t>
            </w:r>
          </w:p>
        </w:tc>
        <w:tc>
          <w:tcPr>
            <w:tcW w:w="6044" w:type="dxa"/>
          </w:tcPr>
          <w:p w14:paraId="3888FF67"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lang w:eastAsia="nl-NL"/>
              </w:rPr>
              <w:t>De leverancier is bekend met de single points of failure in de infrastructuur en heeft maatregelen getroffen om storingen binnen de afgesproken termijn te kunnen verhelpen.</w:t>
            </w:r>
          </w:p>
        </w:tc>
        <w:tc>
          <w:tcPr>
            <w:tcW w:w="2268" w:type="dxa"/>
          </w:tcPr>
          <w:p w14:paraId="7ABAEC41"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ISO 27002:2013</w:t>
            </w:r>
          </w:p>
          <w:p w14:paraId="700671A5"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§17.1 en §17.2</w:t>
            </w:r>
          </w:p>
        </w:tc>
        <w:tc>
          <w:tcPr>
            <w:tcW w:w="1275" w:type="dxa"/>
          </w:tcPr>
          <w:p w14:paraId="1E4D8150" w14:textId="179AEC99"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tc>
        <w:tc>
          <w:tcPr>
            <w:tcW w:w="3544" w:type="dxa"/>
          </w:tcPr>
          <w:p w14:paraId="764D6794"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tc>
      </w:tr>
      <w:tr w:rsidR="00116A33" w14:paraId="649B4A00" w14:textId="128BA0FD"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16D328B5" w14:textId="4DD02FF8"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1.18</w:t>
            </w:r>
          </w:p>
        </w:tc>
        <w:tc>
          <w:tcPr>
            <w:tcW w:w="6044" w:type="dxa"/>
            <w:tcBorders>
              <w:bottom w:val="single" w:sz="4" w:space="0" w:color="666666" w:themeColor="text1" w:themeTint="99"/>
            </w:tcBorders>
          </w:tcPr>
          <w:p w14:paraId="3DCD723C"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De l</w:t>
            </w:r>
            <w:r w:rsidRPr="008B38FE">
              <w:rPr>
                <w:rFonts w:ascii="Calibri" w:hAnsi="Calibri"/>
                <w:color w:val="000000"/>
                <w:sz w:val="18"/>
                <w:szCs w:val="18"/>
                <w:lang w:eastAsia="nl-NL"/>
              </w:rPr>
              <w:t>everancier bewaakt de beschikbaarheid en capaciteit van applicaties en systemen continu.</w:t>
            </w:r>
          </w:p>
        </w:tc>
        <w:tc>
          <w:tcPr>
            <w:tcW w:w="2268" w:type="dxa"/>
            <w:tcBorders>
              <w:bottom w:val="single" w:sz="4" w:space="0" w:color="666666" w:themeColor="text1" w:themeTint="99"/>
            </w:tcBorders>
          </w:tcPr>
          <w:p w14:paraId="0DA43068"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ISO 27002:2013</w:t>
            </w:r>
          </w:p>
          <w:p w14:paraId="6EE1B9A1"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§12.1.2 en §12.1.3</w:t>
            </w:r>
          </w:p>
        </w:tc>
        <w:tc>
          <w:tcPr>
            <w:tcW w:w="1275" w:type="dxa"/>
            <w:tcBorders>
              <w:bottom w:val="single" w:sz="4" w:space="0" w:color="666666" w:themeColor="text1" w:themeTint="99"/>
            </w:tcBorders>
          </w:tcPr>
          <w:p w14:paraId="63220CD5" w14:textId="2D735F15"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c>
          <w:tcPr>
            <w:tcW w:w="3544" w:type="dxa"/>
            <w:tcBorders>
              <w:bottom w:val="single" w:sz="4" w:space="0" w:color="666666" w:themeColor="text1" w:themeTint="99"/>
            </w:tcBorders>
          </w:tcPr>
          <w:p w14:paraId="11ABC615"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r>
      <w:tr w:rsidR="00116A33" w14:paraId="0AB909A1" w14:textId="05DAC1A4" w:rsidTr="00116A33">
        <w:tc>
          <w:tcPr>
            <w:cnfStyle w:val="001000000000" w:firstRow="0" w:lastRow="0" w:firstColumn="1" w:lastColumn="0" w:oddVBand="0" w:evenVBand="0" w:oddHBand="0" w:evenHBand="0" w:firstRowFirstColumn="0" w:firstRowLastColumn="0" w:lastRowFirstColumn="0" w:lastRowLastColumn="0"/>
            <w:tcW w:w="732" w:type="dxa"/>
            <w:shd w:val="clear" w:color="auto" w:fill="D99594" w:themeFill="accent2" w:themeFillTint="99"/>
          </w:tcPr>
          <w:p w14:paraId="0597B02C" w14:textId="2C925040" w:rsidR="00116A33" w:rsidRPr="008B38FE" w:rsidRDefault="00116A33" w:rsidP="008A14E6">
            <w:pPr>
              <w:spacing w:after="0" w:line="240" w:lineRule="auto"/>
              <w:rPr>
                <w:rFonts w:asciiTheme="minorHAnsi" w:hAnsiTheme="minorHAnsi" w:cs="Arial"/>
                <w:b w:val="0"/>
                <w:color w:val="000000"/>
                <w:sz w:val="18"/>
                <w:szCs w:val="18"/>
              </w:rPr>
            </w:pPr>
            <w:r w:rsidRPr="008B38FE">
              <w:rPr>
                <w:rFonts w:asciiTheme="minorHAnsi" w:hAnsiTheme="minorHAnsi" w:cs="Arial"/>
                <w:b w:val="0"/>
                <w:color w:val="000000"/>
                <w:sz w:val="18"/>
                <w:szCs w:val="18"/>
              </w:rPr>
              <w:t>1.18</w:t>
            </w:r>
          </w:p>
          <w:p w14:paraId="274E3744" w14:textId="77777777" w:rsidR="00116A33" w:rsidRPr="008B38FE" w:rsidRDefault="00116A33" w:rsidP="008A14E6">
            <w:pPr>
              <w:spacing w:after="0" w:line="240" w:lineRule="auto"/>
              <w:rPr>
                <w:rFonts w:asciiTheme="minorHAnsi" w:hAnsiTheme="minorHAnsi" w:cs="Arial"/>
                <w:b w:val="0"/>
                <w:color w:val="000000"/>
                <w:sz w:val="18"/>
                <w:szCs w:val="18"/>
              </w:rPr>
            </w:pPr>
            <w:r w:rsidRPr="008B38FE">
              <w:rPr>
                <w:rFonts w:asciiTheme="minorHAnsi" w:hAnsiTheme="minorHAnsi" w:cs="Arial"/>
                <w:b w:val="0"/>
                <w:color w:val="000000"/>
                <w:sz w:val="18"/>
                <w:szCs w:val="18"/>
              </w:rPr>
              <w:t>HOOG</w:t>
            </w:r>
          </w:p>
        </w:tc>
        <w:tc>
          <w:tcPr>
            <w:tcW w:w="6044" w:type="dxa"/>
            <w:shd w:val="clear" w:color="auto" w:fill="D99594" w:themeFill="accent2" w:themeFillTint="99"/>
          </w:tcPr>
          <w:p w14:paraId="7EAAF6C7" w14:textId="1C4DD254" w:rsidR="00116A33" w:rsidRPr="008B38FE" w:rsidRDefault="00116A33" w:rsidP="002D321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De l</w:t>
            </w:r>
            <w:r w:rsidRPr="008B38FE">
              <w:rPr>
                <w:rFonts w:ascii="Calibri" w:hAnsi="Calibri"/>
                <w:color w:val="000000"/>
                <w:sz w:val="18"/>
                <w:szCs w:val="18"/>
                <w:lang w:eastAsia="nl-NL"/>
              </w:rPr>
              <w:t>everancier bewaakt de beschikbaarheid en capaciteit van applicaties en systemen continu. Overschrijdingen van drempelwaarden worden tijdig gesignaleerd en gerapporteerd aan de opdrachtgever.</w:t>
            </w:r>
          </w:p>
        </w:tc>
        <w:tc>
          <w:tcPr>
            <w:tcW w:w="2268" w:type="dxa"/>
            <w:shd w:val="clear" w:color="auto" w:fill="D99594" w:themeFill="accent2" w:themeFillTint="99"/>
          </w:tcPr>
          <w:p w14:paraId="0A575BB7"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ISO 27002:2013</w:t>
            </w:r>
          </w:p>
          <w:p w14:paraId="7FCA30A4" w14:textId="5466370C" w:rsidR="00116A33" w:rsidRPr="008B38FE" w:rsidRDefault="00116A33" w:rsidP="008A14E6">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§12.1.2 en §12.1.3</w:t>
            </w:r>
          </w:p>
        </w:tc>
        <w:tc>
          <w:tcPr>
            <w:tcW w:w="1275" w:type="dxa"/>
            <w:shd w:val="clear" w:color="auto" w:fill="D99594" w:themeFill="accent2" w:themeFillTint="99"/>
          </w:tcPr>
          <w:p w14:paraId="0EDA543D" w14:textId="3E1376A1"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tc>
        <w:tc>
          <w:tcPr>
            <w:tcW w:w="3544" w:type="dxa"/>
            <w:shd w:val="clear" w:color="auto" w:fill="D99594" w:themeFill="accent2" w:themeFillTint="99"/>
          </w:tcPr>
          <w:p w14:paraId="344351EC"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tc>
      </w:tr>
      <w:tr w:rsidR="00116A33" w14:paraId="2BB657D6" w14:textId="15AA9E0F"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3472CD39" w14:textId="4848D141"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1.19</w:t>
            </w:r>
          </w:p>
        </w:tc>
        <w:tc>
          <w:tcPr>
            <w:tcW w:w="6044" w:type="dxa"/>
          </w:tcPr>
          <w:p w14:paraId="3337DAC6"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lang w:eastAsia="nl-NL"/>
              </w:rPr>
              <w:t>De leverancier maakt back-ups conform beschikbaarheidseisen.</w:t>
            </w:r>
          </w:p>
        </w:tc>
        <w:tc>
          <w:tcPr>
            <w:tcW w:w="2268" w:type="dxa"/>
          </w:tcPr>
          <w:p w14:paraId="00D0BA52"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ISO 27002:2013</w:t>
            </w:r>
          </w:p>
          <w:p w14:paraId="62888DD7"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§12.3</w:t>
            </w:r>
          </w:p>
        </w:tc>
        <w:tc>
          <w:tcPr>
            <w:tcW w:w="1275" w:type="dxa"/>
          </w:tcPr>
          <w:p w14:paraId="37DB31F4" w14:textId="0BBADBB4"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c>
          <w:tcPr>
            <w:tcW w:w="3544" w:type="dxa"/>
          </w:tcPr>
          <w:p w14:paraId="4D7E5853"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r>
      <w:tr w:rsidR="00116A33" w14:paraId="317D9A48" w14:textId="030F4ECF" w:rsidTr="00116A33">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0D546CCF" w14:textId="5A5203B5"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1.20</w:t>
            </w:r>
          </w:p>
        </w:tc>
        <w:tc>
          <w:tcPr>
            <w:tcW w:w="6044" w:type="dxa"/>
            <w:tcBorders>
              <w:bottom w:val="single" w:sz="4" w:space="0" w:color="666666" w:themeColor="text1" w:themeTint="99"/>
            </w:tcBorders>
          </w:tcPr>
          <w:p w14:paraId="7ADF0049" w14:textId="5B9B4C4A" w:rsidR="00116A33" w:rsidRPr="008B38FE" w:rsidRDefault="00116A33" w:rsidP="002D321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lang w:eastAsia="nl-NL"/>
              </w:rPr>
              <w:t>De leverancier bewaart back-ups beveiligd off-site. Een afstand van ten minste vijf kilometer tussen primaire opslag en backup locatie is daarbij vereist.</w:t>
            </w:r>
          </w:p>
        </w:tc>
        <w:tc>
          <w:tcPr>
            <w:tcW w:w="2268" w:type="dxa"/>
            <w:tcBorders>
              <w:bottom w:val="single" w:sz="4" w:space="0" w:color="666666" w:themeColor="text1" w:themeTint="99"/>
            </w:tcBorders>
          </w:tcPr>
          <w:p w14:paraId="581AEE79"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ISO 27002:2013</w:t>
            </w:r>
          </w:p>
          <w:p w14:paraId="1C3B7ED6"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§12.3</w:t>
            </w:r>
          </w:p>
        </w:tc>
        <w:tc>
          <w:tcPr>
            <w:tcW w:w="1275" w:type="dxa"/>
            <w:tcBorders>
              <w:bottom w:val="single" w:sz="4" w:space="0" w:color="666666" w:themeColor="text1" w:themeTint="99"/>
            </w:tcBorders>
          </w:tcPr>
          <w:p w14:paraId="0DD90996" w14:textId="1A8B3A5F"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tc>
        <w:tc>
          <w:tcPr>
            <w:tcW w:w="3544" w:type="dxa"/>
            <w:tcBorders>
              <w:bottom w:val="single" w:sz="4" w:space="0" w:color="666666" w:themeColor="text1" w:themeTint="99"/>
            </w:tcBorders>
          </w:tcPr>
          <w:p w14:paraId="7D4F08D4" w14:textId="4F8128B8" w:rsidR="00116A33" w:rsidRPr="008B38FE" w:rsidRDefault="00E26EF5"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Pr>
                <w:rFonts w:asciiTheme="minorHAnsi" w:hAnsiTheme="minorHAnsi" w:cs="Arial"/>
                <w:color w:val="000000"/>
                <w:sz w:val="18"/>
                <w:szCs w:val="18"/>
                <w:lang w:eastAsia="nl-NL"/>
              </w:rPr>
              <w:t xml:space="preserve">@@Als we de off-site backup naar SURF (bv Amsterdam dc) doen dan is dit geregeld. </w:t>
            </w:r>
          </w:p>
        </w:tc>
      </w:tr>
      <w:tr w:rsidR="00116A33" w14:paraId="2A6BAA70" w14:textId="5C129E9C"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shd w:val="clear" w:color="auto" w:fill="D99594" w:themeFill="accent2" w:themeFillTint="99"/>
          </w:tcPr>
          <w:p w14:paraId="5D1D75E6" w14:textId="5507A98A" w:rsidR="00116A33" w:rsidRPr="008B38FE" w:rsidRDefault="00116A33" w:rsidP="008A14E6">
            <w:pPr>
              <w:spacing w:after="0" w:line="240" w:lineRule="auto"/>
              <w:rPr>
                <w:rFonts w:asciiTheme="minorHAnsi" w:hAnsiTheme="minorHAnsi" w:cs="Arial"/>
                <w:b w:val="0"/>
                <w:color w:val="000000"/>
                <w:sz w:val="18"/>
                <w:szCs w:val="18"/>
              </w:rPr>
            </w:pPr>
            <w:r w:rsidRPr="008B38FE">
              <w:rPr>
                <w:rFonts w:asciiTheme="minorHAnsi" w:hAnsiTheme="minorHAnsi" w:cs="Arial"/>
                <w:b w:val="0"/>
                <w:color w:val="000000"/>
                <w:sz w:val="18"/>
                <w:szCs w:val="18"/>
              </w:rPr>
              <w:t>1.21</w:t>
            </w:r>
          </w:p>
          <w:p w14:paraId="4E40DB62" w14:textId="77777777" w:rsidR="00116A33" w:rsidRPr="008B38FE" w:rsidRDefault="00116A33" w:rsidP="008A14E6">
            <w:pPr>
              <w:spacing w:after="0" w:line="240" w:lineRule="auto"/>
              <w:rPr>
                <w:rFonts w:asciiTheme="minorHAnsi" w:hAnsiTheme="minorHAnsi" w:cs="Arial"/>
                <w:b w:val="0"/>
                <w:color w:val="000000"/>
                <w:sz w:val="18"/>
                <w:szCs w:val="18"/>
              </w:rPr>
            </w:pPr>
            <w:r w:rsidRPr="008B38FE">
              <w:rPr>
                <w:rFonts w:asciiTheme="minorHAnsi" w:hAnsiTheme="minorHAnsi" w:cs="Arial"/>
                <w:b w:val="0"/>
                <w:color w:val="000000"/>
                <w:sz w:val="18"/>
                <w:szCs w:val="18"/>
              </w:rPr>
              <w:t>HOOG</w:t>
            </w:r>
          </w:p>
        </w:tc>
        <w:tc>
          <w:tcPr>
            <w:tcW w:w="6044" w:type="dxa"/>
            <w:tcBorders>
              <w:bottom w:val="single" w:sz="4" w:space="0" w:color="666666" w:themeColor="text1" w:themeTint="99"/>
            </w:tcBorders>
            <w:shd w:val="clear" w:color="auto" w:fill="D99594" w:themeFill="accent2" w:themeFillTint="99"/>
          </w:tcPr>
          <w:p w14:paraId="292D2ED9" w14:textId="3B381F55" w:rsidR="00116A33" w:rsidRPr="008B38FE" w:rsidRDefault="00116A33" w:rsidP="00477AB8">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De leverancier heeft voor de geleverde diensten continuïteitsplannen beschikbaar, actualiseert ze regelmatig en test op regelmatige basis. Opdrachtgever wordt op de hoogte gesteld wanneer de testen zijn gepland, indien er impact op de geleverde dienst kan zijn. Indien tekortkomingen worden geconstateerd, dient er een verbeterplan of nieuw plan met duidelijk omschreven acties te worden opgesteld.</w:t>
            </w:r>
          </w:p>
        </w:tc>
        <w:tc>
          <w:tcPr>
            <w:tcW w:w="2268" w:type="dxa"/>
            <w:tcBorders>
              <w:bottom w:val="single" w:sz="4" w:space="0" w:color="666666" w:themeColor="text1" w:themeTint="99"/>
            </w:tcBorders>
            <w:shd w:val="clear" w:color="auto" w:fill="D99594" w:themeFill="accent2" w:themeFillTint="99"/>
          </w:tcPr>
          <w:p w14:paraId="32D4D7E8" w14:textId="71192ACD" w:rsidR="00116A33" w:rsidRPr="008B38FE" w:rsidRDefault="00116A33" w:rsidP="008A14E6">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1275" w:type="dxa"/>
            <w:tcBorders>
              <w:bottom w:val="single" w:sz="4" w:space="0" w:color="666666" w:themeColor="text1" w:themeTint="99"/>
            </w:tcBorders>
            <w:shd w:val="clear" w:color="auto" w:fill="D99594" w:themeFill="accent2" w:themeFillTint="99"/>
          </w:tcPr>
          <w:p w14:paraId="0094F2B4" w14:textId="6A4B07E8" w:rsidR="00116A33" w:rsidRPr="008B38FE" w:rsidRDefault="00116A33" w:rsidP="008A14E6">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3544" w:type="dxa"/>
            <w:tcBorders>
              <w:bottom w:val="single" w:sz="4" w:space="0" w:color="666666" w:themeColor="text1" w:themeTint="99"/>
            </w:tcBorders>
            <w:shd w:val="clear" w:color="auto" w:fill="D99594" w:themeFill="accent2" w:themeFillTint="99"/>
          </w:tcPr>
          <w:p w14:paraId="515B9F50" w14:textId="77777777" w:rsidR="00116A33" w:rsidRPr="008B38FE" w:rsidRDefault="00116A33" w:rsidP="008A14E6">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r w:rsidR="00116A33" w:rsidRPr="007E04A4" w14:paraId="0E6C7BEF" w14:textId="42FB9555" w:rsidTr="00116A33">
        <w:tc>
          <w:tcPr>
            <w:cnfStyle w:val="001000000000" w:firstRow="0" w:lastRow="0" w:firstColumn="1" w:lastColumn="0" w:oddVBand="0" w:evenVBand="0" w:oddHBand="0" w:evenHBand="0" w:firstRowFirstColumn="0" w:firstRowLastColumn="0" w:lastRowFirstColumn="0" w:lastRowLastColumn="0"/>
            <w:tcW w:w="732" w:type="dxa"/>
            <w:shd w:val="clear" w:color="auto" w:fill="7F7F7F" w:themeFill="text1" w:themeFillTint="80"/>
          </w:tcPr>
          <w:p w14:paraId="50B8AD13" w14:textId="77777777" w:rsidR="00116A33" w:rsidRPr="008B38FE" w:rsidRDefault="00116A33" w:rsidP="008A14E6">
            <w:pPr>
              <w:spacing w:after="0"/>
              <w:rPr>
                <w:rFonts w:asciiTheme="minorHAnsi" w:hAnsiTheme="minorHAnsi" w:cs="Arial"/>
                <w:color w:val="FFFFFF" w:themeColor="background1"/>
                <w:sz w:val="18"/>
                <w:szCs w:val="18"/>
              </w:rPr>
            </w:pPr>
          </w:p>
        </w:tc>
        <w:tc>
          <w:tcPr>
            <w:tcW w:w="8312" w:type="dxa"/>
            <w:gridSpan w:val="2"/>
            <w:shd w:val="clear" w:color="auto" w:fill="7F7F7F" w:themeFill="text1" w:themeFillTint="80"/>
          </w:tcPr>
          <w:p w14:paraId="57D4812D"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FFFFFF" w:themeColor="background1"/>
                <w:sz w:val="18"/>
                <w:szCs w:val="18"/>
              </w:rPr>
            </w:pPr>
            <w:r w:rsidRPr="008B38FE">
              <w:rPr>
                <w:rFonts w:asciiTheme="minorHAnsi" w:hAnsiTheme="minorHAnsi" w:cs="Arial"/>
                <w:b/>
                <w:color w:val="FFFFFF" w:themeColor="background1"/>
                <w:sz w:val="18"/>
                <w:szCs w:val="18"/>
              </w:rPr>
              <w:t>Geheimhouding</w:t>
            </w:r>
          </w:p>
        </w:tc>
        <w:tc>
          <w:tcPr>
            <w:tcW w:w="1275" w:type="dxa"/>
            <w:shd w:val="clear" w:color="auto" w:fill="7F7F7F" w:themeFill="text1" w:themeFillTint="80"/>
          </w:tcPr>
          <w:p w14:paraId="542EE62B"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FFFFFF" w:themeColor="background1"/>
                <w:sz w:val="18"/>
                <w:szCs w:val="18"/>
              </w:rPr>
            </w:pPr>
          </w:p>
        </w:tc>
        <w:tc>
          <w:tcPr>
            <w:tcW w:w="3544" w:type="dxa"/>
            <w:shd w:val="clear" w:color="auto" w:fill="7F7F7F" w:themeFill="text1" w:themeFillTint="80"/>
          </w:tcPr>
          <w:p w14:paraId="489CAC7A"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FFFFFF" w:themeColor="background1"/>
                <w:sz w:val="18"/>
                <w:szCs w:val="18"/>
              </w:rPr>
            </w:pPr>
          </w:p>
        </w:tc>
      </w:tr>
      <w:tr w:rsidR="00116A33" w14:paraId="1C94E1F8" w14:textId="3D91B2EA"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72DB3878" w14:textId="69E00452"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1.22</w:t>
            </w:r>
          </w:p>
        </w:tc>
        <w:tc>
          <w:tcPr>
            <w:tcW w:w="6044" w:type="dxa"/>
          </w:tcPr>
          <w:p w14:paraId="5F1239B8"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De </w:t>
            </w:r>
            <w:r w:rsidRPr="008B38FE">
              <w:rPr>
                <w:rFonts w:ascii="Calibri" w:hAnsi="Calibri"/>
                <w:color w:val="000000"/>
                <w:sz w:val="18"/>
                <w:szCs w:val="18"/>
              </w:rPr>
              <w:t>l</w:t>
            </w:r>
            <w:r w:rsidRPr="008B38FE">
              <w:rPr>
                <w:rFonts w:ascii="Calibri" w:hAnsi="Calibri"/>
                <w:color w:val="000000"/>
                <w:sz w:val="18"/>
                <w:szCs w:val="18"/>
                <w:lang w:eastAsia="nl-NL"/>
              </w:rPr>
              <w:t>everancier heeft een geheimhoudingsovereenkomst voor werknemers en derden in gebruik.</w:t>
            </w:r>
          </w:p>
        </w:tc>
        <w:tc>
          <w:tcPr>
            <w:tcW w:w="2268" w:type="dxa"/>
          </w:tcPr>
          <w:p w14:paraId="593D37DC"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1275" w:type="dxa"/>
          </w:tcPr>
          <w:p w14:paraId="218A0E0A" w14:textId="5B7B2E5D"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3544" w:type="dxa"/>
          </w:tcPr>
          <w:p w14:paraId="198998BF" w14:textId="16534052"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r w:rsidR="00116A33" w14:paraId="3116C9AD" w14:textId="4EB593C7" w:rsidTr="00116A33">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1A4F23E1" w14:textId="5243AEEA"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1.23</w:t>
            </w:r>
          </w:p>
        </w:tc>
        <w:tc>
          <w:tcPr>
            <w:tcW w:w="6044" w:type="dxa"/>
            <w:tcBorders>
              <w:bottom w:val="single" w:sz="4" w:space="0" w:color="666666" w:themeColor="text1" w:themeTint="99"/>
            </w:tcBorders>
          </w:tcPr>
          <w:p w14:paraId="69202E20" w14:textId="37D78676" w:rsidR="00116A33" w:rsidRPr="008B38FE" w:rsidRDefault="00116A33" w:rsidP="002D321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Werknemers van de leverancier en, voor zover van toepassing, ingehuurd personeel en externe gebruikers, die betrokken zijn bij verwerkingen van risicoklasse 2 dienen een Verklaring Omtrent het Gedrag (VOG) over te leggen.  </w:t>
            </w:r>
          </w:p>
        </w:tc>
        <w:tc>
          <w:tcPr>
            <w:tcW w:w="2268" w:type="dxa"/>
            <w:tcBorders>
              <w:bottom w:val="single" w:sz="4" w:space="0" w:color="666666" w:themeColor="text1" w:themeTint="99"/>
            </w:tcBorders>
          </w:tcPr>
          <w:p w14:paraId="12967518" w14:textId="77777777"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1275" w:type="dxa"/>
            <w:tcBorders>
              <w:bottom w:val="single" w:sz="4" w:space="0" w:color="666666" w:themeColor="text1" w:themeTint="99"/>
            </w:tcBorders>
          </w:tcPr>
          <w:p w14:paraId="42E1D6AA" w14:textId="1FAE92E2" w:rsidR="00116A33" w:rsidRPr="008B38FE" w:rsidRDefault="00116A3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3544" w:type="dxa"/>
            <w:tcBorders>
              <w:bottom w:val="single" w:sz="4" w:space="0" w:color="666666" w:themeColor="text1" w:themeTint="99"/>
            </w:tcBorders>
          </w:tcPr>
          <w:p w14:paraId="26F32292" w14:textId="7717CFD1" w:rsidR="00116A33" w:rsidRPr="008B38FE" w:rsidRDefault="00E26EF5"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Pr>
                <w:rFonts w:asciiTheme="minorHAnsi" w:hAnsiTheme="minorHAnsi" w:cs="Arial"/>
                <w:color w:val="000000"/>
                <w:sz w:val="18"/>
                <w:szCs w:val="18"/>
              </w:rPr>
              <w:t xml:space="preserve">@@Wat is risicoklasse 2? Is dat: </w:t>
            </w:r>
            <w:r w:rsidRPr="00E26EF5">
              <w:rPr>
                <w:rFonts w:asciiTheme="minorHAnsi" w:hAnsiTheme="minorHAnsi" w:cs="Arial"/>
                <w:color w:val="000000"/>
                <w:sz w:val="18"/>
                <w:szCs w:val="18"/>
              </w:rPr>
              <w:t>persoonsvertrouwelijke informatie, commercieel vertrouwelijke informatie of gevoelige informatie in het kader van beleidsvorming</w:t>
            </w:r>
            <w:r>
              <w:rPr>
                <w:rFonts w:asciiTheme="minorHAnsi" w:hAnsiTheme="minorHAnsi" w:cs="Arial"/>
                <w:color w:val="000000"/>
                <w:sz w:val="18"/>
                <w:szCs w:val="18"/>
              </w:rPr>
              <w:t>?</w:t>
            </w:r>
          </w:p>
        </w:tc>
      </w:tr>
      <w:tr w:rsidR="00116A33" w14:paraId="15146076" w14:textId="5881F662" w:rsidTr="00116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shd w:val="clear" w:color="auto" w:fill="D99594" w:themeFill="accent2" w:themeFillTint="99"/>
          </w:tcPr>
          <w:p w14:paraId="49C54484" w14:textId="2FE257E4"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lastRenderedPageBreak/>
              <w:t>1.23</w:t>
            </w:r>
          </w:p>
          <w:p w14:paraId="25C50F48" w14:textId="19529ACD" w:rsidR="00116A33" w:rsidRPr="008B38FE" w:rsidRDefault="00116A3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HOOG</w:t>
            </w:r>
          </w:p>
        </w:tc>
        <w:tc>
          <w:tcPr>
            <w:tcW w:w="6044" w:type="dxa"/>
            <w:shd w:val="clear" w:color="auto" w:fill="D99594" w:themeFill="accent2" w:themeFillTint="99"/>
          </w:tcPr>
          <w:p w14:paraId="13E80A69" w14:textId="55316461" w:rsidR="00116A33" w:rsidRPr="008B38FE" w:rsidRDefault="00116A33" w:rsidP="002D3215">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Werknemers van de leverancier en, voor zover van toepassing, ingehuurd personeel en externe gebruikers, die betrokken zijn bij verwerkingen van risicoklasse 3 dienen een Verklaring Omtrent het Gedrag (VOG) over te leggen.</w:t>
            </w:r>
          </w:p>
        </w:tc>
        <w:tc>
          <w:tcPr>
            <w:tcW w:w="2268" w:type="dxa"/>
            <w:shd w:val="clear" w:color="auto" w:fill="D99594" w:themeFill="accent2" w:themeFillTint="99"/>
          </w:tcPr>
          <w:p w14:paraId="47E41C09" w14:textId="77777777"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1275" w:type="dxa"/>
            <w:shd w:val="clear" w:color="auto" w:fill="D99594" w:themeFill="accent2" w:themeFillTint="99"/>
          </w:tcPr>
          <w:p w14:paraId="127717D3" w14:textId="0745AD90" w:rsidR="00116A33" w:rsidRPr="008B38FE" w:rsidRDefault="00116A3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3544" w:type="dxa"/>
            <w:shd w:val="clear" w:color="auto" w:fill="D99594" w:themeFill="accent2" w:themeFillTint="99"/>
          </w:tcPr>
          <w:p w14:paraId="0CD5E20D" w14:textId="37094B70" w:rsidR="00116A33" w:rsidRPr="008B38FE" w:rsidRDefault="00E26EF5"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Pr>
                <w:rFonts w:asciiTheme="minorHAnsi" w:hAnsiTheme="minorHAnsi" w:cs="Arial"/>
                <w:color w:val="000000"/>
                <w:sz w:val="18"/>
                <w:szCs w:val="18"/>
              </w:rPr>
              <w:t xml:space="preserve">@@Wat is risicoklasse 3? Is dat bijvoorbeeld medische gegevens e.d.? Vallen banktransacties hieronder? </w:t>
            </w:r>
          </w:p>
        </w:tc>
      </w:tr>
    </w:tbl>
    <w:p w14:paraId="0FFE4BAF" w14:textId="77777777" w:rsidR="00116A33" w:rsidRDefault="00116A33">
      <w:pPr>
        <w:spacing w:after="0" w:line="240" w:lineRule="auto"/>
        <w:rPr>
          <w:rFonts w:eastAsiaTheme="majorEastAsia" w:cstheme="majorBidi"/>
          <w:b/>
          <w:bCs/>
          <w:spacing w:val="22"/>
          <w:sz w:val="28"/>
          <w:szCs w:val="32"/>
          <w:lang w:eastAsia="nl-NL"/>
        </w:rPr>
      </w:pPr>
      <w:r>
        <w:rPr>
          <w:lang w:eastAsia="nl-NL"/>
        </w:rPr>
        <w:br w:type="page"/>
      </w:r>
    </w:p>
    <w:p w14:paraId="09A04B8E" w14:textId="52C12CB9" w:rsidR="005623C1" w:rsidRPr="005623C1" w:rsidRDefault="00322F0C" w:rsidP="005623C1">
      <w:pPr>
        <w:pStyle w:val="Heading1"/>
        <w:pageBreakBefore w:val="0"/>
        <w:rPr>
          <w:lang w:eastAsia="nl-NL"/>
        </w:rPr>
      </w:pPr>
      <w:r>
        <w:rPr>
          <w:lang w:eastAsia="nl-NL"/>
        </w:rPr>
        <w:lastRenderedPageBreak/>
        <w:t>Toegangsbeveiliging</w:t>
      </w:r>
    </w:p>
    <w:tbl>
      <w:tblPr>
        <w:tblStyle w:val="GridTable4"/>
        <w:tblW w:w="13087" w:type="dxa"/>
        <w:tblLayout w:type="fixed"/>
        <w:tblLook w:val="04A0" w:firstRow="1" w:lastRow="0" w:firstColumn="1" w:lastColumn="0" w:noHBand="0" w:noVBand="1"/>
      </w:tblPr>
      <w:tblGrid>
        <w:gridCol w:w="471"/>
        <w:gridCol w:w="7722"/>
        <w:gridCol w:w="1559"/>
        <w:gridCol w:w="1140"/>
        <w:gridCol w:w="2195"/>
      </w:tblGrid>
      <w:tr w:rsidR="003C3D73" w:rsidRPr="000E45F3" w14:paraId="573A1E77" w14:textId="598835DA" w:rsidTr="003C3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 w:type="dxa"/>
            <w:tcBorders>
              <w:bottom w:val="single" w:sz="4" w:space="0" w:color="666666" w:themeColor="text1" w:themeTint="99"/>
            </w:tcBorders>
          </w:tcPr>
          <w:p w14:paraId="61EA3A96" w14:textId="77777777" w:rsidR="003C3D73" w:rsidRPr="007171F3" w:rsidRDefault="003C3D73" w:rsidP="00450BBA">
            <w:pPr>
              <w:spacing w:after="0"/>
              <w:rPr>
                <w:rFonts w:cs="Arial"/>
                <w:b w:val="0"/>
              </w:rPr>
            </w:pPr>
            <w:r w:rsidRPr="007171F3">
              <w:rPr>
                <w:rFonts w:cs="Arial"/>
                <w:b w:val="0"/>
              </w:rPr>
              <w:t>#</w:t>
            </w:r>
          </w:p>
        </w:tc>
        <w:tc>
          <w:tcPr>
            <w:tcW w:w="7722" w:type="dxa"/>
            <w:tcBorders>
              <w:bottom w:val="single" w:sz="4" w:space="0" w:color="666666" w:themeColor="text1" w:themeTint="99"/>
            </w:tcBorders>
          </w:tcPr>
          <w:p w14:paraId="71D67DC8" w14:textId="77777777" w:rsidR="003C3D73" w:rsidRPr="007171F3" w:rsidRDefault="003C3D7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sidRPr="007171F3">
              <w:rPr>
                <w:rFonts w:cs="Arial"/>
                <w:b w:val="0"/>
              </w:rPr>
              <w:t>Maatregel</w:t>
            </w:r>
          </w:p>
        </w:tc>
        <w:tc>
          <w:tcPr>
            <w:tcW w:w="1559" w:type="dxa"/>
            <w:tcBorders>
              <w:bottom w:val="single" w:sz="4" w:space="0" w:color="666666" w:themeColor="text1" w:themeTint="99"/>
            </w:tcBorders>
          </w:tcPr>
          <w:p w14:paraId="4CA45412" w14:textId="77777777" w:rsidR="003C3D73" w:rsidRPr="007171F3" w:rsidRDefault="003C3D7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sidRPr="007171F3">
              <w:rPr>
                <w:rFonts w:cs="Arial"/>
                <w:b w:val="0"/>
              </w:rPr>
              <w:t>Referentie</w:t>
            </w:r>
          </w:p>
        </w:tc>
        <w:tc>
          <w:tcPr>
            <w:tcW w:w="1140" w:type="dxa"/>
            <w:tcBorders>
              <w:bottom w:val="single" w:sz="4" w:space="0" w:color="666666" w:themeColor="text1" w:themeTint="99"/>
            </w:tcBorders>
          </w:tcPr>
          <w:p w14:paraId="506BA680" w14:textId="14862460" w:rsidR="003C3D73" w:rsidRPr="007171F3" w:rsidRDefault="003C3D7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Status</w:t>
            </w:r>
          </w:p>
        </w:tc>
        <w:tc>
          <w:tcPr>
            <w:tcW w:w="2195" w:type="dxa"/>
            <w:tcBorders>
              <w:bottom w:val="single" w:sz="4" w:space="0" w:color="666666" w:themeColor="text1" w:themeTint="99"/>
            </w:tcBorders>
          </w:tcPr>
          <w:p w14:paraId="5986D94A" w14:textId="792E27E0" w:rsidR="003C3D73" w:rsidRPr="007171F3" w:rsidRDefault="003C3D7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Toelichting</w:t>
            </w:r>
          </w:p>
        </w:tc>
      </w:tr>
      <w:tr w:rsidR="003C3D73" w:rsidRPr="007171F3" w14:paraId="12BBDEF6" w14:textId="254AD7B5" w:rsidTr="003C3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 w:type="dxa"/>
            <w:shd w:val="clear" w:color="auto" w:fill="7F7F7F" w:themeFill="text1" w:themeFillTint="80"/>
          </w:tcPr>
          <w:p w14:paraId="6613BE21" w14:textId="77777777" w:rsidR="003C3D73" w:rsidRPr="008B38FE" w:rsidRDefault="003C3D73" w:rsidP="00450BBA">
            <w:pPr>
              <w:spacing w:after="0"/>
              <w:rPr>
                <w:rFonts w:asciiTheme="minorHAnsi" w:hAnsiTheme="minorHAnsi" w:cs="Arial"/>
                <w:b w:val="0"/>
                <w:color w:val="FFFFFF" w:themeColor="background1"/>
                <w:sz w:val="18"/>
                <w:szCs w:val="18"/>
              </w:rPr>
            </w:pPr>
          </w:p>
        </w:tc>
        <w:tc>
          <w:tcPr>
            <w:tcW w:w="9281" w:type="dxa"/>
            <w:gridSpan w:val="2"/>
            <w:shd w:val="clear" w:color="auto" w:fill="7F7F7F" w:themeFill="text1" w:themeFillTint="80"/>
          </w:tcPr>
          <w:p w14:paraId="1E71E71C"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r w:rsidRPr="008B38FE">
              <w:rPr>
                <w:rFonts w:asciiTheme="minorHAnsi" w:hAnsiTheme="minorHAnsi" w:cs="Arial"/>
                <w:b/>
                <w:color w:val="FFFFFF" w:themeColor="background1"/>
                <w:sz w:val="18"/>
                <w:szCs w:val="18"/>
              </w:rPr>
              <w:t>Fysieke toegangsbeveiliging en beveiliging van apparatuur</w:t>
            </w:r>
          </w:p>
        </w:tc>
        <w:tc>
          <w:tcPr>
            <w:tcW w:w="1140" w:type="dxa"/>
            <w:shd w:val="clear" w:color="auto" w:fill="7F7F7F" w:themeFill="text1" w:themeFillTint="80"/>
          </w:tcPr>
          <w:p w14:paraId="2DD526BB"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p>
        </w:tc>
        <w:tc>
          <w:tcPr>
            <w:tcW w:w="2195" w:type="dxa"/>
            <w:shd w:val="clear" w:color="auto" w:fill="7F7F7F" w:themeFill="text1" w:themeFillTint="80"/>
          </w:tcPr>
          <w:p w14:paraId="4341FCD7"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p>
        </w:tc>
      </w:tr>
      <w:tr w:rsidR="003C3D73" w14:paraId="1D95F1D1" w14:textId="558DA5E3" w:rsidTr="003C3D73">
        <w:trPr>
          <w:trHeight w:val="172"/>
        </w:trPr>
        <w:tc>
          <w:tcPr>
            <w:cnfStyle w:val="001000000000" w:firstRow="0" w:lastRow="0" w:firstColumn="1" w:lastColumn="0" w:oddVBand="0" w:evenVBand="0" w:oddHBand="0" w:evenHBand="0" w:firstRowFirstColumn="0" w:firstRowLastColumn="0" w:lastRowFirstColumn="0" w:lastRowLastColumn="0"/>
            <w:tcW w:w="471" w:type="dxa"/>
            <w:tcBorders>
              <w:bottom w:val="single" w:sz="4" w:space="0" w:color="666666" w:themeColor="text1" w:themeTint="99"/>
            </w:tcBorders>
          </w:tcPr>
          <w:p w14:paraId="4C654946" w14:textId="77777777" w:rsidR="003C3D73" w:rsidRPr="008B38FE" w:rsidRDefault="003C3D7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2.1</w:t>
            </w:r>
          </w:p>
        </w:tc>
        <w:tc>
          <w:tcPr>
            <w:tcW w:w="7722" w:type="dxa"/>
            <w:tcBorders>
              <w:bottom w:val="single" w:sz="4" w:space="0" w:color="666666" w:themeColor="text1" w:themeTint="99"/>
            </w:tcBorders>
          </w:tcPr>
          <w:p w14:paraId="64B8EE53"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IT-voorzieningen en apparatuur zijn fysiek beschermd tegen toegang door onbevoegden en tegen schade en storingen. Genomen maatregelen zijn in overeenstemming met de vastgestelde risico’s.</w:t>
            </w:r>
          </w:p>
        </w:tc>
        <w:tc>
          <w:tcPr>
            <w:tcW w:w="1559" w:type="dxa"/>
            <w:tcBorders>
              <w:bottom w:val="single" w:sz="4" w:space="0" w:color="666666" w:themeColor="text1" w:themeTint="99"/>
            </w:tcBorders>
          </w:tcPr>
          <w:p w14:paraId="259BD593"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665D1FB3"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§11.1 en §11.2</w:t>
            </w:r>
          </w:p>
        </w:tc>
        <w:tc>
          <w:tcPr>
            <w:tcW w:w="1140" w:type="dxa"/>
            <w:tcBorders>
              <w:bottom w:val="single" w:sz="4" w:space="0" w:color="666666" w:themeColor="text1" w:themeTint="99"/>
            </w:tcBorders>
          </w:tcPr>
          <w:p w14:paraId="38B24E36" w14:textId="17202F6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2195" w:type="dxa"/>
            <w:tcBorders>
              <w:bottom w:val="single" w:sz="4" w:space="0" w:color="666666" w:themeColor="text1" w:themeTint="99"/>
            </w:tcBorders>
          </w:tcPr>
          <w:p w14:paraId="3621D0E1"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3C3D73" w:rsidRPr="007171F3" w14:paraId="7F3A8034" w14:textId="4A57124B" w:rsidTr="003C3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 w:type="dxa"/>
            <w:shd w:val="clear" w:color="auto" w:fill="7F7F7F" w:themeFill="text1" w:themeFillTint="80"/>
          </w:tcPr>
          <w:p w14:paraId="1C6AA5F6" w14:textId="77777777" w:rsidR="003C3D73" w:rsidRPr="008B38FE" w:rsidRDefault="003C3D73" w:rsidP="00450BBA">
            <w:pPr>
              <w:spacing w:after="0"/>
              <w:rPr>
                <w:rFonts w:asciiTheme="minorHAnsi" w:hAnsiTheme="minorHAnsi" w:cs="Arial"/>
                <w:color w:val="FFFFFF" w:themeColor="background1"/>
                <w:sz w:val="18"/>
                <w:szCs w:val="18"/>
              </w:rPr>
            </w:pPr>
          </w:p>
        </w:tc>
        <w:tc>
          <w:tcPr>
            <w:tcW w:w="9281" w:type="dxa"/>
            <w:gridSpan w:val="2"/>
            <w:shd w:val="clear" w:color="auto" w:fill="7F7F7F" w:themeFill="text1" w:themeFillTint="80"/>
          </w:tcPr>
          <w:p w14:paraId="426D8956"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r w:rsidRPr="008B38FE">
              <w:rPr>
                <w:rFonts w:asciiTheme="minorHAnsi" w:hAnsiTheme="minorHAnsi" w:cs="Arial"/>
                <w:b/>
                <w:color w:val="FFFFFF" w:themeColor="background1"/>
                <w:sz w:val="18"/>
                <w:szCs w:val="18"/>
              </w:rPr>
              <w:t>Logische toegangsbeveiliging</w:t>
            </w:r>
          </w:p>
        </w:tc>
        <w:tc>
          <w:tcPr>
            <w:tcW w:w="1140" w:type="dxa"/>
            <w:shd w:val="clear" w:color="auto" w:fill="7F7F7F" w:themeFill="text1" w:themeFillTint="80"/>
          </w:tcPr>
          <w:p w14:paraId="681D9947"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p>
        </w:tc>
        <w:tc>
          <w:tcPr>
            <w:tcW w:w="2195" w:type="dxa"/>
            <w:shd w:val="clear" w:color="auto" w:fill="7F7F7F" w:themeFill="text1" w:themeFillTint="80"/>
          </w:tcPr>
          <w:p w14:paraId="096596D3"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p>
        </w:tc>
      </w:tr>
      <w:tr w:rsidR="003C3D73" w14:paraId="20C9E120" w14:textId="1957CC62" w:rsidTr="003C3D73">
        <w:tc>
          <w:tcPr>
            <w:cnfStyle w:val="001000000000" w:firstRow="0" w:lastRow="0" w:firstColumn="1" w:lastColumn="0" w:oddVBand="0" w:evenVBand="0" w:oddHBand="0" w:evenHBand="0" w:firstRowFirstColumn="0" w:firstRowLastColumn="0" w:lastRowFirstColumn="0" w:lastRowLastColumn="0"/>
            <w:tcW w:w="471" w:type="dxa"/>
          </w:tcPr>
          <w:p w14:paraId="0255548A" w14:textId="77777777" w:rsidR="003C3D73" w:rsidRPr="008B38FE" w:rsidRDefault="003C3D7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2.2</w:t>
            </w:r>
          </w:p>
        </w:tc>
        <w:tc>
          <w:tcPr>
            <w:tcW w:w="7722" w:type="dxa"/>
          </w:tcPr>
          <w:p w14:paraId="1E98D92C"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De leverancier heeft een beleid voor toegangsbeveiliging vastgesteld en gedocumenteerd, waarin in ieder geval is bepaald dat:</w:t>
            </w:r>
          </w:p>
          <w:p w14:paraId="68D038D0" w14:textId="77777777" w:rsidR="003C3D73" w:rsidRPr="008B38FE" w:rsidRDefault="003C3D73" w:rsidP="004B0FF1">
            <w:pPr>
              <w:pStyle w:val="ListParagraph"/>
              <w:numPr>
                <w:ilvl w:val="0"/>
                <w:numId w:val="10"/>
              </w:numPr>
              <w:spacing w:after="0"/>
              <w:ind w:left="451" w:hanging="283"/>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gebruikers en beheerders een unieke login ID en wachtwoord combinatie hebben, </w:t>
            </w:r>
          </w:p>
          <w:p w14:paraId="36779C48" w14:textId="77777777" w:rsidR="003C3D73" w:rsidRPr="008B38FE" w:rsidRDefault="003C3D73" w:rsidP="00440672">
            <w:pPr>
              <w:pStyle w:val="ListParagraph"/>
              <w:numPr>
                <w:ilvl w:val="0"/>
                <w:numId w:val="10"/>
              </w:numPr>
              <w:spacing w:after="0"/>
              <w:ind w:left="451" w:hanging="283"/>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gedeelde login ID en wachtwoord combinaties niet zijn toegestaan en</w:t>
            </w:r>
          </w:p>
          <w:p w14:paraId="52160E49" w14:textId="25B345CF" w:rsidR="003C3D73" w:rsidRPr="008B38FE" w:rsidRDefault="003C3D73" w:rsidP="00440672">
            <w:pPr>
              <w:pStyle w:val="ListParagraph"/>
              <w:numPr>
                <w:ilvl w:val="0"/>
                <w:numId w:val="10"/>
              </w:numPr>
              <w:spacing w:after="0"/>
              <w:ind w:left="451" w:hanging="283"/>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toegang voor gebruikers en beheerders beperkt is tot het netwerk en de netwerkdiensten waarvoor zij specifiek bevoegd zijn. </w:t>
            </w:r>
          </w:p>
        </w:tc>
        <w:tc>
          <w:tcPr>
            <w:tcW w:w="1559" w:type="dxa"/>
          </w:tcPr>
          <w:p w14:paraId="332EDC3D"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ISO 27002:2013 </w:t>
            </w:r>
          </w:p>
          <w:p w14:paraId="27C3E235"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§9.1 en §9.2.4</w:t>
            </w:r>
          </w:p>
        </w:tc>
        <w:tc>
          <w:tcPr>
            <w:tcW w:w="1140" w:type="dxa"/>
          </w:tcPr>
          <w:p w14:paraId="3008DB8B" w14:textId="1E9C1628"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2195" w:type="dxa"/>
          </w:tcPr>
          <w:p w14:paraId="58489A20" w14:textId="48C73DD6"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3C3D73" w14:paraId="0E80673C" w14:textId="744DA53F" w:rsidTr="003C3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 w:type="dxa"/>
          </w:tcPr>
          <w:p w14:paraId="7BCE423E" w14:textId="77777777" w:rsidR="003C3D73" w:rsidRPr="008B38FE" w:rsidRDefault="003C3D7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2.3</w:t>
            </w:r>
          </w:p>
        </w:tc>
        <w:tc>
          <w:tcPr>
            <w:tcW w:w="7722" w:type="dxa"/>
          </w:tcPr>
          <w:p w14:paraId="32D03883"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De leverancier heeft een beleid inzake mobiele apparatuur, waarin ten minste is opgenomen dat:</w:t>
            </w:r>
          </w:p>
          <w:p w14:paraId="7914DA52" w14:textId="77777777" w:rsidR="003C3D73" w:rsidRPr="008B38FE" w:rsidRDefault="003C3D73" w:rsidP="004B0FF1">
            <w:pPr>
              <w:pStyle w:val="ListParagraph"/>
              <w:numPr>
                <w:ilvl w:val="0"/>
                <w:numId w:val="11"/>
              </w:numPr>
              <w:spacing w:after="0"/>
              <w:ind w:left="451" w:hanging="283"/>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het apparaat is voorzien van toetsvergrendeling of een vergelijkbaar middel, bijv. toegang via wachtwoord,</w:t>
            </w:r>
          </w:p>
          <w:p w14:paraId="300868BC" w14:textId="77777777" w:rsidR="003C3D73" w:rsidRPr="008B38FE" w:rsidRDefault="003C3D73" w:rsidP="004B0FF1">
            <w:pPr>
              <w:pStyle w:val="ListParagraph"/>
              <w:numPr>
                <w:ilvl w:val="0"/>
                <w:numId w:val="11"/>
              </w:numPr>
              <w:spacing w:after="0"/>
              <w:ind w:left="451" w:hanging="283"/>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privé en zakelijk gebruik gescheiden zijn en bedrijfsdata op het device versleuteld is.</w:t>
            </w:r>
          </w:p>
        </w:tc>
        <w:tc>
          <w:tcPr>
            <w:tcW w:w="1559" w:type="dxa"/>
          </w:tcPr>
          <w:p w14:paraId="4DA6D255"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13DFDF26"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§6.2.1 en §11.2.8</w:t>
            </w:r>
          </w:p>
        </w:tc>
        <w:tc>
          <w:tcPr>
            <w:tcW w:w="1140" w:type="dxa"/>
          </w:tcPr>
          <w:p w14:paraId="172113B7" w14:textId="69846690"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2195" w:type="dxa"/>
          </w:tcPr>
          <w:p w14:paraId="61C96A1B" w14:textId="650AC715"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r w:rsidR="003C3D73" w14:paraId="387020DD" w14:textId="06F87058" w:rsidTr="003C3D73">
        <w:tc>
          <w:tcPr>
            <w:cnfStyle w:val="001000000000" w:firstRow="0" w:lastRow="0" w:firstColumn="1" w:lastColumn="0" w:oddVBand="0" w:evenVBand="0" w:oddHBand="0" w:evenHBand="0" w:firstRowFirstColumn="0" w:firstRowLastColumn="0" w:lastRowFirstColumn="0" w:lastRowLastColumn="0"/>
            <w:tcW w:w="471" w:type="dxa"/>
          </w:tcPr>
          <w:p w14:paraId="6F0525A3" w14:textId="77777777" w:rsidR="003C3D73" w:rsidRPr="008B38FE" w:rsidRDefault="003C3D7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2.4</w:t>
            </w:r>
          </w:p>
        </w:tc>
        <w:tc>
          <w:tcPr>
            <w:tcW w:w="7722" w:type="dxa"/>
          </w:tcPr>
          <w:p w14:paraId="7F43DBEF" w14:textId="77777777" w:rsidR="003C3D73" w:rsidRPr="008B38FE" w:rsidRDefault="003C3D73" w:rsidP="005623C1">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De leverancier richt een formeel proces in voor het beheer van toegangsrechten van gebruikers en beheerders. Het toegangsbeheerproces omvat ten minste:</w:t>
            </w:r>
          </w:p>
          <w:p w14:paraId="227DDD43" w14:textId="77777777" w:rsidR="003C3D73" w:rsidRPr="008B38FE" w:rsidRDefault="003C3D73" w:rsidP="005623C1">
            <w:pPr>
              <w:pStyle w:val="ListParagraph"/>
              <w:numPr>
                <w:ilvl w:val="0"/>
                <w:numId w:val="9"/>
              </w:numPr>
              <w:spacing w:after="0"/>
              <w:ind w:left="451" w:hanging="283"/>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het registreren van gebruikers en de aan hen toegekende rechten, </w:t>
            </w:r>
          </w:p>
          <w:p w14:paraId="38529C42" w14:textId="77777777" w:rsidR="003C3D73" w:rsidRPr="008B38FE" w:rsidRDefault="003C3D73" w:rsidP="005623C1">
            <w:pPr>
              <w:pStyle w:val="ListParagraph"/>
              <w:numPr>
                <w:ilvl w:val="0"/>
                <w:numId w:val="9"/>
              </w:numPr>
              <w:spacing w:after="0"/>
              <w:ind w:left="451" w:hanging="283"/>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het toekennen van niet meer rechten dan nodig voor de uitoefening van taken en </w:t>
            </w:r>
          </w:p>
          <w:p w14:paraId="3381CAF0" w14:textId="544173EE" w:rsidR="003C3D73" w:rsidRPr="008B38FE" w:rsidRDefault="003C3D73" w:rsidP="005623C1">
            <w:pPr>
              <w:pStyle w:val="ListParagraph"/>
              <w:numPr>
                <w:ilvl w:val="0"/>
                <w:numId w:val="9"/>
              </w:numPr>
              <w:spacing w:after="0"/>
              <w:ind w:left="451" w:hanging="283"/>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het wijzigen of intrekken van die rechten bij wijziging of beëindiging van het dienstverband of contract.</w:t>
            </w:r>
          </w:p>
        </w:tc>
        <w:tc>
          <w:tcPr>
            <w:tcW w:w="1559" w:type="dxa"/>
          </w:tcPr>
          <w:p w14:paraId="1553223F"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ISO 27002:2013 </w:t>
            </w:r>
          </w:p>
          <w:p w14:paraId="3155822F" w14:textId="67FCEC8C" w:rsidR="003C3D73" w:rsidRPr="008B38FE" w:rsidRDefault="003C3D73" w:rsidP="005623C1">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§9.2.1, §9.2.2, §9.2.3, §9.4.1 en §9.2.6</w:t>
            </w:r>
          </w:p>
        </w:tc>
        <w:tc>
          <w:tcPr>
            <w:tcW w:w="1140" w:type="dxa"/>
          </w:tcPr>
          <w:p w14:paraId="324049EE" w14:textId="175F9EC5"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2195" w:type="dxa"/>
          </w:tcPr>
          <w:p w14:paraId="03FA8DFB"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3C3D73" w14:paraId="23447C9B" w14:textId="3E257787" w:rsidTr="003C3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 w:type="dxa"/>
          </w:tcPr>
          <w:p w14:paraId="40A98551" w14:textId="519E132E" w:rsidR="003C3D73" w:rsidRPr="008B38FE" w:rsidRDefault="003C3D7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2.5</w:t>
            </w:r>
          </w:p>
        </w:tc>
        <w:tc>
          <w:tcPr>
            <w:tcW w:w="7722" w:type="dxa"/>
          </w:tcPr>
          <w:p w14:paraId="3EE39155" w14:textId="4B0FF933" w:rsidR="003C3D73" w:rsidRPr="008B38FE" w:rsidRDefault="003C3D73" w:rsidP="005623C1">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Gebruikers en beheerders worden op de hoogte gesteld van het toegangsbeveiligingsbeleid en ondertekenen een verklaring dat zij persoonlijke geheime authenticatie-informatie geheimhouden en in geval van inbreuk direct maatregelen nemen om de gevolgen te beperken.</w:t>
            </w:r>
          </w:p>
        </w:tc>
        <w:tc>
          <w:tcPr>
            <w:tcW w:w="1559" w:type="dxa"/>
          </w:tcPr>
          <w:p w14:paraId="3B4B3735"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4F91B11D" w14:textId="714A82B8"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§9.3.1</w:t>
            </w:r>
          </w:p>
        </w:tc>
        <w:tc>
          <w:tcPr>
            <w:tcW w:w="1140" w:type="dxa"/>
          </w:tcPr>
          <w:p w14:paraId="0FA62C8C" w14:textId="4A5ABA1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2195" w:type="dxa"/>
          </w:tcPr>
          <w:p w14:paraId="3E67495D"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r w:rsidR="003C3D73" w14:paraId="4DC8B557" w14:textId="1B764E07" w:rsidTr="003C3D73">
        <w:tc>
          <w:tcPr>
            <w:cnfStyle w:val="001000000000" w:firstRow="0" w:lastRow="0" w:firstColumn="1" w:lastColumn="0" w:oddVBand="0" w:evenVBand="0" w:oddHBand="0" w:evenHBand="0" w:firstRowFirstColumn="0" w:firstRowLastColumn="0" w:lastRowFirstColumn="0" w:lastRowLastColumn="0"/>
            <w:tcW w:w="471" w:type="dxa"/>
          </w:tcPr>
          <w:p w14:paraId="156CFC56" w14:textId="77777777" w:rsidR="003C3D73" w:rsidRPr="008B38FE" w:rsidRDefault="003C3D7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2.6</w:t>
            </w:r>
          </w:p>
        </w:tc>
        <w:tc>
          <w:tcPr>
            <w:tcW w:w="7722" w:type="dxa"/>
          </w:tcPr>
          <w:p w14:paraId="1119214C"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De leverancier controleert maandelijks of toegekende rechten juist zijn.</w:t>
            </w:r>
          </w:p>
        </w:tc>
        <w:tc>
          <w:tcPr>
            <w:tcW w:w="1559" w:type="dxa"/>
          </w:tcPr>
          <w:p w14:paraId="0C1F20FA"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2140CB6C"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§9.2.5</w:t>
            </w:r>
          </w:p>
        </w:tc>
        <w:tc>
          <w:tcPr>
            <w:tcW w:w="1140" w:type="dxa"/>
          </w:tcPr>
          <w:p w14:paraId="4160BF73" w14:textId="15A1EBFC"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2195" w:type="dxa"/>
          </w:tcPr>
          <w:p w14:paraId="249C22D5"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3C3D73" w14:paraId="4A995B7D" w14:textId="14F11960" w:rsidTr="003C3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 w:type="dxa"/>
          </w:tcPr>
          <w:p w14:paraId="27E1B2E8" w14:textId="77777777" w:rsidR="003C3D73" w:rsidRPr="008B38FE" w:rsidRDefault="003C3D7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2.7</w:t>
            </w:r>
          </w:p>
        </w:tc>
        <w:tc>
          <w:tcPr>
            <w:tcW w:w="7722" w:type="dxa"/>
          </w:tcPr>
          <w:p w14:paraId="18994221"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Aan de hand van het toegangsbeveiligingsbeleid richt de leverancier beveiligde inlogprocedures voor systemen en toepassingen in. De inlogprocedures omvatten ten minste een sterk wachtwoord. </w:t>
            </w:r>
          </w:p>
          <w:p w14:paraId="4A8AA948"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Uit de risicoanalyse volgt of sterke authenticatie (multi-factor authentication) voor specifieke systemen of toepassingen vereist is.</w:t>
            </w:r>
          </w:p>
        </w:tc>
        <w:tc>
          <w:tcPr>
            <w:tcW w:w="1559" w:type="dxa"/>
          </w:tcPr>
          <w:p w14:paraId="448CF8F6"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6F37CBFB"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§9.4.2, §9.4.3</w:t>
            </w:r>
          </w:p>
        </w:tc>
        <w:tc>
          <w:tcPr>
            <w:tcW w:w="1140" w:type="dxa"/>
          </w:tcPr>
          <w:p w14:paraId="2F9C11E6" w14:textId="7FE6DE09"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2195" w:type="dxa"/>
          </w:tcPr>
          <w:p w14:paraId="0067431B" w14:textId="77777777" w:rsidR="003C3D73" w:rsidRPr="008B38FE" w:rsidRDefault="003C3D7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bl>
    <w:p w14:paraId="5C74FA00" w14:textId="6924345B" w:rsidR="004B0FF1" w:rsidRDefault="00542A7F" w:rsidP="00542A7F">
      <w:pPr>
        <w:pStyle w:val="Heading1"/>
        <w:pageBreakBefore w:val="0"/>
        <w:rPr>
          <w:lang w:eastAsia="nl-NL"/>
        </w:rPr>
      </w:pPr>
      <w:r w:rsidRPr="00542A7F">
        <w:rPr>
          <w:lang w:eastAsia="nl-NL"/>
        </w:rPr>
        <w:lastRenderedPageBreak/>
        <w:t>Beheer van technische kwetsbaarheden en anti-malware</w:t>
      </w:r>
    </w:p>
    <w:p w14:paraId="1711EE7E" w14:textId="03425E46" w:rsidR="00542A7F" w:rsidRDefault="00542A7F" w:rsidP="00001DC2">
      <w:pPr>
        <w:spacing w:before="200" w:after="0"/>
        <w:rPr>
          <w:rFonts w:cs="Arial"/>
          <w:color w:val="000000"/>
          <w:lang w:eastAsia="nl-NL"/>
        </w:rPr>
      </w:pPr>
      <w:r>
        <w:rPr>
          <w:rFonts w:cs="Arial"/>
          <w:color w:val="000000"/>
          <w:lang w:eastAsia="nl-NL"/>
        </w:rPr>
        <w:t>Malware kan het netwerk en systemen op diverse manieren</w:t>
      </w:r>
      <w:r w:rsidRPr="00542A7F">
        <w:rPr>
          <w:rFonts w:cs="Arial"/>
          <w:color w:val="000000"/>
          <w:lang w:eastAsia="nl-NL"/>
        </w:rPr>
        <w:t xml:space="preserve"> </w:t>
      </w:r>
      <w:r>
        <w:rPr>
          <w:rFonts w:cs="Arial"/>
          <w:color w:val="000000"/>
          <w:lang w:eastAsia="nl-NL"/>
        </w:rPr>
        <w:t>binnendringen en misbruik maken van kwetsbaarheden. Het gebruik van antivirussoftware en het regelmatig testen van systemen en applicaties op kwetsbaarheden vermindert deze dreiging.</w:t>
      </w:r>
    </w:p>
    <w:p w14:paraId="25F70555" w14:textId="77777777" w:rsidR="00542A7F" w:rsidRDefault="00542A7F" w:rsidP="00001DC2">
      <w:pPr>
        <w:spacing w:before="200" w:after="0"/>
        <w:rPr>
          <w:rFonts w:cs="Arial"/>
          <w:color w:val="000000"/>
          <w:lang w:eastAsia="nl-NL"/>
        </w:rPr>
      </w:pPr>
    </w:p>
    <w:tbl>
      <w:tblPr>
        <w:tblStyle w:val="GridTable4"/>
        <w:tblW w:w="13034" w:type="dxa"/>
        <w:tblLook w:val="04A0" w:firstRow="1" w:lastRow="0" w:firstColumn="1" w:lastColumn="0" w:noHBand="0" w:noVBand="1"/>
      </w:tblPr>
      <w:tblGrid>
        <w:gridCol w:w="732"/>
        <w:gridCol w:w="7036"/>
        <w:gridCol w:w="1843"/>
        <w:gridCol w:w="1429"/>
        <w:gridCol w:w="1994"/>
      </w:tblGrid>
      <w:tr w:rsidR="008B38FE" w:rsidRPr="000E45F3" w14:paraId="51925BA3" w14:textId="7FA49F84" w:rsidTr="008B38F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29B5564A" w14:textId="77777777" w:rsidR="003C3D73" w:rsidRPr="007171F3" w:rsidRDefault="003C3D73" w:rsidP="00450BBA">
            <w:pPr>
              <w:spacing w:after="0"/>
              <w:rPr>
                <w:rFonts w:cs="Arial"/>
                <w:b w:val="0"/>
              </w:rPr>
            </w:pPr>
            <w:r w:rsidRPr="007171F3">
              <w:rPr>
                <w:rFonts w:cs="Arial"/>
                <w:b w:val="0"/>
              </w:rPr>
              <w:t>#</w:t>
            </w:r>
          </w:p>
        </w:tc>
        <w:tc>
          <w:tcPr>
            <w:tcW w:w="7036" w:type="dxa"/>
            <w:tcBorders>
              <w:bottom w:val="single" w:sz="4" w:space="0" w:color="666666" w:themeColor="text1" w:themeTint="99"/>
            </w:tcBorders>
          </w:tcPr>
          <w:p w14:paraId="2CBC2369" w14:textId="77777777" w:rsidR="003C3D73" w:rsidRPr="007171F3" w:rsidRDefault="003C3D7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sidRPr="007171F3">
              <w:rPr>
                <w:rFonts w:cs="Arial"/>
                <w:b w:val="0"/>
              </w:rPr>
              <w:t>Maatregel</w:t>
            </w:r>
          </w:p>
        </w:tc>
        <w:tc>
          <w:tcPr>
            <w:tcW w:w="1843" w:type="dxa"/>
            <w:tcBorders>
              <w:bottom w:val="single" w:sz="4" w:space="0" w:color="666666" w:themeColor="text1" w:themeTint="99"/>
            </w:tcBorders>
          </w:tcPr>
          <w:p w14:paraId="48A73468" w14:textId="77777777" w:rsidR="003C3D73" w:rsidRPr="007171F3" w:rsidRDefault="003C3D7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sidRPr="007171F3">
              <w:rPr>
                <w:rFonts w:cs="Arial"/>
                <w:b w:val="0"/>
              </w:rPr>
              <w:t>Referentie</w:t>
            </w:r>
          </w:p>
        </w:tc>
        <w:tc>
          <w:tcPr>
            <w:tcW w:w="1429" w:type="dxa"/>
            <w:tcBorders>
              <w:bottom w:val="single" w:sz="4" w:space="0" w:color="666666" w:themeColor="text1" w:themeTint="99"/>
            </w:tcBorders>
          </w:tcPr>
          <w:p w14:paraId="3D03D7A6" w14:textId="43EB83E2" w:rsidR="003C3D73" w:rsidRPr="007171F3" w:rsidRDefault="003C3D7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Status</w:t>
            </w:r>
          </w:p>
        </w:tc>
        <w:tc>
          <w:tcPr>
            <w:tcW w:w="1994" w:type="dxa"/>
            <w:tcBorders>
              <w:bottom w:val="single" w:sz="4" w:space="0" w:color="666666" w:themeColor="text1" w:themeTint="99"/>
            </w:tcBorders>
          </w:tcPr>
          <w:p w14:paraId="69889A5D" w14:textId="54971AC9" w:rsidR="003C3D73" w:rsidRPr="007171F3" w:rsidRDefault="003C3D7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Toelichting</w:t>
            </w:r>
          </w:p>
        </w:tc>
      </w:tr>
      <w:tr w:rsidR="003C3D73" w:rsidRPr="002F3293" w14:paraId="0C9C2B92" w14:textId="3896D51A" w:rsidTr="008B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shd w:val="clear" w:color="auto" w:fill="7F7F7F" w:themeFill="text1" w:themeFillTint="80"/>
          </w:tcPr>
          <w:p w14:paraId="09099111" w14:textId="77777777" w:rsidR="003C3D73" w:rsidRPr="008B38FE" w:rsidRDefault="003C3D73" w:rsidP="007171F3">
            <w:pPr>
              <w:spacing w:after="0" w:line="240" w:lineRule="auto"/>
              <w:rPr>
                <w:rFonts w:asciiTheme="minorHAnsi" w:hAnsiTheme="minorHAnsi" w:cs="Arial"/>
                <w:color w:val="FFFFFF" w:themeColor="background1"/>
                <w:sz w:val="18"/>
                <w:szCs w:val="18"/>
              </w:rPr>
            </w:pPr>
          </w:p>
        </w:tc>
        <w:tc>
          <w:tcPr>
            <w:tcW w:w="8879" w:type="dxa"/>
            <w:gridSpan w:val="2"/>
            <w:shd w:val="clear" w:color="auto" w:fill="7F7F7F" w:themeFill="text1" w:themeFillTint="80"/>
          </w:tcPr>
          <w:p w14:paraId="4F0EFA11" w14:textId="77777777" w:rsidR="003C3D73" w:rsidRPr="008B38FE" w:rsidRDefault="003C3D73" w:rsidP="007171F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r w:rsidRPr="008B38FE">
              <w:rPr>
                <w:rFonts w:asciiTheme="minorHAnsi" w:hAnsiTheme="minorHAnsi" w:cs="Arial"/>
                <w:b/>
                <w:color w:val="FFFFFF" w:themeColor="background1"/>
                <w:sz w:val="18"/>
                <w:szCs w:val="18"/>
              </w:rPr>
              <w:t>Kwetsbaarhedenbeheer</w:t>
            </w:r>
          </w:p>
        </w:tc>
        <w:tc>
          <w:tcPr>
            <w:tcW w:w="1429" w:type="dxa"/>
            <w:shd w:val="clear" w:color="auto" w:fill="7F7F7F" w:themeFill="text1" w:themeFillTint="80"/>
          </w:tcPr>
          <w:p w14:paraId="39E7E9AE" w14:textId="77777777" w:rsidR="003C3D73" w:rsidRPr="008B38FE" w:rsidRDefault="003C3D73" w:rsidP="007171F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p>
        </w:tc>
        <w:tc>
          <w:tcPr>
            <w:tcW w:w="1994" w:type="dxa"/>
            <w:shd w:val="clear" w:color="auto" w:fill="7F7F7F" w:themeFill="text1" w:themeFillTint="80"/>
          </w:tcPr>
          <w:p w14:paraId="0D7A0ED4" w14:textId="77777777" w:rsidR="003C3D73" w:rsidRPr="008B38FE" w:rsidRDefault="003C3D73" w:rsidP="007171F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p>
        </w:tc>
      </w:tr>
      <w:tr w:rsidR="008B38FE" w14:paraId="2DDE80D2" w14:textId="1E97A054" w:rsidTr="008B38FE">
        <w:tc>
          <w:tcPr>
            <w:cnfStyle w:val="001000000000" w:firstRow="0" w:lastRow="0" w:firstColumn="1" w:lastColumn="0" w:oddVBand="0" w:evenVBand="0" w:oddHBand="0" w:evenHBand="0" w:firstRowFirstColumn="0" w:firstRowLastColumn="0" w:lastRowFirstColumn="0" w:lastRowLastColumn="0"/>
            <w:tcW w:w="732" w:type="dxa"/>
          </w:tcPr>
          <w:p w14:paraId="5E403C94" w14:textId="57D72DD0" w:rsidR="003C3D73" w:rsidRPr="008B38FE" w:rsidRDefault="003C3D7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3.1</w:t>
            </w:r>
          </w:p>
        </w:tc>
        <w:tc>
          <w:tcPr>
            <w:tcW w:w="7036" w:type="dxa"/>
          </w:tcPr>
          <w:p w14:paraId="191A1339"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 xml:space="preserve">De leverancier richt een proces in ter voorkoming van het benutten van technische kwetsbaarheden. </w:t>
            </w:r>
          </w:p>
          <w:p w14:paraId="40E87205"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p w14:paraId="69B2D9B2" w14:textId="77777777" w:rsidR="003C3D73" w:rsidRPr="008B38FE" w:rsidRDefault="003C3D73" w:rsidP="00E62EA9">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Het proces omvat in ieder geval:</w:t>
            </w:r>
          </w:p>
          <w:p w14:paraId="59EF9874" w14:textId="77777777" w:rsidR="003C3D73" w:rsidRPr="008B38FE" w:rsidRDefault="003C3D73" w:rsidP="00AA538C">
            <w:pPr>
              <w:pStyle w:val="ListParagraph"/>
              <w:numPr>
                <w:ilvl w:val="0"/>
                <w:numId w:val="28"/>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het regelmatig up-to-date houden van systemen en software (patching),</w:t>
            </w:r>
          </w:p>
          <w:p w14:paraId="3092FD7E" w14:textId="77777777" w:rsidR="003C3D73" w:rsidRPr="008B38FE" w:rsidRDefault="003C3D73" w:rsidP="00AA538C">
            <w:pPr>
              <w:pStyle w:val="ListParagraph"/>
              <w:numPr>
                <w:ilvl w:val="0"/>
                <w:numId w:val="28"/>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het tijdig vergaren van informatie over nieuwe kwetsbaarheden (intelligence),</w:t>
            </w:r>
          </w:p>
          <w:p w14:paraId="6DD442C7" w14:textId="7BE8ACF1" w:rsidR="003C3D73" w:rsidRPr="008B38FE" w:rsidRDefault="003C3D73" w:rsidP="00AA538C">
            <w:pPr>
              <w:pStyle w:val="ListParagraph"/>
              <w:numPr>
                <w:ilvl w:val="0"/>
                <w:numId w:val="28"/>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het controleren van netwerk en systemen op kwetsbaarheden (vulnerability assessment),</w:t>
            </w:r>
          </w:p>
          <w:p w14:paraId="47D67B3F" w14:textId="77777777" w:rsidR="003C3D73" w:rsidRPr="008B38FE" w:rsidRDefault="003C3D73" w:rsidP="00AA538C">
            <w:pPr>
              <w:pStyle w:val="ListParagraph"/>
              <w:numPr>
                <w:ilvl w:val="0"/>
                <w:numId w:val="28"/>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het testen van webapplicaties, op regelmatige basis, op kwetsbaarheden (Web application scanning),</w:t>
            </w:r>
          </w:p>
          <w:p w14:paraId="601DE373" w14:textId="77777777" w:rsidR="003C3D73" w:rsidRPr="008B38FE" w:rsidRDefault="003C3D73" w:rsidP="00AA538C">
            <w:pPr>
              <w:pStyle w:val="ListParagraph"/>
              <w:numPr>
                <w:ilvl w:val="0"/>
                <w:numId w:val="28"/>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het gebruik van antivirussoftware die dagelijks wordt geactualiseerd,</w:t>
            </w:r>
          </w:p>
          <w:p w14:paraId="2A5622D4" w14:textId="5218D13E" w:rsidR="003C3D73" w:rsidRPr="008B38FE" w:rsidRDefault="003C3D73" w:rsidP="00AA538C">
            <w:pPr>
              <w:pStyle w:val="ListParagraph"/>
              <w:numPr>
                <w:ilvl w:val="0"/>
                <w:numId w:val="28"/>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beperkingen op het installeren van (ongeautoriseerde) software.</w:t>
            </w:r>
          </w:p>
        </w:tc>
        <w:tc>
          <w:tcPr>
            <w:tcW w:w="1843" w:type="dxa"/>
          </w:tcPr>
          <w:p w14:paraId="4582DEEE"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ISO 27002:2013</w:t>
            </w:r>
          </w:p>
          <w:p w14:paraId="48AF27FA"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§12.2, §12.6.1, §12.6.2 en §14.2</w:t>
            </w:r>
          </w:p>
          <w:p w14:paraId="029D81A8"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ISO 27033-1:2015</w:t>
            </w:r>
          </w:p>
          <w:p w14:paraId="6F83C9B8"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§8.3</w:t>
            </w:r>
          </w:p>
        </w:tc>
        <w:tc>
          <w:tcPr>
            <w:tcW w:w="1429" w:type="dxa"/>
          </w:tcPr>
          <w:p w14:paraId="4492CD5C" w14:textId="56E10803"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tc>
        <w:tc>
          <w:tcPr>
            <w:tcW w:w="1994" w:type="dxa"/>
          </w:tcPr>
          <w:p w14:paraId="39EE6AAB" w14:textId="77777777" w:rsidR="003C3D73" w:rsidRPr="008B38FE" w:rsidRDefault="003C3D7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tc>
      </w:tr>
      <w:tr w:rsidR="008B38FE" w14:paraId="3453B1BE" w14:textId="0A7EE5C9" w:rsidTr="008B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shd w:val="clear" w:color="auto" w:fill="D99594" w:themeFill="accent2" w:themeFillTint="99"/>
          </w:tcPr>
          <w:p w14:paraId="0EEE6ED5" w14:textId="75AB924F" w:rsidR="003C3D73" w:rsidRPr="008B38FE" w:rsidRDefault="003C3D73" w:rsidP="008A14E6">
            <w:pPr>
              <w:spacing w:after="0" w:line="240" w:lineRule="auto"/>
              <w:rPr>
                <w:rFonts w:asciiTheme="minorHAnsi" w:hAnsiTheme="minorHAnsi" w:cs="Arial"/>
                <w:b w:val="0"/>
                <w:color w:val="000000"/>
                <w:sz w:val="18"/>
                <w:szCs w:val="18"/>
              </w:rPr>
            </w:pPr>
            <w:r w:rsidRPr="008B38FE">
              <w:rPr>
                <w:rFonts w:asciiTheme="minorHAnsi" w:hAnsiTheme="minorHAnsi" w:cs="Arial"/>
                <w:b w:val="0"/>
                <w:color w:val="000000"/>
                <w:sz w:val="18"/>
                <w:szCs w:val="18"/>
              </w:rPr>
              <w:t>3.1</w:t>
            </w:r>
          </w:p>
          <w:p w14:paraId="6C1EA2DD" w14:textId="77777777" w:rsidR="003C3D73" w:rsidRPr="008B38FE" w:rsidRDefault="003C3D73" w:rsidP="008A14E6">
            <w:pPr>
              <w:spacing w:after="0" w:line="240" w:lineRule="auto"/>
              <w:rPr>
                <w:rFonts w:asciiTheme="minorHAnsi" w:hAnsiTheme="minorHAnsi" w:cs="Arial"/>
                <w:b w:val="0"/>
                <w:color w:val="000000"/>
                <w:sz w:val="18"/>
                <w:szCs w:val="18"/>
              </w:rPr>
            </w:pPr>
            <w:r w:rsidRPr="008B38FE">
              <w:rPr>
                <w:rFonts w:asciiTheme="minorHAnsi" w:hAnsiTheme="minorHAnsi" w:cs="Arial"/>
                <w:b w:val="0"/>
                <w:color w:val="000000"/>
                <w:sz w:val="18"/>
                <w:szCs w:val="18"/>
              </w:rPr>
              <w:t>HOOG</w:t>
            </w:r>
          </w:p>
        </w:tc>
        <w:tc>
          <w:tcPr>
            <w:tcW w:w="7036" w:type="dxa"/>
            <w:shd w:val="clear" w:color="auto" w:fill="D99594" w:themeFill="accent2" w:themeFillTint="99"/>
          </w:tcPr>
          <w:p w14:paraId="3ABA5B45" w14:textId="77777777" w:rsidR="003C3D73" w:rsidRPr="008B38FE" w:rsidRDefault="003C3D73" w:rsidP="00AA538C">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 xml:space="preserve">De leverancier richt een proces in ter voorkoming van het benutten van technische kwetsbaarheden. </w:t>
            </w:r>
          </w:p>
          <w:p w14:paraId="1A4C33D8" w14:textId="77777777" w:rsidR="003C3D73" w:rsidRPr="008B38FE" w:rsidRDefault="003C3D73" w:rsidP="00AA538C">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p w14:paraId="786DADC5" w14:textId="77777777" w:rsidR="003C3D73" w:rsidRPr="008B38FE" w:rsidRDefault="003C3D73" w:rsidP="00AA538C">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Het proces omvat in ieder geval:</w:t>
            </w:r>
          </w:p>
          <w:p w14:paraId="290D7EBF" w14:textId="77777777" w:rsidR="003C3D73" w:rsidRPr="008B38FE" w:rsidRDefault="003C3D73" w:rsidP="00AA538C">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het regelmatig up-to-date houden van systemen en software (patching),</w:t>
            </w:r>
          </w:p>
          <w:p w14:paraId="1DCFD291" w14:textId="77777777" w:rsidR="003C3D73" w:rsidRPr="008B38FE" w:rsidRDefault="003C3D73" w:rsidP="00AA538C">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lang w:eastAsia="nl-NL"/>
              </w:rPr>
            </w:pPr>
            <w:r w:rsidRPr="008B38FE">
              <w:rPr>
                <w:rFonts w:asciiTheme="minorHAnsi" w:hAnsiTheme="minorHAnsi" w:cs="Arial"/>
                <w:color w:val="000000"/>
                <w:sz w:val="18"/>
                <w:szCs w:val="18"/>
                <w:lang w:eastAsia="nl-NL"/>
              </w:rPr>
              <w:t>het tijdig vergaren van informatie over nieuwe kwetsbaarheden (intelligence),</w:t>
            </w:r>
          </w:p>
          <w:p w14:paraId="2BB80A53" w14:textId="77777777" w:rsidR="003C3D73" w:rsidRPr="008B38FE" w:rsidRDefault="003C3D73" w:rsidP="00AA538C">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lang w:eastAsia="nl-NL"/>
              </w:rPr>
            </w:pPr>
            <w:r w:rsidRPr="008B38FE">
              <w:rPr>
                <w:rFonts w:ascii="Calibri" w:hAnsi="Calibri"/>
                <w:color w:val="000000"/>
                <w:sz w:val="18"/>
                <w:szCs w:val="18"/>
                <w:lang w:eastAsia="nl-NL"/>
              </w:rPr>
              <w:t xml:space="preserve">het </w:t>
            </w:r>
            <w:r w:rsidRPr="008B38FE">
              <w:rPr>
                <w:rFonts w:ascii="Calibri" w:hAnsi="Calibri"/>
                <w:i/>
                <w:color w:val="000000"/>
                <w:sz w:val="18"/>
                <w:szCs w:val="18"/>
                <w:lang w:eastAsia="nl-NL"/>
              </w:rPr>
              <w:t>geautomatiseerd</w:t>
            </w:r>
            <w:r w:rsidRPr="008B38FE">
              <w:rPr>
                <w:rFonts w:ascii="Calibri" w:hAnsi="Calibri"/>
                <w:color w:val="000000"/>
                <w:sz w:val="18"/>
                <w:szCs w:val="18"/>
                <w:lang w:eastAsia="nl-NL"/>
              </w:rPr>
              <w:t xml:space="preserve"> controleren van programmapakketten en infrastructurele programmatuur op bekende zwakheden,</w:t>
            </w:r>
          </w:p>
          <w:p w14:paraId="5284A55C" w14:textId="77777777" w:rsidR="003C3D73" w:rsidRPr="008B38FE" w:rsidRDefault="003C3D73" w:rsidP="00AA538C">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lang w:eastAsia="nl-NL"/>
              </w:rPr>
            </w:pPr>
            <w:r w:rsidRPr="008B38FE">
              <w:rPr>
                <w:rFonts w:asciiTheme="minorHAnsi" w:hAnsiTheme="minorHAnsi" w:cs="Arial"/>
                <w:color w:val="000000"/>
                <w:sz w:val="18"/>
                <w:szCs w:val="18"/>
                <w:lang w:eastAsia="nl-NL"/>
              </w:rPr>
              <w:t xml:space="preserve">het </w:t>
            </w:r>
            <w:r w:rsidRPr="008B38FE">
              <w:rPr>
                <w:rFonts w:asciiTheme="minorHAnsi" w:hAnsiTheme="minorHAnsi" w:cs="Arial"/>
                <w:i/>
                <w:color w:val="000000"/>
                <w:sz w:val="18"/>
                <w:szCs w:val="18"/>
                <w:lang w:eastAsia="nl-NL"/>
              </w:rPr>
              <w:t>continu</w:t>
            </w:r>
            <w:r w:rsidRPr="008B38FE">
              <w:rPr>
                <w:rFonts w:asciiTheme="minorHAnsi" w:hAnsiTheme="minorHAnsi" w:cs="Arial"/>
                <w:color w:val="000000"/>
                <w:sz w:val="18"/>
                <w:szCs w:val="18"/>
                <w:lang w:eastAsia="nl-NL"/>
              </w:rPr>
              <w:t xml:space="preserve"> testen van webapplicaties op kwetsbaarheden (Web application scanning) </w:t>
            </w:r>
            <w:r w:rsidRPr="008B38FE">
              <w:rPr>
                <w:rFonts w:asciiTheme="minorHAnsi" w:hAnsiTheme="minorHAnsi" w:cs="Arial"/>
                <w:i/>
                <w:color w:val="000000"/>
                <w:sz w:val="18"/>
                <w:szCs w:val="18"/>
                <w:lang w:eastAsia="nl-NL"/>
              </w:rPr>
              <w:t>en het uitvoeren van een penetratietest ten minste eenmaal per jaar</w:t>
            </w:r>
            <w:r w:rsidRPr="008B38FE">
              <w:rPr>
                <w:rFonts w:asciiTheme="minorHAnsi" w:hAnsiTheme="minorHAnsi" w:cs="Arial"/>
                <w:color w:val="000000"/>
                <w:sz w:val="18"/>
                <w:szCs w:val="18"/>
                <w:lang w:eastAsia="nl-NL"/>
              </w:rPr>
              <w:t>,</w:t>
            </w:r>
          </w:p>
          <w:p w14:paraId="41E96652" w14:textId="77777777" w:rsidR="003C3D73" w:rsidRPr="008B38FE" w:rsidRDefault="003C3D73" w:rsidP="00AA538C">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lang w:eastAsia="nl-NL"/>
              </w:rPr>
            </w:pPr>
            <w:r w:rsidRPr="008B38FE">
              <w:rPr>
                <w:rFonts w:ascii="Calibri" w:hAnsi="Calibri"/>
                <w:color w:val="000000"/>
                <w:sz w:val="18"/>
                <w:szCs w:val="18"/>
                <w:lang w:eastAsia="nl-NL"/>
              </w:rPr>
              <w:t xml:space="preserve">het gebruik van </w:t>
            </w:r>
            <w:r w:rsidRPr="008B38FE">
              <w:rPr>
                <w:rFonts w:ascii="Calibri" w:hAnsi="Calibri"/>
                <w:i/>
                <w:color w:val="000000"/>
                <w:sz w:val="18"/>
                <w:szCs w:val="18"/>
                <w:lang w:eastAsia="nl-NL"/>
              </w:rPr>
              <w:t>anti-malware (inclusief anti-virus) software van verschillende aanbieders met verschillende engines</w:t>
            </w:r>
            <w:r w:rsidRPr="008B38FE">
              <w:rPr>
                <w:rFonts w:ascii="Calibri" w:hAnsi="Calibri"/>
                <w:color w:val="000000"/>
                <w:sz w:val="18"/>
                <w:szCs w:val="18"/>
                <w:lang w:eastAsia="nl-NL"/>
              </w:rPr>
              <w:t xml:space="preserve"> die dagelijks worden geactualiseerd,</w:t>
            </w:r>
          </w:p>
          <w:p w14:paraId="6E5AEF0B" w14:textId="5974FA3F" w:rsidR="003C3D73" w:rsidRPr="008B38FE" w:rsidRDefault="003C3D73" w:rsidP="00AA538C">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lang w:eastAsia="nl-NL"/>
              </w:rPr>
            </w:pPr>
            <w:r w:rsidRPr="008B38FE">
              <w:rPr>
                <w:rFonts w:asciiTheme="minorHAnsi" w:hAnsiTheme="minorHAnsi" w:cs="Arial"/>
                <w:color w:val="000000"/>
                <w:sz w:val="18"/>
                <w:szCs w:val="18"/>
                <w:lang w:eastAsia="nl-NL"/>
              </w:rPr>
              <w:t>beperkingen op het installeren van (ongeautoriseerde) software.</w:t>
            </w:r>
          </w:p>
        </w:tc>
        <w:tc>
          <w:tcPr>
            <w:tcW w:w="1843" w:type="dxa"/>
            <w:shd w:val="clear" w:color="auto" w:fill="D99594" w:themeFill="accent2" w:themeFillTint="99"/>
          </w:tcPr>
          <w:p w14:paraId="39E95015" w14:textId="77777777" w:rsidR="003C3D73" w:rsidRPr="008B38FE" w:rsidRDefault="003C3D73" w:rsidP="00AA538C">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ISO 27002:2013</w:t>
            </w:r>
          </w:p>
          <w:p w14:paraId="46B20B7F" w14:textId="77777777" w:rsidR="003C3D73" w:rsidRPr="008B38FE" w:rsidRDefault="003C3D73" w:rsidP="00AA538C">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§12.2, §12.6.1, §12.6.2 en §14.2</w:t>
            </w:r>
          </w:p>
          <w:p w14:paraId="376FE71F" w14:textId="77777777" w:rsidR="003C3D73" w:rsidRPr="008B38FE" w:rsidRDefault="003C3D73" w:rsidP="00AA538C">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ISO 27033-1:2015</w:t>
            </w:r>
          </w:p>
          <w:p w14:paraId="31917574" w14:textId="5B025DE3" w:rsidR="003C3D73" w:rsidRPr="008B38FE" w:rsidRDefault="003C3D73" w:rsidP="00AA538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§8.3</w:t>
            </w:r>
          </w:p>
        </w:tc>
        <w:tc>
          <w:tcPr>
            <w:tcW w:w="1429" w:type="dxa"/>
            <w:shd w:val="clear" w:color="auto" w:fill="D99594" w:themeFill="accent2" w:themeFillTint="99"/>
          </w:tcPr>
          <w:p w14:paraId="144FBF7B" w14:textId="11FD47F7" w:rsidR="003C3D73" w:rsidRPr="008B38FE" w:rsidRDefault="003C3D73" w:rsidP="00AA538C">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c>
          <w:tcPr>
            <w:tcW w:w="1994" w:type="dxa"/>
            <w:shd w:val="clear" w:color="auto" w:fill="D99594" w:themeFill="accent2" w:themeFillTint="99"/>
          </w:tcPr>
          <w:p w14:paraId="41420452" w14:textId="77777777" w:rsidR="003C3D73" w:rsidRPr="008B38FE" w:rsidRDefault="003C3D73" w:rsidP="00AA538C">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r>
      <w:tr w:rsidR="003C3D73" w:rsidRPr="00675873" w14:paraId="475D4775" w14:textId="1CAC8F63" w:rsidTr="008B38FE">
        <w:tc>
          <w:tcPr>
            <w:cnfStyle w:val="001000000000" w:firstRow="0" w:lastRow="0" w:firstColumn="1" w:lastColumn="0" w:oddVBand="0" w:evenVBand="0" w:oddHBand="0" w:evenHBand="0" w:firstRowFirstColumn="0" w:firstRowLastColumn="0" w:lastRowFirstColumn="0" w:lastRowLastColumn="0"/>
            <w:tcW w:w="732" w:type="dxa"/>
            <w:shd w:val="clear" w:color="auto" w:fill="7F7F7F" w:themeFill="text1" w:themeFillTint="80"/>
          </w:tcPr>
          <w:p w14:paraId="6CC251A2" w14:textId="77777777" w:rsidR="003C3D73" w:rsidRPr="008B38FE" w:rsidRDefault="003C3D73" w:rsidP="008A14E6">
            <w:pPr>
              <w:spacing w:after="0"/>
              <w:rPr>
                <w:rFonts w:asciiTheme="minorHAnsi" w:hAnsiTheme="minorHAnsi" w:cs="Arial"/>
                <w:color w:val="FFFFFF" w:themeColor="background1"/>
                <w:sz w:val="18"/>
                <w:szCs w:val="18"/>
              </w:rPr>
            </w:pPr>
          </w:p>
        </w:tc>
        <w:tc>
          <w:tcPr>
            <w:tcW w:w="8879" w:type="dxa"/>
            <w:gridSpan w:val="2"/>
            <w:shd w:val="clear" w:color="auto" w:fill="7F7F7F" w:themeFill="text1" w:themeFillTint="80"/>
          </w:tcPr>
          <w:p w14:paraId="75C2A5BD" w14:textId="5942B904" w:rsidR="003C3D73" w:rsidRPr="008B38FE" w:rsidRDefault="003C3D7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FFFFFF" w:themeColor="background1"/>
                <w:sz w:val="18"/>
                <w:szCs w:val="18"/>
              </w:rPr>
            </w:pPr>
            <w:r w:rsidRPr="008B38FE">
              <w:rPr>
                <w:rFonts w:asciiTheme="minorHAnsi" w:hAnsiTheme="minorHAnsi" w:cs="Arial"/>
                <w:b/>
                <w:color w:val="FFFFFF" w:themeColor="background1"/>
                <w:sz w:val="18"/>
                <w:szCs w:val="18"/>
              </w:rPr>
              <w:t>Intrusion Detection</w:t>
            </w:r>
          </w:p>
        </w:tc>
        <w:tc>
          <w:tcPr>
            <w:tcW w:w="1429" w:type="dxa"/>
            <w:shd w:val="clear" w:color="auto" w:fill="7F7F7F" w:themeFill="text1" w:themeFillTint="80"/>
          </w:tcPr>
          <w:p w14:paraId="6778CE4A" w14:textId="77777777" w:rsidR="003C3D73" w:rsidRPr="008B38FE" w:rsidRDefault="003C3D7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FFFFFF" w:themeColor="background1"/>
                <w:sz w:val="18"/>
                <w:szCs w:val="18"/>
              </w:rPr>
            </w:pPr>
          </w:p>
        </w:tc>
        <w:tc>
          <w:tcPr>
            <w:tcW w:w="1994" w:type="dxa"/>
            <w:shd w:val="clear" w:color="auto" w:fill="7F7F7F" w:themeFill="text1" w:themeFillTint="80"/>
          </w:tcPr>
          <w:p w14:paraId="23059B63" w14:textId="77777777" w:rsidR="003C3D73" w:rsidRPr="008B38FE" w:rsidRDefault="003C3D73" w:rsidP="008A14E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FFFFFF" w:themeColor="background1"/>
                <w:sz w:val="18"/>
                <w:szCs w:val="18"/>
              </w:rPr>
            </w:pPr>
          </w:p>
        </w:tc>
      </w:tr>
      <w:tr w:rsidR="008B38FE" w14:paraId="3A90C8B6" w14:textId="2926F750" w:rsidTr="008B3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24A162A3" w14:textId="525FB7E0" w:rsidR="003C3D73" w:rsidRPr="008B38FE" w:rsidRDefault="003C3D73" w:rsidP="008A14E6">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lastRenderedPageBreak/>
              <w:t>3.2</w:t>
            </w:r>
          </w:p>
        </w:tc>
        <w:tc>
          <w:tcPr>
            <w:tcW w:w="7036" w:type="dxa"/>
            <w:tcBorders>
              <w:bottom w:val="single" w:sz="4" w:space="0" w:color="666666" w:themeColor="text1" w:themeTint="99"/>
            </w:tcBorders>
          </w:tcPr>
          <w:p w14:paraId="5E51CC4C" w14:textId="77777777" w:rsidR="003C3D73" w:rsidRPr="008B38FE" w:rsidRDefault="003C3D7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De leverancier inspecteert gegevensverkeer vanuit externe of niet-vertrouwde netwerken real-time.</w:t>
            </w:r>
          </w:p>
        </w:tc>
        <w:tc>
          <w:tcPr>
            <w:tcW w:w="1843" w:type="dxa"/>
            <w:tcBorders>
              <w:bottom w:val="single" w:sz="4" w:space="0" w:color="666666" w:themeColor="text1" w:themeTint="99"/>
            </w:tcBorders>
          </w:tcPr>
          <w:p w14:paraId="03176B96" w14:textId="77777777" w:rsidR="003C3D73" w:rsidRPr="008B38FE" w:rsidRDefault="003C3D7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ISO 27033-1:2015</w:t>
            </w:r>
          </w:p>
          <w:p w14:paraId="34870327" w14:textId="77777777" w:rsidR="003C3D73" w:rsidRPr="008B38FE" w:rsidRDefault="003C3D7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§8.5 en §8.6</w:t>
            </w:r>
          </w:p>
        </w:tc>
        <w:tc>
          <w:tcPr>
            <w:tcW w:w="1429" w:type="dxa"/>
            <w:tcBorders>
              <w:bottom w:val="single" w:sz="4" w:space="0" w:color="666666" w:themeColor="text1" w:themeTint="99"/>
            </w:tcBorders>
          </w:tcPr>
          <w:p w14:paraId="23B792DC" w14:textId="3CBE7F49" w:rsidR="003C3D73" w:rsidRPr="008B38FE" w:rsidRDefault="003C3D7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c>
          <w:tcPr>
            <w:tcW w:w="1994" w:type="dxa"/>
            <w:tcBorders>
              <w:bottom w:val="single" w:sz="4" w:space="0" w:color="666666" w:themeColor="text1" w:themeTint="99"/>
            </w:tcBorders>
          </w:tcPr>
          <w:p w14:paraId="56EA8370" w14:textId="77777777" w:rsidR="003C3D73" w:rsidRPr="008B38FE" w:rsidRDefault="003C3D7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r>
      <w:tr w:rsidR="008B38FE" w14:paraId="28F2A3AE" w14:textId="7DC1558C" w:rsidTr="008B38FE">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shd w:val="clear" w:color="auto" w:fill="D99594" w:themeFill="accent2" w:themeFillTint="99"/>
          </w:tcPr>
          <w:p w14:paraId="33BCF754" w14:textId="3EFE9EB0" w:rsidR="003C3D73" w:rsidRPr="008B38FE" w:rsidRDefault="003C3D73" w:rsidP="008A14E6">
            <w:pPr>
              <w:spacing w:after="0" w:line="240" w:lineRule="auto"/>
              <w:rPr>
                <w:rFonts w:asciiTheme="minorHAnsi" w:hAnsiTheme="minorHAnsi" w:cs="Arial"/>
                <w:b w:val="0"/>
                <w:color w:val="000000"/>
                <w:sz w:val="18"/>
                <w:szCs w:val="18"/>
              </w:rPr>
            </w:pPr>
            <w:r w:rsidRPr="008B38FE">
              <w:rPr>
                <w:rFonts w:asciiTheme="minorHAnsi" w:hAnsiTheme="minorHAnsi" w:cs="Arial"/>
                <w:b w:val="0"/>
                <w:color w:val="000000"/>
                <w:sz w:val="18"/>
                <w:szCs w:val="18"/>
              </w:rPr>
              <w:t>3.3</w:t>
            </w:r>
          </w:p>
          <w:p w14:paraId="73691672" w14:textId="77777777" w:rsidR="003C3D73" w:rsidRPr="008B38FE" w:rsidRDefault="003C3D73" w:rsidP="008A14E6">
            <w:pPr>
              <w:spacing w:after="0" w:line="240" w:lineRule="auto"/>
              <w:rPr>
                <w:rFonts w:asciiTheme="minorHAnsi" w:hAnsiTheme="minorHAnsi" w:cs="Arial"/>
                <w:b w:val="0"/>
                <w:color w:val="000000"/>
                <w:sz w:val="18"/>
                <w:szCs w:val="18"/>
              </w:rPr>
            </w:pPr>
            <w:r w:rsidRPr="008B38FE">
              <w:rPr>
                <w:rFonts w:asciiTheme="minorHAnsi" w:hAnsiTheme="minorHAnsi" w:cs="Arial"/>
                <w:b w:val="0"/>
                <w:color w:val="000000"/>
                <w:sz w:val="18"/>
                <w:szCs w:val="18"/>
              </w:rPr>
              <w:t>HOOG</w:t>
            </w:r>
          </w:p>
        </w:tc>
        <w:tc>
          <w:tcPr>
            <w:tcW w:w="7036" w:type="dxa"/>
            <w:tcBorders>
              <w:bottom w:val="single" w:sz="4" w:space="0" w:color="666666" w:themeColor="text1" w:themeTint="99"/>
            </w:tcBorders>
            <w:shd w:val="clear" w:color="auto" w:fill="D99594" w:themeFill="accent2" w:themeFillTint="99"/>
          </w:tcPr>
          <w:p w14:paraId="218F17D1" w14:textId="11DFB671" w:rsidR="003C3D73" w:rsidRPr="008B38FE" w:rsidRDefault="003C3D73" w:rsidP="00E62EA9">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lang w:eastAsia="nl-NL"/>
              </w:rPr>
              <w:t>De leverancier heeft een Intrusion Detection/Prevention Systeem dat netwerk gebaseerde aanvallen herkent op basis van signatures, protocol validatie en anomaly detection.</w:t>
            </w:r>
          </w:p>
        </w:tc>
        <w:tc>
          <w:tcPr>
            <w:tcW w:w="1843" w:type="dxa"/>
            <w:tcBorders>
              <w:bottom w:val="single" w:sz="4" w:space="0" w:color="666666" w:themeColor="text1" w:themeTint="99"/>
            </w:tcBorders>
            <w:shd w:val="clear" w:color="auto" w:fill="D99594" w:themeFill="accent2" w:themeFillTint="99"/>
          </w:tcPr>
          <w:p w14:paraId="09915EE8" w14:textId="77777777" w:rsidR="003C3D73" w:rsidRPr="008B38FE" w:rsidRDefault="003C3D73" w:rsidP="008A14E6">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1429" w:type="dxa"/>
            <w:tcBorders>
              <w:bottom w:val="single" w:sz="4" w:space="0" w:color="666666" w:themeColor="text1" w:themeTint="99"/>
            </w:tcBorders>
            <w:shd w:val="clear" w:color="auto" w:fill="D99594" w:themeFill="accent2" w:themeFillTint="99"/>
          </w:tcPr>
          <w:p w14:paraId="4456C0D4" w14:textId="7325E1F7" w:rsidR="003C3D73" w:rsidRPr="008B38FE" w:rsidRDefault="003C3D73" w:rsidP="008A14E6">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1994" w:type="dxa"/>
            <w:tcBorders>
              <w:bottom w:val="single" w:sz="4" w:space="0" w:color="666666" w:themeColor="text1" w:themeTint="99"/>
            </w:tcBorders>
            <w:shd w:val="clear" w:color="auto" w:fill="D99594" w:themeFill="accent2" w:themeFillTint="99"/>
          </w:tcPr>
          <w:p w14:paraId="7CFBD158" w14:textId="77777777" w:rsidR="003C3D73" w:rsidRPr="008B38FE" w:rsidRDefault="003C3D73" w:rsidP="008A14E6">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8B38FE" w14:paraId="7926A517" w14:textId="639B15FA" w:rsidTr="008B38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2" w:type="dxa"/>
            <w:shd w:val="clear" w:color="auto" w:fill="D99594" w:themeFill="accent2" w:themeFillTint="99"/>
          </w:tcPr>
          <w:p w14:paraId="41A9335E" w14:textId="1C90310E" w:rsidR="003C3D73" w:rsidRPr="008B38FE" w:rsidRDefault="003C3D73" w:rsidP="008A14E6">
            <w:pPr>
              <w:spacing w:after="0" w:line="240" w:lineRule="auto"/>
              <w:rPr>
                <w:rFonts w:asciiTheme="minorHAnsi" w:hAnsiTheme="minorHAnsi" w:cs="Arial"/>
                <w:b w:val="0"/>
                <w:color w:val="000000"/>
                <w:sz w:val="18"/>
                <w:szCs w:val="18"/>
              </w:rPr>
            </w:pPr>
            <w:r w:rsidRPr="008B38FE">
              <w:rPr>
                <w:rFonts w:asciiTheme="minorHAnsi" w:hAnsiTheme="minorHAnsi" w:cs="Arial"/>
                <w:b w:val="0"/>
                <w:color w:val="000000"/>
                <w:sz w:val="18"/>
                <w:szCs w:val="18"/>
              </w:rPr>
              <w:t>3.4</w:t>
            </w:r>
          </w:p>
          <w:p w14:paraId="29AFA75C" w14:textId="7A0C6D09" w:rsidR="003C3D73" w:rsidRPr="008B38FE" w:rsidRDefault="003C3D73" w:rsidP="008A14E6">
            <w:pPr>
              <w:spacing w:after="0" w:line="240" w:lineRule="auto"/>
              <w:rPr>
                <w:rFonts w:asciiTheme="minorHAnsi" w:hAnsiTheme="minorHAnsi" w:cs="Arial"/>
                <w:b w:val="0"/>
                <w:color w:val="000000"/>
                <w:sz w:val="18"/>
                <w:szCs w:val="18"/>
              </w:rPr>
            </w:pPr>
            <w:r w:rsidRPr="008B38FE">
              <w:rPr>
                <w:rFonts w:asciiTheme="minorHAnsi" w:hAnsiTheme="minorHAnsi" w:cs="Arial"/>
                <w:b w:val="0"/>
                <w:color w:val="000000"/>
                <w:sz w:val="18"/>
                <w:szCs w:val="18"/>
              </w:rPr>
              <w:t>HOOG</w:t>
            </w:r>
          </w:p>
        </w:tc>
        <w:tc>
          <w:tcPr>
            <w:tcW w:w="7036" w:type="dxa"/>
            <w:shd w:val="clear" w:color="auto" w:fill="D99594" w:themeFill="accent2" w:themeFillTint="99"/>
          </w:tcPr>
          <w:p w14:paraId="52B43948" w14:textId="79B56E88" w:rsidR="003C3D73" w:rsidRPr="008B38FE" w:rsidRDefault="003C3D73" w:rsidP="003378FE">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lang w:eastAsia="nl-NL"/>
              </w:rPr>
            </w:pPr>
            <w:r w:rsidRPr="008B38FE">
              <w:rPr>
                <w:rFonts w:ascii="Calibri" w:hAnsi="Calibri"/>
                <w:color w:val="000000"/>
                <w:sz w:val="18"/>
                <w:szCs w:val="18"/>
                <w:lang w:eastAsia="nl-NL"/>
              </w:rPr>
              <w:t>De leverancier verwijdert alle niet voor de dienst(en) noodzakelijke services op systemen en/of zet ze uit (disabled), of –  indien de systeemsoftware dit niet toelaat –  blokkeert de dienst(en) via gedocumenteerde filters op de meest nabijgelegen netwerkcomponent die deze filtering kan verschaffen.</w:t>
            </w:r>
          </w:p>
        </w:tc>
        <w:tc>
          <w:tcPr>
            <w:tcW w:w="1843" w:type="dxa"/>
            <w:shd w:val="clear" w:color="auto" w:fill="D99594" w:themeFill="accent2" w:themeFillTint="99"/>
          </w:tcPr>
          <w:p w14:paraId="67065639" w14:textId="77777777" w:rsidR="003C3D73" w:rsidRPr="008B38FE" w:rsidRDefault="003C3D73" w:rsidP="008A14E6">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1429" w:type="dxa"/>
            <w:shd w:val="clear" w:color="auto" w:fill="D99594" w:themeFill="accent2" w:themeFillTint="99"/>
          </w:tcPr>
          <w:p w14:paraId="0BA8A0C5" w14:textId="0F5AC7C1" w:rsidR="003C3D73" w:rsidRPr="008B38FE" w:rsidRDefault="003C3D73" w:rsidP="008A14E6">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1994" w:type="dxa"/>
            <w:shd w:val="clear" w:color="auto" w:fill="D99594" w:themeFill="accent2" w:themeFillTint="99"/>
          </w:tcPr>
          <w:p w14:paraId="4FA6FF25" w14:textId="77777777" w:rsidR="003C3D73" w:rsidRPr="008B38FE" w:rsidRDefault="003C3D73" w:rsidP="008A14E6">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bl>
    <w:p w14:paraId="636C85CA" w14:textId="77777777" w:rsidR="00E62EA9" w:rsidRDefault="00E62EA9"/>
    <w:p w14:paraId="00771FC1" w14:textId="77777777" w:rsidR="00116A33" w:rsidRDefault="00116A33">
      <w:pPr>
        <w:spacing w:after="0" w:line="240" w:lineRule="auto"/>
        <w:rPr>
          <w:rFonts w:eastAsiaTheme="majorEastAsia" w:cstheme="majorBidi"/>
          <w:b/>
          <w:bCs/>
          <w:spacing w:val="22"/>
          <w:sz w:val="28"/>
          <w:szCs w:val="32"/>
          <w:lang w:eastAsia="nl-NL"/>
        </w:rPr>
      </w:pPr>
      <w:r>
        <w:rPr>
          <w:lang w:eastAsia="nl-NL"/>
        </w:rPr>
        <w:br w:type="page"/>
      </w:r>
    </w:p>
    <w:p w14:paraId="2439BA8B" w14:textId="29AA2C6D" w:rsidR="002C2BC5" w:rsidRDefault="008D3BF3" w:rsidP="002C2BC5">
      <w:pPr>
        <w:pStyle w:val="Heading1"/>
        <w:pageBreakBefore w:val="0"/>
        <w:rPr>
          <w:lang w:eastAsia="nl-NL"/>
        </w:rPr>
      </w:pPr>
      <w:r w:rsidRPr="008D3BF3">
        <w:rPr>
          <w:lang w:eastAsia="nl-NL"/>
        </w:rPr>
        <w:lastRenderedPageBreak/>
        <w:t>Vertrouwelijkheid en integriteit van gegevens</w:t>
      </w:r>
      <w:r w:rsidR="00C511F7">
        <w:rPr>
          <w:lang w:eastAsia="nl-NL"/>
        </w:rPr>
        <w:t>, p</w:t>
      </w:r>
      <w:r w:rsidRPr="008D3BF3">
        <w:rPr>
          <w:lang w:eastAsia="nl-NL"/>
        </w:rPr>
        <w:t>rivacy</w:t>
      </w:r>
    </w:p>
    <w:p w14:paraId="78579543" w14:textId="62B6A7A5" w:rsidR="004B0FF1" w:rsidRDefault="008D3BF3" w:rsidP="002C2BC5">
      <w:pPr>
        <w:spacing w:before="200" w:after="0"/>
        <w:rPr>
          <w:rFonts w:cs="Arial"/>
          <w:color w:val="000000"/>
          <w:lang w:eastAsia="nl-NL"/>
        </w:rPr>
      </w:pPr>
      <w:r>
        <w:rPr>
          <w:rFonts w:cs="Arial"/>
          <w:color w:val="000000"/>
          <w:lang w:eastAsia="nl-NL"/>
        </w:rPr>
        <w:t>Wanneer een aanvaller de toegangscontrole weet te omzeilen moet de data goed beschermd zijn. Dit geldt zowel voor data in rust als voor data in transit.</w:t>
      </w:r>
      <w:r w:rsidR="00B64DD4">
        <w:rPr>
          <w:rFonts w:cs="Arial"/>
          <w:color w:val="000000"/>
          <w:lang w:eastAsia="nl-NL"/>
        </w:rPr>
        <w:t xml:space="preserve"> Voor de bescherming van privacygevoelige data zijn extra maatregelen gewenst.</w:t>
      </w:r>
    </w:p>
    <w:p w14:paraId="6AD25DC7" w14:textId="77777777" w:rsidR="004B0FF1" w:rsidRDefault="004B0FF1" w:rsidP="00001DC2">
      <w:pPr>
        <w:spacing w:before="200" w:after="0"/>
        <w:rPr>
          <w:rFonts w:cs="Arial"/>
          <w:color w:val="000000"/>
          <w:lang w:eastAsia="nl-NL"/>
        </w:rPr>
      </w:pPr>
    </w:p>
    <w:tbl>
      <w:tblPr>
        <w:tblStyle w:val="GridTable4"/>
        <w:tblW w:w="13064" w:type="dxa"/>
        <w:tblLook w:val="04A0" w:firstRow="1" w:lastRow="0" w:firstColumn="1" w:lastColumn="0" w:noHBand="0" w:noVBand="1"/>
      </w:tblPr>
      <w:tblGrid>
        <w:gridCol w:w="732"/>
        <w:gridCol w:w="6305"/>
        <w:gridCol w:w="2009"/>
        <w:gridCol w:w="2009"/>
        <w:gridCol w:w="2009"/>
      </w:tblGrid>
      <w:tr w:rsidR="005D40D3" w:rsidRPr="000E45F3" w14:paraId="3516AB4C" w14:textId="075935DE" w:rsidTr="005D40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6DFA58FD" w14:textId="77777777" w:rsidR="005D40D3" w:rsidRPr="008F3389" w:rsidRDefault="005D40D3" w:rsidP="00450BBA">
            <w:pPr>
              <w:spacing w:after="0"/>
              <w:rPr>
                <w:rFonts w:cs="Arial"/>
                <w:b w:val="0"/>
              </w:rPr>
            </w:pPr>
            <w:r w:rsidRPr="008F3389">
              <w:rPr>
                <w:rFonts w:cs="Arial"/>
                <w:b w:val="0"/>
              </w:rPr>
              <w:t>#</w:t>
            </w:r>
          </w:p>
        </w:tc>
        <w:tc>
          <w:tcPr>
            <w:tcW w:w="6305" w:type="dxa"/>
            <w:tcBorders>
              <w:bottom w:val="single" w:sz="4" w:space="0" w:color="666666" w:themeColor="text1" w:themeTint="99"/>
            </w:tcBorders>
          </w:tcPr>
          <w:p w14:paraId="3834E70F" w14:textId="77777777" w:rsidR="005D40D3" w:rsidRPr="008F3389" w:rsidRDefault="005D40D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sidRPr="008F3389">
              <w:rPr>
                <w:rFonts w:cs="Arial"/>
                <w:b w:val="0"/>
              </w:rPr>
              <w:t>Maatregel</w:t>
            </w:r>
          </w:p>
        </w:tc>
        <w:tc>
          <w:tcPr>
            <w:tcW w:w="2009" w:type="dxa"/>
            <w:tcBorders>
              <w:bottom w:val="single" w:sz="4" w:space="0" w:color="666666" w:themeColor="text1" w:themeTint="99"/>
            </w:tcBorders>
          </w:tcPr>
          <w:p w14:paraId="6090FBBF" w14:textId="77777777" w:rsidR="005D40D3" w:rsidRPr="008F3389" w:rsidRDefault="005D40D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sidRPr="008F3389">
              <w:rPr>
                <w:rFonts w:cs="Arial"/>
                <w:b w:val="0"/>
              </w:rPr>
              <w:t>Referentie</w:t>
            </w:r>
          </w:p>
        </w:tc>
        <w:tc>
          <w:tcPr>
            <w:tcW w:w="2009" w:type="dxa"/>
            <w:tcBorders>
              <w:bottom w:val="single" w:sz="4" w:space="0" w:color="666666" w:themeColor="text1" w:themeTint="99"/>
            </w:tcBorders>
          </w:tcPr>
          <w:p w14:paraId="10A06360" w14:textId="2A703564" w:rsidR="005D40D3" w:rsidRPr="008F3389" w:rsidRDefault="005D40D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Status</w:t>
            </w:r>
          </w:p>
        </w:tc>
        <w:tc>
          <w:tcPr>
            <w:tcW w:w="2009" w:type="dxa"/>
            <w:tcBorders>
              <w:bottom w:val="single" w:sz="4" w:space="0" w:color="666666" w:themeColor="text1" w:themeTint="99"/>
            </w:tcBorders>
          </w:tcPr>
          <w:p w14:paraId="04742B57" w14:textId="2DBD1A18" w:rsidR="005D40D3" w:rsidRPr="008F3389" w:rsidRDefault="005D40D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Toelichting</w:t>
            </w:r>
          </w:p>
        </w:tc>
      </w:tr>
      <w:tr w:rsidR="005D40D3" w:rsidRPr="008F3389" w14:paraId="5DBE34B9" w14:textId="77AF6A17" w:rsidTr="005D4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shd w:val="clear" w:color="auto" w:fill="7F7F7F" w:themeFill="text1" w:themeFillTint="80"/>
          </w:tcPr>
          <w:p w14:paraId="638A17BD" w14:textId="77777777" w:rsidR="005D40D3" w:rsidRPr="008B38FE" w:rsidRDefault="005D40D3" w:rsidP="00450BBA">
            <w:pPr>
              <w:spacing w:after="0"/>
              <w:rPr>
                <w:rFonts w:asciiTheme="minorHAnsi" w:hAnsiTheme="minorHAnsi" w:cs="Arial"/>
                <w:b w:val="0"/>
                <w:color w:val="FFFFFF" w:themeColor="background1"/>
                <w:sz w:val="18"/>
                <w:szCs w:val="18"/>
              </w:rPr>
            </w:pPr>
          </w:p>
        </w:tc>
        <w:tc>
          <w:tcPr>
            <w:tcW w:w="8314" w:type="dxa"/>
            <w:gridSpan w:val="2"/>
            <w:shd w:val="clear" w:color="auto" w:fill="7F7F7F" w:themeFill="text1" w:themeFillTint="80"/>
          </w:tcPr>
          <w:p w14:paraId="43BDA70B"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r w:rsidRPr="008B38FE">
              <w:rPr>
                <w:rFonts w:asciiTheme="minorHAnsi" w:hAnsiTheme="minorHAnsi" w:cs="Arial"/>
                <w:b/>
                <w:color w:val="FFFFFF" w:themeColor="background1"/>
                <w:sz w:val="18"/>
                <w:szCs w:val="18"/>
              </w:rPr>
              <w:t>Bescherming persoonsgegevens</w:t>
            </w:r>
          </w:p>
        </w:tc>
        <w:tc>
          <w:tcPr>
            <w:tcW w:w="2009" w:type="dxa"/>
            <w:shd w:val="clear" w:color="auto" w:fill="7F7F7F" w:themeFill="text1" w:themeFillTint="80"/>
          </w:tcPr>
          <w:p w14:paraId="4D3447A0"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p>
        </w:tc>
        <w:tc>
          <w:tcPr>
            <w:tcW w:w="2009" w:type="dxa"/>
            <w:shd w:val="clear" w:color="auto" w:fill="7F7F7F" w:themeFill="text1" w:themeFillTint="80"/>
          </w:tcPr>
          <w:p w14:paraId="1F85EB1E"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FFFFFF" w:themeColor="background1"/>
                <w:sz w:val="18"/>
                <w:szCs w:val="18"/>
              </w:rPr>
            </w:pPr>
          </w:p>
        </w:tc>
      </w:tr>
      <w:tr w:rsidR="005D40D3" w14:paraId="160D44C6" w14:textId="6F99B3FD" w:rsidTr="005D40D3">
        <w:tc>
          <w:tcPr>
            <w:cnfStyle w:val="001000000000" w:firstRow="0" w:lastRow="0" w:firstColumn="1" w:lastColumn="0" w:oddVBand="0" w:evenVBand="0" w:oddHBand="0" w:evenHBand="0" w:firstRowFirstColumn="0" w:firstRowLastColumn="0" w:lastRowFirstColumn="0" w:lastRowLastColumn="0"/>
            <w:tcW w:w="732" w:type="dxa"/>
          </w:tcPr>
          <w:p w14:paraId="64F99457" w14:textId="4584A138"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4.1</w:t>
            </w:r>
          </w:p>
        </w:tc>
        <w:tc>
          <w:tcPr>
            <w:tcW w:w="6305" w:type="dxa"/>
          </w:tcPr>
          <w:p w14:paraId="55BCC677" w14:textId="1FC3D743"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rPr>
              <w:t>De l</w:t>
            </w:r>
            <w:r w:rsidRPr="008B38FE">
              <w:rPr>
                <w:rFonts w:ascii="Calibri" w:hAnsi="Calibri"/>
                <w:color w:val="000000"/>
                <w:sz w:val="18"/>
                <w:szCs w:val="18"/>
                <w:lang w:eastAsia="nl-NL"/>
              </w:rPr>
              <w:t xml:space="preserve">everancier beschikt over een privacybeleid of een </w:t>
            </w:r>
            <w:r w:rsidRPr="008B38FE">
              <w:rPr>
                <w:rFonts w:ascii="Calibri" w:hAnsi="Calibri"/>
                <w:color w:val="000000"/>
                <w:sz w:val="18"/>
                <w:szCs w:val="18"/>
              </w:rPr>
              <w:t>privacy</w:t>
            </w:r>
            <w:r w:rsidRPr="008B38FE">
              <w:rPr>
                <w:rFonts w:ascii="Calibri" w:hAnsi="Calibri"/>
                <w:color w:val="000000"/>
                <w:sz w:val="18"/>
                <w:szCs w:val="18"/>
                <w:lang w:eastAsia="nl-NL"/>
              </w:rPr>
              <w:t>reglement dat niet ouder is dan drie jaar.</w:t>
            </w:r>
          </w:p>
        </w:tc>
        <w:tc>
          <w:tcPr>
            <w:tcW w:w="2009" w:type="dxa"/>
          </w:tcPr>
          <w:p w14:paraId="46169C8C"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6C806E1D"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§18.1</w:t>
            </w:r>
          </w:p>
        </w:tc>
        <w:tc>
          <w:tcPr>
            <w:tcW w:w="2009" w:type="dxa"/>
          </w:tcPr>
          <w:p w14:paraId="1F862DF4" w14:textId="28ADF6E1"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2009" w:type="dxa"/>
          </w:tcPr>
          <w:p w14:paraId="769AE5CC"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5D40D3" w14:paraId="7F085E53" w14:textId="2F6EAABD" w:rsidTr="005D4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16142BAF" w14:textId="3860875A"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4.2</w:t>
            </w:r>
          </w:p>
        </w:tc>
        <w:tc>
          <w:tcPr>
            <w:tcW w:w="6305" w:type="dxa"/>
            <w:tcBorders>
              <w:bottom w:val="single" w:sz="4" w:space="0" w:color="666666" w:themeColor="text1" w:themeTint="99"/>
            </w:tcBorders>
          </w:tcPr>
          <w:p w14:paraId="1EDCA48E"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rPr>
              <w:t>De l</w:t>
            </w:r>
            <w:r w:rsidRPr="008B38FE">
              <w:rPr>
                <w:rFonts w:ascii="Calibri" w:hAnsi="Calibri"/>
                <w:color w:val="000000"/>
                <w:sz w:val="18"/>
                <w:szCs w:val="18"/>
                <w:lang w:eastAsia="nl-NL"/>
              </w:rPr>
              <w:t>everancier heeft een privacyfunctionaris benoemd en deze is in functie.</w:t>
            </w:r>
          </w:p>
        </w:tc>
        <w:tc>
          <w:tcPr>
            <w:tcW w:w="2009" w:type="dxa"/>
            <w:tcBorders>
              <w:bottom w:val="single" w:sz="4" w:space="0" w:color="666666" w:themeColor="text1" w:themeTint="99"/>
            </w:tcBorders>
          </w:tcPr>
          <w:p w14:paraId="11A1961C"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Wbp, art. 62</w:t>
            </w:r>
          </w:p>
        </w:tc>
        <w:tc>
          <w:tcPr>
            <w:tcW w:w="2009" w:type="dxa"/>
            <w:tcBorders>
              <w:bottom w:val="single" w:sz="4" w:space="0" w:color="666666" w:themeColor="text1" w:themeTint="99"/>
            </w:tcBorders>
          </w:tcPr>
          <w:p w14:paraId="3352E383" w14:textId="34E4DF52"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2009" w:type="dxa"/>
            <w:tcBorders>
              <w:bottom w:val="single" w:sz="4" w:space="0" w:color="666666" w:themeColor="text1" w:themeTint="99"/>
            </w:tcBorders>
          </w:tcPr>
          <w:p w14:paraId="4398D03A"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r w:rsidR="005D40D3" w:rsidRPr="008F3389" w14:paraId="5EDB7F64" w14:textId="58792A6B" w:rsidTr="005D40D3">
        <w:tc>
          <w:tcPr>
            <w:cnfStyle w:val="001000000000" w:firstRow="0" w:lastRow="0" w:firstColumn="1" w:lastColumn="0" w:oddVBand="0" w:evenVBand="0" w:oddHBand="0" w:evenHBand="0" w:firstRowFirstColumn="0" w:firstRowLastColumn="0" w:lastRowFirstColumn="0" w:lastRowLastColumn="0"/>
            <w:tcW w:w="732" w:type="dxa"/>
            <w:shd w:val="clear" w:color="auto" w:fill="7F7F7F" w:themeFill="text1" w:themeFillTint="80"/>
          </w:tcPr>
          <w:p w14:paraId="7F179228" w14:textId="77777777" w:rsidR="005D40D3" w:rsidRPr="008B38FE" w:rsidRDefault="005D40D3" w:rsidP="00450BBA">
            <w:pPr>
              <w:spacing w:after="0"/>
              <w:rPr>
                <w:rFonts w:asciiTheme="minorHAnsi" w:hAnsiTheme="minorHAnsi" w:cs="Arial"/>
                <w:color w:val="FFFFFF" w:themeColor="background1"/>
                <w:sz w:val="18"/>
                <w:szCs w:val="18"/>
              </w:rPr>
            </w:pPr>
          </w:p>
        </w:tc>
        <w:tc>
          <w:tcPr>
            <w:tcW w:w="8314" w:type="dxa"/>
            <w:gridSpan w:val="2"/>
            <w:shd w:val="clear" w:color="auto" w:fill="7F7F7F" w:themeFill="text1" w:themeFillTint="80"/>
          </w:tcPr>
          <w:p w14:paraId="464EFA0C"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FFFFFF" w:themeColor="background1"/>
                <w:sz w:val="18"/>
                <w:szCs w:val="18"/>
              </w:rPr>
            </w:pPr>
            <w:r w:rsidRPr="008B38FE">
              <w:rPr>
                <w:rFonts w:asciiTheme="minorHAnsi" w:hAnsiTheme="minorHAnsi" w:cs="Arial"/>
                <w:b/>
                <w:color w:val="FFFFFF" w:themeColor="background1"/>
                <w:sz w:val="18"/>
                <w:szCs w:val="18"/>
              </w:rPr>
              <w:t>Versleuteling</w:t>
            </w:r>
          </w:p>
        </w:tc>
        <w:tc>
          <w:tcPr>
            <w:tcW w:w="2009" w:type="dxa"/>
            <w:shd w:val="clear" w:color="auto" w:fill="7F7F7F" w:themeFill="text1" w:themeFillTint="80"/>
          </w:tcPr>
          <w:p w14:paraId="2355B1F2"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FFFFFF" w:themeColor="background1"/>
                <w:sz w:val="18"/>
                <w:szCs w:val="18"/>
              </w:rPr>
            </w:pPr>
          </w:p>
        </w:tc>
        <w:tc>
          <w:tcPr>
            <w:tcW w:w="2009" w:type="dxa"/>
            <w:shd w:val="clear" w:color="auto" w:fill="7F7F7F" w:themeFill="text1" w:themeFillTint="80"/>
          </w:tcPr>
          <w:p w14:paraId="3B5D338C"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b/>
                <w:color w:val="FFFFFF" w:themeColor="background1"/>
                <w:sz w:val="18"/>
                <w:szCs w:val="18"/>
              </w:rPr>
            </w:pPr>
          </w:p>
        </w:tc>
      </w:tr>
      <w:tr w:rsidR="005D40D3" w14:paraId="61D2FF5F" w14:textId="018F5230" w:rsidTr="005D4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25B301C9" w14:textId="191A426A"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4.3</w:t>
            </w:r>
          </w:p>
        </w:tc>
        <w:tc>
          <w:tcPr>
            <w:tcW w:w="6305" w:type="dxa"/>
          </w:tcPr>
          <w:p w14:paraId="3E027184" w14:textId="77777777" w:rsidR="005D40D3" w:rsidRPr="008B38FE" w:rsidRDefault="005D40D3" w:rsidP="00B64DD4">
            <w:pPr>
              <w:spacing w:after="0"/>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lang w:eastAsia="nl-NL"/>
              </w:rPr>
            </w:pPr>
            <w:r w:rsidRPr="008B38FE">
              <w:rPr>
                <w:rFonts w:ascii="Calibri" w:hAnsi="Calibri"/>
                <w:color w:val="000000"/>
                <w:sz w:val="18"/>
                <w:szCs w:val="18"/>
                <w:lang w:eastAsia="nl-NL"/>
              </w:rPr>
              <w:t>De leverancier versleutelt vertrouwelijke gegevens in rust in ieder geval in de volgende situaties:</w:t>
            </w:r>
          </w:p>
          <w:p w14:paraId="748F39F4" w14:textId="77777777" w:rsidR="005D40D3" w:rsidRPr="008B38FE" w:rsidRDefault="005D40D3" w:rsidP="001F7149">
            <w:pPr>
              <w:pStyle w:val="ListParagraph"/>
              <w:numPr>
                <w:ilvl w:val="0"/>
                <w:numId w:val="29"/>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Calibri" w:hAnsi="Calibri"/>
                <w:color w:val="000000"/>
                <w:sz w:val="18"/>
                <w:szCs w:val="18"/>
                <w:lang w:eastAsia="nl-NL"/>
              </w:rPr>
              <w:t>op verwijderbare media (zoals extern opgeslagen back-up tapes, DVD’s, geheugenkaarten en USB-sticks);</w:t>
            </w:r>
          </w:p>
          <w:p w14:paraId="6C83FB37" w14:textId="35AF3CB4" w:rsidR="005D40D3" w:rsidRPr="008B38FE" w:rsidRDefault="005D40D3" w:rsidP="001F7149">
            <w:pPr>
              <w:pStyle w:val="ListParagraph"/>
              <w:numPr>
                <w:ilvl w:val="0"/>
                <w:numId w:val="29"/>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Calibri" w:hAnsi="Calibri"/>
                <w:color w:val="000000"/>
                <w:sz w:val="18"/>
                <w:szCs w:val="18"/>
                <w:lang w:eastAsia="nl-NL"/>
              </w:rPr>
              <w:t>in het opslaggeheugen van mobiele apparatuur (zoals het in- en externe geheugen van laptops, smartphones en tablets).</w:t>
            </w:r>
          </w:p>
        </w:tc>
        <w:tc>
          <w:tcPr>
            <w:tcW w:w="2009" w:type="dxa"/>
            <w:vMerge w:val="restart"/>
          </w:tcPr>
          <w:p w14:paraId="1E496159"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ISO 27002:2013</w:t>
            </w:r>
          </w:p>
          <w:p w14:paraId="00284A42"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§10.1, §13.2, §14.1.2</w:t>
            </w:r>
          </w:p>
          <w:p w14:paraId="24B57EED"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 xml:space="preserve">CBP Richtsnoer </w:t>
            </w:r>
            <w:r w:rsidRPr="008B38FE">
              <w:rPr>
                <w:rFonts w:asciiTheme="minorHAnsi" w:hAnsiTheme="minorHAnsi" w:cs="Arial"/>
                <w:i/>
                <w:color w:val="000000"/>
                <w:sz w:val="18"/>
                <w:szCs w:val="18"/>
                <w:lang w:eastAsia="nl-NL"/>
              </w:rPr>
              <w:t>beveiliging persoonsgegevens</w:t>
            </w:r>
            <w:r w:rsidRPr="008B38FE">
              <w:rPr>
                <w:rFonts w:asciiTheme="minorHAnsi" w:hAnsiTheme="minorHAnsi" w:cs="Arial"/>
                <w:color w:val="000000"/>
                <w:sz w:val="18"/>
                <w:szCs w:val="18"/>
                <w:lang w:eastAsia="nl-NL"/>
              </w:rPr>
              <w:t>, pag. 25</w:t>
            </w:r>
          </w:p>
        </w:tc>
        <w:tc>
          <w:tcPr>
            <w:tcW w:w="2009" w:type="dxa"/>
          </w:tcPr>
          <w:p w14:paraId="5305B0AB" w14:textId="4B580E80"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c>
          <w:tcPr>
            <w:tcW w:w="2009" w:type="dxa"/>
          </w:tcPr>
          <w:p w14:paraId="7250A41F"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r>
      <w:tr w:rsidR="005D40D3" w14:paraId="1317A801" w14:textId="1AB52B4E" w:rsidTr="005D40D3">
        <w:tc>
          <w:tcPr>
            <w:cnfStyle w:val="001000000000" w:firstRow="0" w:lastRow="0" w:firstColumn="1" w:lastColumn="0" w:oddVBand="0" w:evenVBand="0" w:oddHBand="0" w:evenHBand="0" w:firstRowFirstColumn="0" w:firstRowLastColumn="0" w:lastRowFirstColumn="0" w:lastRowLastColumn="0"/>
            <w:tcW w:w="732" w:type="dxa"/>
            <w:shd w:val="clear" w:color="auto" w:fill="D99594" w:themeFill="accent2" w:themeFillTint="99"/>
          </w:tcPr>
          <w:p w14:paraId="0D94DA6D" w14:textId="228C3395"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4.3</w:t>
            </w:r>
          </w:p>
          <w:p w14:paraId="38665464" w14:textId="77A3A681"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HOOG</w:t>
            </w:r>
          </w:p>
        </w:tc>
        <w:tc>
          <w:tcPr>
            <w:tcW w:w="6305" w:type="dxa"/>
            <w:shd w:val="clear" w:color="auto" w:fill="D99594" w:themeFill="accent2" w:themeFillTint="99"/>
          </w:tcPr>
          <w:p w14:paraId="48C043FD" w14:textId="01983E43" w:rsidR="005D40D3" w:rsidRPr="008B38FE" w:rsidRDefault="005D40D3" w:rsidP="00B64DD4">
            <w:pPr>
              <w:spacing w:after="0"/>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lang w:eastAsia="nl-NL"/>
              </w:rPr>
            </w:pPr>
            <w:r w:rsidRPr="008B38FE">
              <w:rPr>
                <w:rFonts w:ascii="Calibri" w:hAnsi="Calibri"/>
                <w:color w:val="000000"/>
                <w:sz w:val="18"/>
                <w:szCs w:val="18"/>
                <w:lang w:eastAsia="nl-NL"/>
              </w:rPr>
              <w:t xml:space="preserve">De leverancier versleutelt vertrouwelijke gegevens in rust </w:t>
            </w:r>
            <w:r w:rsidRPr="008B38FE">
              <w:rPr>
                <w:rFonts w:ascii="Calibri" w:hAnsi="Calibri"/>
                <w:i/>
                <w:color w:val="000000"/>
                <w:sz w:val="18"/>
                <w:szCs w:val="18"/>
                <w:lang w:eastAsia="nl-NL"/>
              </w:rPr>
              <w:t>te allen tijde</w:t>
            </w:r>
            <w:r w:rsidRPr="008B38FE">
              <w:rPr>
                <w:rFonts w:ascii="Calibri" w:hAnsi="Calibri"/>
                <w:color w:val="000000"/>
                <w:sz w:val="18"/>
                <w:szCs w:val="18"/>
                <w:lang w:eastAsia="nl-NL"/>
              </w:rPr>
              <w:t>.</w:t>
            </w:r>
          </w:p>
        </w:tc>
        <w:tc>
          <w:tcPr>
            <w:tcW w:w="2009" w:type="dxa"/>
            <w:vMerge/>
            <w:shd w:val="clear" w:color="auto" w:fill="D99594" w:themeFill="accent2" w:themeFillTint="99"/>
          </w:tcPr>
          <w:p w14:paraId="12FD1B94"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tc>
        <w:tc>
          <w:tcPr>
            <w:tcW w:w="2009" w:type="dxa"/>
            <w:shd w:val="clear" w:color="auto" w:fill="D99594" w:themeFill="accent2" w:themeFillTint="99"/>
          </w:tcPr>
          <w:p w14:paraId="63F2ACB9" w14:textId="0C3129CE"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tc>
        <w:tc>
          <w:tcPr>
            <w:tcW w:w="2009" w:type="dxa"/>
            <w:shd w:val="clear" w:color="auto" w:fill="D99594" w:themeFill="accent2" w:themeFillTint="99"/>
          </w:tcPr>
          <w:p w14:paraId="334B1FE3"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tc>
      </w:tr>
      <w:tr w:rsidR="005D40D3" w14:paraId="43D133D6" w14:textId="6413050E" w:rsidTr="005D4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074EC6A3" w14:textId="0E18CACB"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4.4</w:t>
            </w:r>
          </w:p>
        </w:tc>
        <w:tc>
          <w:tcPr>
            <w:tcW w:w="6305" w:type="dxa"/>
          </w:tcPr>
          <w:p w14:paraId="5E1A89F8" w14:textId="77777777" w:rsidR="005D40D3" w:rsidRPr="008B38FE" w:rsidRDefault="005D40D3" w:rsidP="00B64DD4">
            <w:pPr>
              <w:spacing w:after="0"/>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lang w:eastAsia="nl-NL"/>
              </w:rPr>
            </w:pPr>
            <w:r w:rsidRPr="008B38FE">
              <w:rPr>
                <w:rFonts w:ascii="Calibri" w:hAnsi="Calibri"/>
                <w:color w:val="000000"/>
                <w:sz w:val="18"/>
                <w:szCs w:val="18"/>
                <w:lang w:eastAsia="nl-NL"/>
              </w:rPr>
              <w:t>End-to-end encryptie is altijd noodzakelijk, indien data die als gevoelig of kritiek is geclassificeerd getransporteerd wordt (zoals tijdens back-up). De leverancier versleutelt vertrouwelijke gegevens in beweging in ieder geval in de volgende situaties:</w:t>
            </w:r>
          </w:p>
          <w:p w14:paraId="38ECBE9D" w14:textId="77777777" w:rsidR="005D40D3" w:rsidRPr="008B38FE" w:rsidRDefault="005D40D3" w:rsidP="001F7149">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ascii="Calibri" w:eastAsia="MingLiU" w:hAnsi="Calibri" w:cs="MingLiU"/>
                <w:color w:val="000000"/>
                <w:sz w:val="18"/>
                <w:szCs w:val="18"/>
                <w:lang w:eastAsia="nl-NL"/>
              </w:rPr>
            </w:pPr>
            <w:r w:rsidRPr="008B38FE">
              <w:rPr>
                <w:rFonts w:ascii="Calibri" w:hAnsi="Calibri"/>
                <w:color w:val="000000"/>
                <w:sz w:val="18"/>
                <w:szCs w:val="18"/>
                <w:lang w:eastAsia="nl-NL"/>
              </w:rPr>
              <w:t>beheersessies over het eigen netwerk (met encryptievoorzieningen binnen de beheertools of gebruikte protocollen);</w:t>
            </w:r>
          </w:p>
          <w:p w14:paraId="17F7E621" w14:textId="77777777" w:rsidR="005D40D3" w:rsidRPr="008B38FE" w:rsidRDefault="005D40D3" w:rsidP="001F7149">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ascii="Calibri" w:eastAsia="MingLiU" w:hAnsi="Calibri" w:cs="MingLiU"/>
                <w:color w:val="000000"/>
                <w:sz w:val="18"/>
                <w:szCs w:val="18"/>
                <w:lang w:eastAsia="nl-NL"/>
              </w:rPr>
            </w:pPr>
            <w:r w:rsidRPr="008B38FE">
              <w:rPr>
                <w:rFonts w:ascii="Calibri" w:hAnsi="Calibri"/>
                <w:color w:val="000000"/>
                <w:sz w:val="18"/>
                <w:szCs w:val="18"/>
                <w:lang w:eastAsia="nl-NL"/>
              </w:rPr>
              <w:t>draadloze datacommunicatie;</w:t>
            </w:r>
          </w:p>
          <w:p w14:paraId="742701BA" w14:textId="17EEA952" w:rsidR="005D40D3" w:rsidRPr="008B38FE" w:rsidRDefault="005D40D3" w:rsidP="001F7149">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ascii="Calibri" w:eastAsia="MingLiU" w:hAnsi="Calibri" w:cs="MingLiU"/>
                <w:color w:val="000000"/>
                <w:sz w:val="18"/>
                <w:szCs w:val="18"/>
                <w:lang w:eastAsia="nl-NL"/>
              </w:rPr>
            </w:pPr>
            <w:r w:rsidRPr="008B38FE">
              <w:rPr>
                <w:rFonts w:ascii="Calibri" w:hAnsi="Calibri"/>
                <w:color w:val="000000"/>
                <w:sz w:val="18"/>
                <w:szCs w:val="18"/>
                <w:lang w:eastAsia="nl-NL"/>
              </w:rPr>
              <w:t>wachtwoorden, die worden opgeslagen of verzonden.</w:t>
            </w:r>
          </w:p>
        </w:tc>
        <w:tc>
          <w:tcPr>
            <w:tcW w:w="2009" w:type="dxa"/>
            <w:vMerge/>
          </w:tcPr>
          <w:p w14:paraId="177A2459"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c>
          <w:tcPr>
            <w:tcW w:w="2009" w:type="dxa"/>
          </w:tcPr>
          <w:p w14:paraId="770BBB0B" w14:textId="551D8D7D"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c>
          <w:tcPr>
            <w:tcW w:w="2009" w:type="dxa"/>
          </w:tcPr>
          <w:p w14:paraId="48B5CFC3"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r>
      <w:tr w:rsidR="005D40D3" w14:paraId="1EFA9E06" w14:textId="01F05857" w:rsidTr="005D40D3">
        <w:tc>
          <w:tcPr>
            <w:cnfStyle w:val="001000000000" w:firstRow="0" w:lastRow="0" w:firstColumn="1" w:lastColumn="0" w:oddVBand="0" w:evenVBand="0" w:oddHBand="0" w:evenHBand="0" w:firstRowFirstColumn="0" w:firstRowLastColumn="0" w:lastRowFirstColumn="0" w:lastRowLastColumn="0"/>
            <w:tcW w:w="732" w:type="dxa"/>
            <w:shd w:val="clear" w:color="auto" w:fill="D99594" w:themeFill="accent2" w:themeFillTint="99"/>
          </w:tcPr>
          <w:p w14:paraId="0F8D14CA" w14:textId="32633D3C"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4.4</w:t>
            </w:r>
          </w:p>
          <w:p w14:paraId="302D1B57" w14:textId="2430F4F3"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HOOG</w:t>
            </w:r>
          </w:p>
        </w:tc>
        <w:tc>
          <w:tcPr>
            <w:tcW w:w="6305" w:type="dxa"/>
            <w:shd w:val="clear" w:color="auto" w:fill="D99594" w:themeFill="accent2" w:themeFillTint="99"/>
          </w:tcPr>
          <w:p w14:paraId="4D7EB152" w14:textId="3C56A295" w:rsidR="005D40D3" w:rsidRPr="008B38FE" w:rsidRDefault="005D40D3" w:rsidP="00C771B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r w:rsidRPr="008B38FE">
              <w:rPr>
                <w:rFonts w:ascii="Calibri" w:hAnsi="Calibri"/>
                <w:color w:val="000000"/>
                <w:sz w:val="18"/>
                <w:szCs w:val="18"/>
                <w:lang w:eastAsia="nl-NL"/>
              </w:rPr>
              <w:t xml:space="preserve">End-to-end encryptie is altijd noodzakelijk, indien data getransporteerd wordt. De leverancier versleutelt vertrouwelijke gegevens in beweging </w:t>
            </w:r>
            <w:r w:rsidRPr="008B38FE">
              <w:rPr>
                <w:rFonts w:ascii="Calibri" w:hAnsi="Calibri"/>
                <w:i/>
                <w:color w:val="000000"/>
                <w:sz w:val="18"/>
                <w:szCs w:val="18"/>
                <w:lang w:eastAsia="nl-NL"/>
              </w:rPr>
              <w:t>te allen tijde</w:t>
            </w:r>
            <w:r w:rsidRPr="008B38FE">
              <w:rPr>
                <w:rFonts w:ascii="Calibri" w:hAnsi="Calibri"/>
                <w:color w:val="000000"/>
                <w:sz w:val="18"/>
                <w:szCs w:val="18"/>
                <w:lang w:eastAsia="nl-NL"/>
              </w:rPr>
              <w:t>.</w:t>
            </w:r>
          </w:p>
        </w:tc>
        <w:tc>
          <w:tcPr>
            <w:tcW w:w="2009" w:type="dxa"/>
            <w:vMerge/>
            <w:shd w:val="clear" w:color="auto" w:fill="D99594" w:themeFill="accent2" w:themeFillTint="99"/>
          </w:tcPr>
          <w:p w14:paraId="10657307"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tc>
        <w:tc>
          <w:tcPr>
            <w:tcW w:w="2009" w:type="dxa"/>
            <w:shd w:val="clear" w:color="auto" w:fill="D99594" w:themeFill="accent2" w:themeFillTint="99"/>
          </w:tcPr>
          <w:p w14:paraId="40BD2961" w14:textId="69C9E374"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tc>
        <w:tc>
          <w:tcPr>
            <w:tcW w:w="2009" w:type="dxa"/>
            <w:shd w:val="clear" w:color="auto" w:fill="D99594" w:themeFill="accent2" w:themeFillTint="99"/>
          </w:tcPr>
          <w:p w14:paraId="7C79B5AD"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lang w:eastAsia="nl-NL"/>
              </w:rPr>
            </w:pPr>
          </w:p>
        </w:tc>
      </w:tr>
      <w:tr w:rsidR="005D40D3" w14:paraId="3D50E096" w14:textId="643BB744" w:rsidTr="005D4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14:paraId="769BCD5B" w14:textId="24881A60"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4.5</w:t>
            </w:r>
          </w:p>
        </w:tc>
        <w:tc>
          <w:tcPr>
            <w:tcW w:w="6305" w:type="dxa"/>
          </w:tcPr>
          <w:p w14:paraId="522200D6" w14:textId="11C37431" w:rsidR="005D40D3" w:rsidRPr="008B38FE" w:rsidRDefault="005D40D3" w:rsidP="00B64DD4">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 xml:space="preserve">De </w:t>
            </w:r>
            <w:r w:rsidRPr="008B38FE">
              <w:rPr>
                <w:rFonts w:ascii="Calibri" w:hAnsi="Calibri"/>
                <w:color w:val="000000"/>
                <w:sz w:val="18"/>
                <w:szCs w:val="18"/>
                <w:lang w:eastAsia="nl-NL"/>
              </w:rPr>
              <w:t>leverancier maakt gebruik van verbindingsencryptie en hashing algoritmen die voldoen aan de eisen van de tijd.</w:t>
            </w:r>
          </w:p>
        </w:tc>
        <w:tc>
          <w:tcPr>
            <w:tcW w:w="2009" w:type="dxa"/>
          </w:tcPr>
          <w:p w14:paraId="7D86F76B"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Theme="minorHAnsi" w:hAnsiTheme="minorHAnsi" w:cs="Arial"/>
                <w:color w:val="000000"/>
                <w:sz w:val="18"/>
                <w:szCs w:val="18"/>
                <w:lang w:eastAsia="nl-NL"/>
              </w:rPr>
              <w:t>Beleidsregels Meldplicht Datalekken, H7.2.3</w:t>
            </w:r>
          </w:p>
          <w:p w14:paraId="3DCEB05E"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lastRenderedPageBreak/>
              <w:t>ENISA Algorithms-key-size-and-parameters-report-2014</w:t>
            </w:r>
          </w:p>
        </w:tc>
        <w:tc>
          <w:tcPr>
            <w:tcW w:w="2009" w:type="dxa"/>
          </w:tcPr>
          <w:p w14:paraId="18B28B1A" w14:textId="0127BA54"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c>
          <w:tcPr>
            <w:tcW w:w="2009" w:type="dxa"/>
          </w:tcPr>
          <w:p w14:paraId="61F2A190"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p>
        </w:tc>
      </w:tr>
      <w:tr w:rsidR="005D40D3" w14:paraId="24A0B234" w14:textId="342D06CD" w:rsidTr="005D40D3">
        <w:tc>
          <w:tcPr>
            <w:cnfStyle w:val="001000000000" w:firstRow="0" w:lastRow="0" w:firstColumn="1" w:lastColumn="0" w:oddVBand="0" w:evenVBand="0" w:oddHBand="0" w:evenHBand="0" w:firstRowFirstColumn="0" w:firstRowLastColumn="0" w:lastRowFirstColumn="0" w:lastRowLastColumn="0"/>
            <w:tcW w:w="732" w:type="dxa"/>
          </w:tcPr>
          <w:p w14:paraId="62C4BD8C" w14:textId="0C996FF6"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4.6</w:t>
            </w:r>
          </w:p>
        </w:tc>
        <w:tc>
          <w:tcPr>
            <w:tcW w:w="6305" w:type="dxa"/>
          </w:tcPr>
          <w:p w14:paraId="30A882A5"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lang w:eastAsia="nl-NL"/>
              </w:rPr>
              <w:t xml:space="preserve">De </w:t>
            </w:r>
            <w:r w:rsidRPr="008B38FE">
              <w:rPr>
                <w:rFonts w:ascii="Calibri" w:hAnsi="Calibri"/>
                <w:color w:val="000000"/>
                <w:sz w:val="18"/>
                <w:szCs w:val="18"/>
                <w:lang w:eastAsia="nl-NL"/>
              </w:rPr>
              <w:t>leverancier gebruikt hardware oplossingen (zoals smart cards en Hardware Security Module producten) die zijn gecertificeerd volgens daartoe strekkende standaards.</w:t>
            </w:r>
          </w:p>
        </w:tc>
        <w:tc>
          <w:tcPr>
            <w:tcW w:w="2009" w:type="dxa"/>
          </w:tcPr>
          <w:p w14:paraId="4BA8C52A"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Common Criteria</w:t>
            </w:r>
          </w:p>
        </w:tc>
        <w:tc>
          <w:tcPr>
            <w:tcW w:w="2009" w:type="dxa"/>
          </w:tcPr>
          <w:p w14:paraId="536CC9B0" w14:textId="6C23CC2E"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2009" w:type="dxa"/>
          </w:tcPr>
          <w:p w14:paraId="3E6AB91E"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5D40D3" w14:paraId="35174F04" w14:textId="1F4C9B27" w:rsidTr="005D4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tcPr>
          <w:p w14:paraId="43E1357B" w14:textId="54754194"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4.7</w:t>
            </w:r>
          </w:p>
        </w:tc>
        <w:tc>
          <w:tcPr>
            <w:tcW w:w="6305" w:type="dxa"/>
            <w:tcBorders>
              <w:bottom w:val="single" w:sz="4" w:space="0" w:color="666666" w:themeColor="text1" w:themeTint="99"/>
            </w:tcBorders>
          </w:tcPr>
          <w:p w14:paraId="31CD7930"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lang w:eastAsia="nl-NL"/>
              </w:rPr>
            </w:pPr>
            <w:r w:rsidRPr="008B38FE">
              <w:rPr>
                <w:rFonts w:ascii="Calibri" w:hAnsi="Calibri"/>
                <w:color w:val="000000"/>
                <w:sz w:val="18"/>
                <w:szCs w:val="18"/>
              </w:rPr>
              <w:t>De l</w:t>
            </w:r>
            <w:r w:rsidRPr="008B38FE">
              <w:rPr>
                <w:rFonts w:ascii="Calibri" w:hAnsi="Calibri"/>
                <w:color w:val="000000"/>
                <w:sz w:val="18"/>
                <w:szCs w:val="18"/>
                <w:lang w:eastAsia="nl-NL"/>
              </w:rPr>
              <w:t>everancier verwijdert data van af te danken apparatuur en verwijderbare media middels een secure erase alvorens af te voeren.</w:t>
            </w:r>
          </w:p>
        </w:tc>
        <w:tc>
          <w:tcPr>
            <w:tcW w:w="2009" w:type="dxa"/>
            <w:tcBorders>
              <w:bottom w:val="single" w:sz="4" w:space="0" w:color="666666" w:themeColor="text1" w:themeTint="99"/>
            </w:tcBorders>
          </w:tcPr>
          <w:p w14:paraId="32AF078C"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7264FC28"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§11.2.7</w:t>
            </w:r>
          </w:p>
          <w:p w14:paraId="272A7335"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 xml:space="preserve">NIST </w:t>
            </w:r>
          </w:p>
          <w:p w14:paraId="7FC148EB" w14:textId="6A9144AF"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§14.5.7</w:t>
            </w:r>
          </w:p>
        </w:tc>
        <w:tc>
          <w:tcPr>
            <w:tcW w:w="2009" w:type="dxa"/>
            <w:tcBorders>
              <w:bottom w:val="single" w:sz="4" w:space="0" w:color="666666" w:themeColor="text1" w:themeTint="99"/>
            </w:tcBorders>
          </w:tcPr>
          <w:p w14:paraId="11985683" w14:textId="345CEC3C"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2009" w:type="dxa"/>
            <w:tcBorders>
              <w:bottom w:val="single" w:sz="4" w:space="0" w:color="666666" w:themeColor="text1" w:themeTint="99"/>
            </w:tcBorders>
          </w:tcPr>
          <w:p w14:paraId="58E8E62E"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r w:rsidR="005D40D3" w14:paraId="11C6057B" w14:textId="79D369B2" w:rsidTr="005D40D3">
        <w:tc>
          <w:tcPr>
            <w:cnfStyle w:val="001000000000" w:firstRow="0" w:lastRow="0" w:firstColumn="1" w:lastColumn="0" w:oddVBand="0" w:evenVBand="0" w:oddHBand="0" w:evenHBand="0" w:firstRowFirstColumn="0" w:firstRowLastColumn="0" w:lastRowFirstColumn="0" w:lastRowLastColumn="0"/>
            <w:tcW w:w="732" w:type="dxa"/>
            <w:tcBorders>
              <w:bottom w:val="single" w:sz="4" w:space="0" w:color="666666" w:themeColor="text1" w:themeTint="99"/>
            </w:tcBorders>
            <w:shd w:val="clear" w:color="auto" w:fill="D99594" w:themeFill="accent2" w:themeFillTint="99"/>
          </w:tcPr>
          <w:p w14:paraId="74CCEBBD" w14:textId="0C16C769"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4.8</w:t>
            </w:r>
          </w:p>
          <w:p w14:paraId="3D929716" w14:textId="6DA0C9F6"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HOOG</w:t>
            </w:r>
          </w:p>
        </w:tc>
        <w:tc>
          <w:tcPr>
            <w:tcW w:w="6305" w:type="dxa"/>
            <w:tcBorders>
              <w:bottom w:val="single" w:sz="4" w:space="0" w:color="666666" w:themeColor="text1" w:themeTint="99"/>
            </w:tcBorders>
            <w:shd w:val="clear" w:color="auto" w:fill="D99594" w:themeFill="accent2" w:themeFillTint="99"/>
          </w:tcPr>
          <w:p w14:paraId="62A80D83" w14:textId="77777777" w:rsidR="005D40D3" w:rsidRPr="008B38FE" w:rsidRDefault="005D40D3" w:rsidP="002F68A6">
            <w:pPr>
              <w:spacing w:after="0"/>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lang w:eastAsia="nl-NL"/>
              </w:rPr>
            </w:pPr>
            <w:r w:rsidRPr="008B38FE">
              <w:rPr>
                <w:rFonts w:ascii="Calibri" w:hAnsi="Calibri"/>
                <w:color w:val="000000"/>
                <w:sz w:val="18"/>
                <w:szCs w:val="18"/>
                <w:lang w:eastAsia="nl-NL"/>
              </w:rPr>
              <w:t>Authenticatie van gebruikers op basis van cryptografische techniek, hardware tokens of challenge/response protocollen (sterke authenticatie) vindt in ieder geval plaats in de volgende situaties:</w:t>
            </w:r>
          </w:p>
          <w:p w14:paraId="0B5F5A04" w14:textId="5FFB98E6" w:rsidR="005D40D3" w:rsidRPr="008B38FE" w:rsidRDefault="005D40D3" w:rsidP="001F7149">
            <w:pPr>
              <w:pStyle w:val="ListParagraph"/>
              <w:numPr>
                <w:ilvl w:val="0"/>
                <w:numId w:val="31"/>
              </w:numPr>
              <w:spacing w:after="0"/>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8B38FE">
              <w:rPr>
                <w:rFonts w:ascii="Calibri" w:hAnsi="Calibri"/>
                <w:color w:val="000000"/>
                <w:sz w:val="18"/>
                <w:szCs w:val="18"/>
                <w:lang w:eastAsia="nl-NL"/>
              </w:rPr>
              <w:t>wanneer Single Sign-On wordt toegepast;</w:t>
            </w:r>
          </w:p>
          <w:p w14:paraId="748FF9FE" w14:textId="77777777" w:rsidR="005D40D3" w:rsidRPr="008B38FE" w:rsidRDefault="005D40D3" w:rsidP="001F7149">
            <w:pPr>
              <w:pStyle w:val="ListParagraph"/>
              <w:numPr>
                <w:ilvl w:val="0"/>
                <w:numId w:val="31"/>
              </w:numPr>
              <w:spacing w:after="0"/>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8B38FE">
              <w:rPr>
                <w:rFonts w:ascii="Calibri" w:hAnsi="Calibri"/>
                <w:color w:val="000000"/>
                <w:sz w:val="18"/>
                <w:szCs w:val="18"/>
                <w:lang w:eastAsia="nl-NL"/>
              </w:rPr>
              <w:t>bij toegang vanuit een onvertrouwd netwerk;</w:t>
            </w:r>
          </w:p>
          <w:p w14:paraId="3BBAEAA7" w14:textId="77CD8E8B" w:rsidR="005D40D3" w:rsidRPr="008B38FE" w:rsidRDefault="005D40D3" w:rsidP="001F7149">
            <w:pPr>
              <w:pStyle w:val="ListParagraph"/>
              <w:numPr>
                <w:ilvl w:val="0"/>
                <w:numId w:val="31"/>
              </w:numPr>
              <w:spacing w:after="0"/>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8B38FE">
              <w:rPr>
                <w:rFonts w:ascii="Calibri" w:hAnsi="Calibri"/>
                <w:color w:val="000000"/>
                <w:sz w:val="18"/>
                <w:szCs w:val="18"/>
                <w:lang w:eastAsia="nl-NL"/>
              </w:rPr>
              <w:t>bij beheer van kritische beveiligingsvoorzieningen (zoals firewalls, Intrusion Detection and Prevention Systems en routers).</w:t>
            </w:r>
          </w:p>
        </w:tc>
        <w:tc>
          <w:tcPr>
            <w:tcW w:w="2009" w:type="dxa"/>
            <w:tcBorders>
              <w:bottom w:val="single" w:sz="4" w:space="0" w:color="666666" w:themeColor="text1" w:themeTint="99"/>
            </w:tcBorders>
            <w:shd w:val="clear" w:color="auto" w:fill="D99594" w:themeFill="accent2" w:themeFillTint="99"/>
          </w:tcPr>
          <w:p w14:paraId="0CC8E356"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2009" w:type="dxa"/>
            <w:tcBorders>
              <w:bottom w:val="single" w:sz="4" w:space="0" w:color="666666" w:themeColor="text1" w:themeTint="99"/>
            </w:tcBorders>
            <w:shd w:val="clear" w:color="auto" w:fill="D99594" w:themeFill="accent2" w:themeFillTint="99"/>
          </w:tcPr>
          <w:p w14:paraId="36DE89D2" w14:textId="7AF068BB"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2009" w:type="dxa"/>
            <w:tcBorders>
              <w:bottom w:val="single" w:sz="4" w:space="0" w:color="666666" w:themeColor="text1" w:themeTint="99"/>
            </w:tcBorders>
            <w:shd w:val="clear" w:color="auto" w:fill="D99594" w:themeFill="accent2" w:themeFillTint="99"/>
          </w:tcPr>
          <w:p w14:paraId="3E8ABC96" w14:textId="6BDF91FC"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5D40D3" w14:paraId="6A518DAC" w14:textId="6B71A81F" w:rsidTr="005D4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shd w:val="clear" w:color="auto" w:fill="D99594" w:themeFill="accent2" w:themeFillTint="99"/>
          </w:tcPr>
          <w:p w14:paraId="1786255E" w14:textId="7233560E" w:rsidR="005D40D3" w:rsidRPr="008B38FE" w:rsidRDefault="005D40D3" w:rsidP="00816C28">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4.9</w:t>
            </w:r>
          </w:p>
          <w:p w14:paraId="21F0FE12" w14:textId="0D259D99" w:rsidR="005D40D3" w:rsidRPr="008B38FE" w:rsidRDefault="005D40D3" w:rsidP="00816C28">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HOOG</w:t>
            </w:r>
          </w:p>
        </w:tc>
        <w:tc>
          <w:tcPr>
            <w:tcW w:w="6305" w:type="dxa"/>
            <w:shd w:val="clear" w:color="auto" w:fill="D99594" w:themeFill="accent2" w:themeFillTint="99"/>
          </w:tcPr>
          <w:p w14:paraId="354FB05D" w14:textId="3DA43489" w:rsidR="005D40D3" w:rsidRPr="008B38FE" w:rsidRDefault="005D40D3" w:rsidP="00816C28">
            <w:pPr>
              <w:spacing w:after="0"/>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lang w:eastAsia="nl-NL"/>
              </w:rPr>
            </w:pPr>
            <w:r w:rsidRPr="008B38FE">
              <w:rPr>
                <w:rFonts w:ascii="Calibri" w:hAnsi="Calibri"/>
                <w:color w:val="000000"/>
                <w:sz w:val="18"/>
                <w:szCs w:val="18"/>
                <w:lang w:eastAsia="nl-NL"/>
              </w:rPr>
              <w:t>De leverancier stemt de geldigheidstermijn van cryptografische sleutels en certificaten af op het kritische gehalte van de toepassing met een maximum van 1 jaar.</w:t>
            </w:r>
          </w:p>
        </w:tc>
        <w:tc>
          <w:tcPr>
            <w:tcW w:w="2009" w:type="dxa"/>
            <w:shd w:val="clear" w:color="auto" w:fill="D99594" w:themeFill="accent2" w:themeFillTint="99"/>
          </w:tcPr>
          <w:p w14:paraId="4D2D9FA0" w14:textId="77777777" w:rsidR="005D40D3" w:rsidRPr="008B38FE" w:rsidRDefault="005D40D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2009" w:type="dxa"/>
            <w:shd w:val="clear" w:color="auto" w:fill="D99594" w:themeFill="accent2" w:themeFillTint="99"/>
          </w:tcPr>
          <w:p w14:paraId="228CDD50" w14:textId="73EEB542" w:rsidR="005D40D3" w:rsidRPr="008B38FE" w:rsidRDefault="005D40D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2009" w:type="dxa"/>
            <w:shd w:val="clear" w:color="auto" w:fill="D99594" w:themeFill="accent2" w:themeFillTint="99"/>
          </w:tcPr>
          <w:p w14:paraId="024BA11B" w14:textId="77777777" w:rsidR="005D40D3" w:rsidRPr="008B38FE" w:rsidRDefault="005D40D3" w:rsidP="008A14E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bl>
    <w:p w14:paraId="1E0A2A4C" w14:textId="77F386DA" w:rsidR="00B64DD4" w:rsidRDefault="00B64DD4" w:rsidP="00001DC2">
      <w:pPr>
        <w:spacing w:before="200" w:after="0"/>
        <w:rPr>
          <w:rFonts w:cs="Arial"/>
          <w:color w:val="000000"/>
          <w:lang w:eastAsia="nl-NL"/>
        </w:rPr>
      </w:pPr>
    </w:p>
    <w:p w14:paraId="141ED0DF" w14:textId="77777777" w:rsidR="00116A33" w:rsidRDefault="00116A33">
      <w:pPr>
        <w:spacing w:after="0" w:line="240" w:lineRule="auto"/>
        <w:rPr>
          <w:rFonts w:eastAsiaTheme="majorEastAsia" w:cstheme="majorBidi"/>
          <w:b/>
          <w:bCs/>
          <w:spacing w:val="22"/>
          <w:sz w:val="28"/>
          <w:szCs w:val="32"/>
          <w:lang w:eastAsia="nl-NL"/>
        </w:rPr>
      </w:pPr>
      <w:r>
        <w:rPr>
          <w:lang w:eastAsia="nl-NL"/>
        </w:rPr>
        <w:br w:type="page"/>
      </w:r>
    </w:p>
    <w:p w14:paraId="310CD446" w14:textId="7509CD88" w:rsidR="00B64DD4" w:rsidRDefault="00E81A68" w:rsidP="00E81A68">
      <w:pPr>
        <w:pStyle w:val="Heading1"/>
        <w:pageBreakBefore w:val="0"/>
        <w:rPr>
          <w:lang w:eastAsia="nl-NL"/>
        </w:rPr>
      </w:pPr>
      <w:r>
        <w:rPr>
          <w:lang w:eastAsia="nl-NL"/>
        </w:rPr>
        <w:lastRenderedPageBreak/>
        <w:t>Controle en logging</w:t>
      </w:r>
    </w:p>
    <w:p w14:paraId="72F98960" w14:textId="3322CD55" w:rsidR="00E81A68" w:rsidRDefault="00E81A68" w:rsidP="00E81A68">
      <w:pPr>
        <w:rPr>
          <w:rFonts w:cs="Arial"/>
          <w:color w:val="000000"/>
          <w:lang w:eastAsia="nl-NL"/>
        </w:rPr>
      </w:pPr>
      <w:r>
        <w:rPr>
          <w:lang w:eastAsia="nl-NL"/>
        </w:rPr>
        <w:t>Logging en het bijhouden van gebruikersactiviteit is essentieel bij het voorkomen, detecteren of minimaliseren van de impact van een inbreuk.</w:t>
      </w:r>
    </w:p>
    <w:tbl>
      <w:tblPr>
        <w:tblStyle w:val="GridTable4"/>
        <w:tblW w:w="13068" w:type="dxa"/>
        <w:tblLook w:val="04A0" w:firstRow="1" w:lastRow="0" w:firstColumn="1" w:lastColumn="0" w:noHBand="0" w:noVBand="1"/>
      </w:tblPr>
      <w:tblGrid>
        <w:gridCol w:w="622"/>
        <w:gridCol w:w="6413"/>
        <w:gridCol w:w="2011"/>
        <w:gridCol w:w="2011"/>
        <w:gridCol w:w="2011"/>
      </w:tblGrid>
      <w:tr w:rsidR="005D40D3" w:rsidRPr="00C921B3" w14:paraId="16777DC6" w14:textId="49651D93" w:rsidTr="005D40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dxa"/>
          </w:tcPr>
          <w:p w14:paraId="63E52EA7" w14:textId="77777777" w:rsidR="005D40D3" w:rsidRPr="00C921B3" w:rsidRDefault="005D40D3" w:rsidP="00450BBA">
            <w:pPr>
              <w:spacing w:after="0"/>
              <w:rPr>
                <w:rFonts w:cs="Arial"/>
                <w:b w:val="0"/>
              </w:rPr>
            </w:pPr>
            <w:r w:rsidRPr="00C921B3">
              <w:rPr>
                <w:rFonts w:cs="Arial"/>
                <w:b w:val="0"/>
              </w:rPr>
              <w:t>#</w:t>
            </w:r>
          </w:p>
        </w:tc>
        <w:tc>
          <w:tcPr>
            <w:tcW w:w="6413" w:type="dxa"/>
          </w:tcPr>
          <w:p w14:paraId="6A3BB18E" w14:textId="77777777" w:rsidR="005D40D3" w:rsidRPr="00C921B3" w:rsidRDefault="005D40D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sidRPr="00C921B3">
              <w:rPr>
                <w:rFonts w:cs="Arial"/>
                <w:b w:val="0"/>
              </w:rPr>
              <w:t>Maatregel</w:t>
            </w:r>
          </w:p>
        </w:tc>
        <w:tc>
          <w:tcPr>
            <w:tcW w:w="2011" w:type="dxa"/>
          </w:tcPr>
          <w:p w14:paraId="0F179338" w14:textId="77777777" w:rsidR="005D40D3" w:rsidRPr="00C921B3" w:rsidRDefault="005D40D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sidRPr="00C921B3">
              <w:rPr>
                <w:rFonts w:cs="Arial"/>
                <w:b w:val="0"/>
              </w:rPr>
              <w:t>Referentie</w:t>
            </w:r>
          </w:p>
        </w:tc>
        <w:tc>
          <w:tcPr>
            <w:tcW w:w="2011" w:type="dxa"/>
          </w:tcPr>
          <w:p w14:paraId="263FBDBF" w14:textId="5EE5160C" w:rsidR="005D40D3" w:rsidRPr="00C921B3" w:rsidRDefault="005D40D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Status</w:t>
            </w:r>
          </w:p>
        </w:tc>
        <w:tc>
          <w:tcPr>
            <w:tcW w:w="2011" w:type="dxa"/>
          </w:tcPr>
          <w:p w14:paraId="472C78DA" w14:textId="158BC625" w:rsidR="005D40D3" w:rsidRPr="00C921B3" w:rsidRDefault="005D40D3" w:rsidP="00450BBA">
            <w:pPr>
              <w:spacing w:after="0"/>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Toelichting</w:t>
            </w:r>
          </w:p>
        </w:tc>
      </w:tr>
      <w:tr w:rsidR="005D40D3" w14:paraId="0840DCC9" w14:textId="102524FB" w:rsidTr="005D4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dxa"/>
          </w:tcPr>
          <w:p w14:paraId="225D9A71" w14:textId="7A84BFAD"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5.1</w:t>
            </w:r>
          </w:p>
        </w:tc>
        <w:tc>
          <w:tcPr>
            <w:tcW w:w="6413" w:type="dxa"/>
          </w:tcPr>
          <w:p w14:paraId="7BFAB8F0" w14:textId="592C1290"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De leverancier legt activiteiten die gebruikers uitvoeren op (persoons-) gegevens vast in logbestanden en registreert goedgekeurde en geweigerde pogingen om toegang te verkrijgen tot bronnen van informatie.</w:t>
            </w:r>
          </w:p>
        </w:tc>
        <w:tc>
          <w:tcPr>
            <w:tcW w:w="2011" w:type="dxa"/>
          </w:tcPr>
          <w:p w14:paraId="5C95D1DC"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7AA0DCBB"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§12.4.1</w:t>
            </w:r>
          </w:p>
        </w:tc>
        <w:tc>
          <w:tcPr>
            <w:tcW w:w="2011" w:type="dxa"/>
          </w:tcPr>
          <w:p w14:paraId="3A68FFFA" w14:textId="27AC9166"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2011" w:type="dxa"/>
          </w:tcPr>
          <w:p w14:paraId="7C08663B"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r w:rsidR="005D40D3" w14:paraId="79C8B774" w14:textId="6946D659" w:rsidTr="005D40D3">
        <w:tc>
          <w:tcPr>
            <w:cnfStyle w:val="001000000000" w:firstRow="0" w:lastRow="0" w:firstColumn="1" w:lastColumn="0" w:oddVBand="0" w:evenVBand="0" w:oddHBand="0" w:evenHBand="0" w:firstRowFirstColumn="0" w:firstRowLastColumn="0" w:lastRowFirstColumn="0" w:lastRowLastColumn="0"/>
            <w:tcW w:w="622" w:type="dxa"/>
          </w:tcPr>
          <w:p w14:paraId="3B62BF65" w14:textId="710012AD"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5.2</w:t>
            </w:r>
          </w:p>
        </w:tc>
        <w:tc>
          <w:tcPr>
            <w:tcW w:w="6413" w:type="dxa"/>
          </w:tcPr>
          <w:p w14:paraId="56555E41"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De leverancier beschermt logfaciliteiten en informatie in logbestanden tegen vervalsing en onbevoegde toegang.</w:t>
            </w:r>
          </w:p>
        </w:tc>
        <w:tc>
          <w:tcPr>
            <w:tcW w:w="2011" w:type="dxa"/>
          </w:tcPr>
          <w:p w14:paraId="240DD847"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422EEE84"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§12.4.2</w:t>
            </w:r>
          </w:p>
          <w:p w14:paraId="1D8105D0"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Wbp, art. 10.2</w:t>
            </w:r>
          </w:p>
        </w:tc>
        <w:tc>
          <w:tcPr>
            <w:tcW w:w="2011" w:type="dxa"/>
          </w:tcPr>
          <w:p w14:paraId="1423418A" w14:textId="2252C99A"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2011" w:type="dxa"/>
          </w:tcPr>
          <w:p w14:paraId="5D9A0A58"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5D40D3" w14:paraId="31127634" w14:textId="798BAF07" w:rsidTr="005D4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dxa"/>
          </w:tcPr>
          <w:p w14:paraId="2432D481" w14:textId="7029C88A"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5.3</w:t>
            </w:r>
          </w:p>
        </w:tc>
        <w:tc>
          <w:tcPr>
            <w:tcW w:w="6413" w:type="dxa"/>
          </w:tcPr>
          <w:p w14:paraId="4D0F19FA"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De leverancier legt activiteiten van systeembeheerders en -operators vast en beoordeelt ze regelmatig.</w:t>
            </w:r>
          </w:p>
        </w:tc>
        <w:tc>
          <w:tcPr>
            <w:tcW w:w="2011" w:type="dxa"/>
          </w:tcPr>
          <w:p w14:paraId="57645FBD"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40B9C049"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§12.4.3</w:t>
            </w:r>
          </w:p>
        </w:tc>
        <w:tc>
          <w:tcPr>
            <w:tcW w:w="2011" w:type="dxa"/>
          </w:tcPr>
          <w:p w14:paraId="3F4D043E" w14:textId="5D0CE0BA"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2011" w:type="dxa"/>
          </w:tcPr>
          <w:p w14:paraId="7EC6904E"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r>
      <w:tr w:rsidR="005D40D3" w14:paraId="3C354E58" w14:textId="229B0EC7" w:rsidTr="005D40D3">
        <w:tc>
          <w:tcPr>
            <w:cnfStyle w:val="001000000000" w:firstRow="0" w:lastRow="0" w:firstColumn="1" w:lastColumn="0" w:oddVBand="0" w:evenVBand="0" w:oddHBand="0" w:evenHBand="0" w:firstRowFirstColumn="0" w:firstRowLastColumn="0" w:lastRowFirstColumn="0" w:lastRowLastColumn="0"/>
            <w:tcW w:w="622" w:type="dxa"/>
          </w:tcPr>
          <w:p w14:paraId="2C4D7FE2" w14:textId="14333A83"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5.4</w:t>
            </w:r>
          </w:p>
        </w:tc>
        <w:tc>
          <w:tcPr>
            <w:tcW w:w="6413" w:type="dxa"/>
          </w:tcPr>
          <w:p w14:paraId="342FD685"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De leverancier gebruikt één referentietijdbron waarmee alle relevante informatie verwerkende systemen worden gesynchroniseerd, zodat de nauwkeurigheid van logbestanden gewaarborgd is.</w:t>
            </w:r>
          </w:p>
        </w:tc>
        <w:tc>
          <w:tcPr>
            <w:tcW w:w="2011" w:type="dxa"/>
          </w:tcPr>
          <w:p w14:paraId="2A4588DB"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ISO 27002:2013</w:t>
            </w:r>
          </w:p>
          <w:p w14:paraId="489FF98C"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§12.4.4</w:t>
            </w:r>
          </w:p>
        </w:tc>
        <w:tc>
          <w:tcPr>
            <w:tcW w:w="2011" w:type="dxa"/>
          </w:tcPr>
          <w:p w14:paraId="462C41FE" w14:textId="521619DC"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2011" w:type="dxa"/>
          </w:tcPr>
          <w:p w14:paraId="3192A74F"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r w:rsidR="005D40D3" w14:paraId="592DDC94" w14:textId="62295252" w:rsidTr="005D4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 w:type="dxa"/>
          </w:tcPr>
          <w:p w14:paraId="640B61AE" w14:textId="37206138"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5.5</w:t>
            </w:r>
          </w:p>
        </w:tc>
        <w:tc>
          <w:tcPr>
            <w:tcW w:w="6413" w:type="dxa"/>
          </w:tcPr>
          <w:p w14:paraId="23E25D37" w14:textId="77777777" w:rsidR="005D40D3" w:rsidRPr="008B38FE" w:rsidRDefault="005D40D3" w:rsidP="003565F9">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De leverancier levert aan de opdrachtgever maandelijks een rapportage waarin ten minste zijn opgenomen:</w:t>
            </w:r>
          </w:p>
          <w:p w14:paraId="5EFEB1E6" w14:textId="77777777" w:rsidR="005D40D3" w:rsidRPr="008B38FE" w:rsidRDefault="005D40D3" w:rsidP="001F7149">
            <w:pPr>
              <w:pStyle w:val="ListParagraph"/>
              <w:numPr>
                <w:ilvl w:val="0"/>
                <w:numId w:val="32"/>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rPr>
              <w:t>aantallen geslaagde en mislukte inlogpogingen;</w:t>
            </w:r>
          </w:p>
          <w:p w14:paraId="33F3C9BD" w14:textId="77777777" w:rsidR="005D40D3" w:rsidRPr="008B38FE" w:rsidRDefault="005D40D3" w:rsidP="001F7149">
            <w:pPr>
              <w:pStyle w:val="ListParagraph"/>
              <w:numPr>
                <w:ilvl w:val="0"/>
                <w:numId w:val="32"/>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rPr>
              <w:t>data en tijden van niet succesvolle inlogpogingen;</w:t>
            </w:r>
          </w:p>
          <w:p w14:paraId="7611EB74" w14:textId="77777777" w:rsidR="005D40D3" w:rsidRPr="008B38FE" w:rsidRDefault="005D40D3" w:rsidP="001F7149">
            <w:pPr>
              <w:pStyle w:val="ListParagraph"/>
              <w:numPr>
                <w:ilvl w:val="0"/>
                <w:numId w:val="32"/>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rPr>
              <w:t>gevraagde en verleende toegang tot gedeelde bestanden/informatie buiten de regulieren gebruikstijden;</w:t>
            </w:r>
          </w:p>
          <w:p w14:paraId="217AB98D" w14:textId="77777777" w:rsidR="005D40D3" w:rsidRPr="008B38FE" w:rsidRDefault="005D40D3" w:rsidP="001F7149">
            <w:pPr>
              <w:pStyle w:val="ListParagraph"/>
              <w:numPr>
                <w:ilvl w:val="0"/>
                <w:numId w:val="32"/>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rPr>
              <w:t>activiteiten van beheerders;</w:t>
            </w:r>
          </w:p>
          <w:p w14:paraId="102B083F" w14:textId="77777777" w:rsidR="005D40D3" w:rsidRPr="008B38FE" w:rsidRDefault="005D40D3" w:rsidP="001F7149">
            <w:pPr>
              <w:pStyle w:val="ListParagraph"/>
              <w:numPr>
                <w:ilvl w:val="0"/>
                <w:numId w:val="32"/>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rPr>
              <w:t>significante gebruikershandelingen (zoals mutaties aan autorisaties, configuratieparameters en stamgegevens; afhankelijk van applicatie);</w:t>
            </w:r>
          </w:p>
          <w:p w14:paraId="7477CD76" w14:textId="5248F2C5" w:rsidR="005D40D3" w:rsidRPr="008B38FE" w:rsidRDefault="005D40D3" w:rsidP="001F7149">
            <w:pPr>
              <w:pStyle w:val="ListParagraph"/>
              <w:numPr>
                <w:ilvl w:val="0"/>
                <w:numId w:val="32"/>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rPr>
              <w:t xml:space="preserve">gedetecteerde malware (wormen/virussen/spyware e.d.) en </w:t>
            </w:r>
            <w:r w:rsidRPr="008B38FE">
              <w:rPr>
                <w:rFonts w:ascii="Calibri" w:hAnsi="Calibri"/>
                <w:color w:val="000000"/>
                <w:sz w:val="18"/>
                <w:szCs w:val="18"/>
                <w:lang w:eastAsia="nl-NL"/>
              </w:rPr>
              <w:t>storingen in de dienstverlening.</w:t>
            </w:r>
          </w:p>
        </w:tc>
        <w:tc>
          <w:tcPr>
            <w:tcW w:w="2011" w:type="dxa"/>
          </w:tcPr>
          <w:p w14:paraId="33121EA1" w14:textId="77777777"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2011" w:type="dxa"/>
          </w:tcPr>
          <w:p w14:paraId="4F7B3009" w14:textId="34EAE20B" w:rsidR="005D40D3" w:rsidRPr="008B38FE" w:rsidRDefault="005D40D3"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p>
        </w:tc>
        <w:tc>
          <w:tcPr>
            <w:tcW w:w="2011" w:type="dxa"/>
          </w:tcPr>
          <w:p w14:paraId="6647FEB6" w14:textId="71CFFBF2" w:rsidR="005D40D3" w:rsidRPr="008B38FE" w:rsidRDefault="00E773B7" w:rsidP="00450BBA">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Pr>
                <w:rFonts w:asciiTheme="minorHAnsi" w:hAnsiTheme="minorHAnsi" w:cs="Arial"/>
                <w:color w:val="000000"/>
                <w:sz w:val="18"/>
                <w:szCs w:val="18"/>
              </w:rPr>
              <w:t>@@Maandelijks lijkt mij te veel om ook nog echt aandacht aan te geven. Is een andere frequentie en dan triggers op afwijkingen praktischer?</w:t>
            </w:r>
          </w:p>
        </w:tc>
      </w:tr>
      <w:tr w:rsidR="005D40D3" w14:paraId="2D202ED4" w14:textId="73036DAC" w:rsidTr="005D40D3">
        <w:tc>
          <w:tcPr>
            <w:cnfStyle w:val="001000000000" w:firstRow="0" w:lastRow="0" w:firstColumn="1" w:lastColumn="0" w:oddVBand="0" w:evenVBand="0" w:oddHBand="0" w:evenHBand="0" w:firstRowFirstColumn="0" w:firstRowLastColumn="0" w:lastRowFirstColumn="0" w:lastRowLastColumn="0"/>
            <w:tcW w:w="622" w:type="dxa"/>
          </w:tcPr>
          <w:p w14:paraId="4F740EA7" w14:textId="260602E6" w:rsidR="005D40D3" w:rsidRPr="008B38FE" w:rsidRDefault="005D40D3" w:rsidP="00450BBA">
            <w:pPr>
              <w:spacing w:after="0"/>
              <w:rPr>
                <w:rFonts w:asciiTheme="minorHAnsi" w:hAnsiTheme="minorHAnsi" w:cs="Arial"/>
                <w:b w:val="0"/>
                <w:color w:val="000000"/>
                <w:sz w:val="18"/>
                <w:szCs w:val="18"/>
              </w:rPr>
            </w:pPr>
            <w:r w:rsidRPr="008B38FE">
              <w:rPr>
                <w:rFonts w:asciiTheme="minorHAnsi" w:hAnsiTheme="minorHAnsi" w:cs="Arial"/>
                <w:b w:val="0"/>
                <w:color w:val="000000"/>
                <w:sz w:val="18"/>
                <w:szCs w:val="18"/>
              </w:rPr>
              <w:t>5.6</w:t>
            </w:r>
          </w:p>
        </w:tc>
        <w:tc>
          <w:tcPr>
            <w:tcW w:w="6413" w:type="dxa"/>
          </w:tcPr>
          <w:p w14:paraId="3263044C" w14:textId="521040E0" w:rsidR="005D40D3" w:rsidRPr="008B38FE" w:rsidRDefault="005D40D3" w:rsidP="00C921B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Calibri" w:hAnsi="Calibri"/>
                <w:color w:val="000000"/>
                <w:sz w:val="18"/>
                <w:szCs w:val="18"/>
              </w:rPr>
              <w:t xml:space="preserve">De leverancier bewaart alle informatie in de logbestanden tenminste 3 maanden en ten hoogste 12 maanden, tenzij wettelijke verplichtingen anders voorschrijven of de logbestanden nodig zijn voor onderzoek in het kader van een (vermoed) beveiligingsincident. Gedurende die periode kan deze informatie worden ingezien door de opdrachtgever. </w:t>
            </w:r>
          </w:p>
        </w:tc>
        <w:tc>
          <w:tcPr>
            <w:tcW w:w="2011" w:type="dxa"/>
          </w:tcPr>
          <w:p w14:paraId="1BA8931B"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8B38FE">
              <w:rPr>
                <w:rFonts w:asciiTheme="minorHAnsi" w:hAnsiTheme="minorHAnsi" w:cs="Arial"/>
                <w:color w:val="000000"/>
                <w:sz w:val="18"/>
                <w:szCs w:val="18"/>
              </w:rPr>
              <w:t>Wbp, art. 10.1 en art. 10.2</w:t>
            </w:r>
          </w:p>
        </w:tc>
        <w:tc>
          <w:tcPr>
            <w:tcW w:w="2011" w:type="dxa"/>
          </w:tcPr>
          <w:p w14:paraId="332E0F47" w14:textId="31EE80A9"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c>
          <w:tcPr>
            <w:tcW w:w="2011" w:type="dxa"/>
          </w:tcPr>
          <w:p w14:paraId="65934C5A" w14:textId="77777777" w:rsidR="005D40D3" w:rsidRPr="008B38FE" w:rsidRDefault="005D40D3" w:rsidP="00450BBA">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p>
        </w:tc>
      </w:tr>
    </w:tbl>
    <w:p w14:paraId="7571F897" w14:textId="77777777" w:rsidR="00B3082B" w:rsidRPr="00B3082B" w:rsidRDefault="00B3082B" w:rsidP="00B3082B"/>
    <w:sectPr w:rsidR="00B3082B" w:rsidRPr="00B3082B" w:rsidSect="00116A33">
      <w:footerReference w:type="default" r:id="rId8"/>
      <w:pgSz w:w="16840" w:h="11900" w:orient="landscape" w:code="9"/>
      <w:pgMar w:top="1418" w:right="1701" w:bottom="1418"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D276F" w14:textId="77777777" w:rsidR="00DC6B73" w:rsidRDefault="00DC6B73">
      <w:r>
        <w:separator/>
      </w:r>
    </w:p>
  </w:endnote>
  <w:endnote w:type="continuationSeparator" w:id="0">
    <w:p w14:paraId="69E5836B" w14:textId="77777777" w:rsidR="00DC6B73" w:rsidRDefault="00DC6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ingLiU">
    <w:altName w:val="細明體"/>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07005" w14:textId="77777777" w:rsidR="00ED1F87" w:rsidRDefault="00ED1F87" w:rsidP="00C134B9">
    <w:pPr>
      <w:pStyle w:val="SNVoettekst"/>
    </w:pPr>
    <w:r>
      <w:rPr>
        <w:rStyle w:val="PageNumber"/>
        <w:szCs w:val="16"/>
      </w:rPr>
      <w:tab/>
    </w:r>
    <w:r>
      <w:rPr>
        <w:rStyle w:val="PageNumber"/>
        <w:szCs w:val="16"/>
      </w:rPr>
      <w:tab/>
    </w:r>
    <w:r w:rsidRPr="00504D08">
      <w:rPr>
        <w:rStyle w:val="PageNumber"/>
        <w:szCs w:val="16"/>
      </w:rPr>
      <w:fldChar w:fldCharType="begin"/>
    </w:r>
    <w:r w:rsidRPr="00504D08">
      <w:rPr>
        <w:rStyle w:val="PageNumber"/>
        <w:szCs w:val="16"/>
      </w:rPr>
      <w:instrText xml:space="preserve"> PAGE </w:instrText>
    </w:r>
    <w:r w:rsidRPr="00504D08">
      <w:rPr>
        <w:rStyle w:val="PageNumber"/>
        <w:szCs w:val="16"/>
      </w:rPr>
      <w:fldChar w:fldCharType="separate"/>
    </w:r>
    <w:r w:rsidR="002B489D">
      <w:rPr>
        <w:rStyle w:val="PageNumber"/>
        <w:noProof/>
        <w:szCs w:val="16"/>
      </w:rPr>
      <w:t>8</w:t>
    </w:r>
    <w:r w:rsidRPr="00504D08">
      <w:rPr>
        <w:rStyle w:val="PageNumber"/>
        <w:szCs w:val="16"/>
      </w:rPr>
      <w:fldChar w:fldCharType="end"/>
    </w:r>
    <w:r>
      <w:rPr>
        <w:rStyle w:val="PageNumber"/>
        <w:szCs w:val="16"/>
      </w:rPr>
      <w:t>/</w:t>
    </w:r>
    <w:fldSimple w:instr=" NUMPAGES   \* MERGEFORMAT ">
      <w:r w:rsidR="002B489D" w:rsidRPr="002B489D">
        <w:rPr>
          <w:rStyle w:val="PageNumber"/>
          <w:noProof/>
          <w:szCs w:val="16"/>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DAFDF" w14:textId="77777777" w:rsidR="00DC6B73" w:rsidRDefault="00DC6B73">
      <w:r>
        <w:separator/>
      </w:r>
    </w:p>
  </w:footnote>
  <w:footnote w:type="continuationSeparator" w:id="0">
    <w:p w14:paraId="14E757B9" w14:textId="77777777" w:rsidR="00DC6B73" w:rsidRDefault="00DC6B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144"/>
    <w:multiLevelType w:val="hybridMultilevel"/>
    <w:tmpl w:val="E1E6D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2" w15:restartNumberingAfterBreak="0">
    <w:nsid w:val="0AE52638"/>
    <w:multiLevelType w:val="hybridMultilevel"/>
    <w:tmpl w:val="CCC8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F453B6"/>
    <w:multiLevelType w:val="hybridMultilevel"/>
    <w:tmpl w:val="65AC0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AC2D86"/>
    <w:multiLevelType w:val="hybridMultilevel"/>
    <w:tmpl w:val="7230F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5A3742"/>
    <w:multiLevelType w:val="hybridMultilevel"/>
    <w:tmpl w:val="2B3E2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54431"/>
    <w:multiLevelType w:val="hybridMultilevel"/>
    <w:tmpl w:val="D908C548"/>
    <w:lvl w:ilvl="0" w:tplc="5C8E0D48">
      <w:start w:val="1"/>
      <w:numFmt w:val="bullet"/>
      <w:pStyle w:val="Opmerking"/>
      <w:lvlText w:val=""/>
      <w:lvlJc w:val="left"/>
      <w:pPr>
        <w:ind w:left="360" w:hanging="360"/>
      </w:pPr>
      <w:rPr>
        <w:rFonts w:ascii="Webdings" w:hAnsi="Webdings" w:hint="default"/>
        <w:color w:val="79B1CC"/>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BD71EA"/>
    <w:multiLevelType w:val="hybridMultilevel"/>
    <w:tmpl w:val="F8406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1531B9"/>
    <w:multiLevelType w:val="hybridMultilevel"/>
    <w:tmpl w:val="9F4CB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2B1E9E"/>
    <w:multiLevelType w:val="hybridMultilevel"/>
    <w:tmpl w:val="B8D42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3769B8"/>
    <w:multiLevelType w:val="hybridMultilevel"/>
    <w:tmpl w:val="0916CD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867E67"/>
    <w:multiLevelType w:val="hybridMultilevel"/>
    <w:tmpl w:val="0916CD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8117EA"/>
    <w:multiLevelType w:val="multilevel"/>
    <w:tmpl w:val="DD08093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47636172"/>
    <w:multiLevelType w:val="hybridMultilevel"/>
    <w:tmpl w:val="35A0C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020D9"/>
    <w:multiLevelType w:val="hybridMultilevel"/>
    <w:tmpl w:val="A7F85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23627B"/>
    <w:multiLevelType w:val="hybridMultilevel"/>
    <w:tmpl w:val="0916CD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8A14E3A"/>
    <w:multiLevelType w:val="hybridMultilevel"/>
    <w:tmpl w:val="A1C486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E56AC6"/>
    <w:multiLevelType w:val="hybridMultilevel"/>
    <w:tmpl w:val="FD486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D93DC6"/>
    <w:multiLevelType w:val="hybridMultilevel"/>
    <w:tmpl w:val="180CF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2" w15:restartNumberingAfterBreak="0">
    <w:nsid w:val="656059F2"/>
    <w:multiLevelType w:val="hybridMultilevel"/>
    <w:tmpl w:val="0916CD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CD30CA"/>
    <w:multiLevelType w:val="hybridMultilevel"/>
    <w:tmpl w:val="10DE64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C6270D"/>
    <w:multiLevelType w:val="hybridMultilevel"/>
    <w:tmpl w:val="0916CD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3568E3"/>
    <w:multiLevelType w:val="hybridMultilevel"/>
    <w:tmpl w:val="59186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953270"/>
    <w:multiLevelType w:val="hybridMultilevel"/>
    <w:tmpl w:val="29749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8B0708"/>
    <w:multiLevelType w:val="hybridMultilevel"/>
    <w:tmpl w:val="BF68A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B7746E"/>
    <w:multiLevelType w:val="hybridMultilevel"/>
    <w:tmpl w:val="C5FCF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8E5B83"/>
    <w:multiLevelType w:val="hybridMultilevel"/>
    <w:tmpl w:val="0A62C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C81957"/>
    <w:multiLevelType w:val="hybridMultilevel"/>
    <w:tmpl w:val="AC42C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3"/>
  </w:num>
  <w:num w:numId="4">
    <w:abstractNumId w:val="1"/>
  </w:num>
  <w:num w:numId="5">
    <w:abstractNumId w:val="28"/>
  </w:num>
  <w:num w:numId="6">
    <w:abstractNumId w:val="17"/>
  </w:num>
  <w:num w:numId="7">
    <w:abstractNumId w:val="7"/>
  </w:num>
  <w:num w:numId="8">
    <w:abstractNumId w:val="20"/>
  </w:num>
  <w:num w:numId="9">
    <w:abstractNumId w:val="19"/>
  </w:num>
  <w:num w:numId="10">
    <w:abstractNumId w:val="27"/>
  </w:num>
  <w:num w:numId="11">
    <w:abstractNumId w:val="4"/>
  </w:num>
  <w:num w:numId="12">
    <w:abstractNumId w:val="8"/>
  </w:num>
  <w:num w:numId="13">
    <w:abstractNumId w:val="5"/>
  </w:num>
  <w:num w:numId="14">
    <w:abstractNumId w:val="22"/>
  </w:num>
  <w:num w:numId="15">
    <w:abstractNumId w:val="18"/>
  </w:num>
  <w:num w:numId="16">
    <w:abstractNumId w:val="16"/>
  </w:num>
  <w:num w:numId="17">
    <w:abstractNumId w:val="6"/>
  </w:num>
  <w:num w:numId="18">
    <w:abstractNumId w:val="26"/>
  </w:num>
  <w:num w:numId="19">
    <w:abstractNumId w:val="14"/>
  </w:num>
  <w:num w:numId="20">
    <w:abstractNumId w:val="30"/>
  </w:num>
  <w:num w:numId="21">
    <w:abstractNumId w:val="23"/>
  </w:num>
  <w:num w:numId="22">
    <w:abstractNumId w:val="11"/>
  </w:num>
  <w:num w:numId="23">
    <w:abstractNumId w:val="24"/>
  </w:num>
  <w:num w:numId="24">
    <w:abstractNumId w:val="0"/>
  </w:num>
  <w:num w:numId="25">
    <w:abstractNumId w:val="9"/>
  </w:num>
  <w:num w:numId="26">
    <w:abstractNumId w:val="12"/>
  </w:num>
  <w:num w:numId="27">
    <w:abstractNumId w:val="2"/>
  </w:num>
  <w:num w:numId="28">
    <w:abstractNumId w:val="15"/>
  </w:num>
  <w:num w:numId="29">
    <w:abstractNumId w:val="31"/>
  </w:num>
  <w:num w:numId="30">
    <w:abstractNumId w:val="10"/>
  </w:num>
  <w:num w:numId="31">
    <w:abstractNumId w:val="25"/>
  </w:num>
  <w:num w:numId="32">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displayBackgroundShape/>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49" style="mso-position-vertical-relative:line" fill="f" fillcolor="none [3209]" strokecolor="none [3209]">
      <v:fill color="none [3209]" on="f"/>
      <v:stroke color="none [3209]" weight="1.75pt"/>
      <v:shadow color="none [1609]" opacity=".5" offse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FE9"/>
    <w:rsid w:val="00000C07"/>
    <w:rsid w:val="00001DC2"/>
    <w:rsid w:val="00004790"/>
    <w:rsid w:val="00005AE7"/>
    <w:rsid w:val="0001019C"/>
    <w:rsid w:val="00011A2F"/>
    <w:rsid w:val="000224D1"/>
    <w:rsid w:val="0002753D"/>
    <w:rsid w:val="0002770F"/>
    <w:rsid w:val="00030E5C"/>
    <w:rsid w:val="00034C14"/>
    <w:rsid w:val="00035320"/>
    <w:rsid w:val="0004074C"/>
    <w:rsid w:val="00043AC3"/>
    <w:rsid w:val="00044A9C"/>
    <w:rsid w:val="00044B14"/>
    <w:rsid w:val="00050318"/>
    <w:rsid w:val="0005549B"/>
    <w:rsid w:val="00056C4C"/>
    <w:rsid w:val="00060F71"/>
    <w:rsid w:val="00063362"/>
    <w:rsid w:val="000647C0"/>
    <w:rsid w:val="00066F3C"/>
    <w:rsid w:val="0007184B"/>
    <w:rsid w:val="0007303D"/>
    <w:rsid w:val="000748E9"/>
    <w:rsid w:val="00074B82"/>
    <w:rsid w:val="000834A0"/>
    <w:rsid w:val="000906F8"/>
    <w:rsid w:val="000967B9"/>
    <w:rsid w:val="00096D48"/>
    <w:rsid w:val="000A49B1"/>
    <w:rsid w:val="000A6354"/>
    <w:rsid w:val="000B1C0B"/>
    <w:rsid w:val="000B1EDE"/>
    <w:rsid w:val="000B62BE"/>
    <w:rsid w:val="000B7016"/>
    <w:rsid w:val="000C08B1"/>
    <w:rsid w:val="000D25F5"/>
    <w:rsid w:val="000D583E"/>
    <w:rsid w:val="000D5D1F"/>
    <w:rsid w:val="000D5E02"/>
    <w:rsid w:val="000D6EC5"/>
    <w:rsid w:val="000D7901"/>
    <w:rsid w:val="000E322B"/>
    <w:rsid w:val="000E45F3"/>
    <w:rsid w:val="000E4A03"/>
    <w:rsid w:val="000F355B"/>
    <w:rsid w:val="000F512B"/>
    <w:rsid w:val="00101193"/>
    <w:rsid w:val="00102BC6"/>
    <w:rsid w:val="00104219"/>
    <w:rsid w:val="00105916"/>
    <w:rsid w:val="001076AD"/>
    <w:rsid w:val="00110885"/>
    <w:rsid w:val="00116A33"/>
    <w:rsid w:val="001174E8"/>
    <w:rsid w:val="00123D7B"/>
    <w:rsid w:val="00125312"/>
    <w:rsid w:val="001265CF"/>
    <w:rsid w:val="00126B5F"/>
    <w:rsid w:val="00126F1C"/>
    <w:rsid w:val="001274E0"/>
    <w:rsid w:val="001306AE"/>
    <w:rsid w:val="00137FFA"/>
    <w:rsid w:val="0014262A"/>
    <w:rsid w:val="001463DD"/>
    <w:rsid w:val="00147BBE"/>
    <w:rsid w:val="00152150"/>
    <w:rsid w:val="001531A6"/>
    <w:rsid w:val="001574DF"/>
    <w:rsid w:val="0016122F"/>
    <w:rsid w:val="00163E86"/>
    <w:rsid w:val="001646ED"/>
    <w:rsid w:val="0016536F"/>
    <w:rsid w:val="00170CCD"/>
    <w:rsid w:val="00174432"/>
    <w:rsid w:val="00175146"/>
    <w:rsid w:val="00177FF9"/>
    <w:rsid w:val="00192EAD"/>
    <w:rsid w:val="00194586"/>
    <w:rsid w:val="001A2DC5"/>
    <w:rsid w:val="001A493E"/>
    <w:rsid w:val="001B52B8"/>
    <w:rsid w:val="001C0259"/>
    <w:rsid w:val="001C4B17"/>
    <w:rsid w:val="001C4CDB"/>
    <w:rsid w:val="001D7529"/>
    <w:rsid w:val="001E120E"/>
    <w:rsid w:val="001E1917"/>
    <w:rsid w:val="001E2D27"/>
    <w:rsid w:val="001E357D"/>
    <w:rsid w:val="001E3AAA"/>
    <w:rsid w:val="001E3FA4"/>
    <w:rsid w:val="001E65D5"/>
    <w:rsid w:val="001E6700"/>
    <w:rsid w:val="001F0242"/>
    <w:rsid w:val="001F13F3"/>
    <w:rsid w:val="001F62C4"/>
    <w:rsid w:val="001F6DB6"/>
    <w:rsid w:val="001F7149"/>
    <w:rsid w:val="001F7268"/>
    <w:rsid w:val="001F769D"/>
    <w:rsid w:val="002001EA"/>
    <w:rsid w:val="002038DE"/>
    <w:rsid w:val="002041B4"/>
    <w:rsid w:val="00204CB6"/>
    <w:rsid w:val="00205ADD"/>
    <w:rsid w:val="00207D83"/>
    <w:rsid w:val="00207DBE"/>
    <w:rsid w:val="00210369"/>
    <w:rsid w:val="00210DEF"/>
    <w:rsid w:val="00215CC9"/>
    <w:rsid w:val="0021699B"/>
    <w:rsid w:val="00216C8B"/>
    <w:rsid w:val="00217FAE"/>
    <w:rsid w:val="00220104"/>
    <w:rsid w:val="002214F0"/>
    <w:rsid w:val="00225605"/>
    <w:rsid w:val="002266FD"/>
    <w:rsid w:val="00233E39"/>
    <w:rsid w:val="00236184"/>
    <w:rsid w:val="00244814"/>
    <w:rsid w:val="00244D1F"/>
    <w:rsid w:val="00247444"/>
    <w:rsid w:val="00247D45"/>
    <w:rsid w:val="00250B82"/>
    <w:rsid w:val="00250CA8"/>
    <w:rsid w:val="002549D8"/>
    <w:rsid w:val="0026151F"/>
    <w:rsid w:val="00261DAC"/>
    <w:rsid w:val="00262FFB"/>
    <w:rsid w:val="00266809"/>
    <w:rsid w:val="00275BED"/>
    <w:rsid w:val="0027661E"/>
    <w:rsid w:val="00277B7E"/>
    <w:rsid w:val="00283610"/>
    <w:rsid w:val="00283E50"/>
    <w:rsid w:val="00284D87"/>
    <w:rsid w:val="00286554"/>
    <w:rsid w:val="00286DB6"/>
    <w:rsid w:val="0029188A"/>
    <w:rsid w:val="002A3AFD"/>
    <w:rsid w:val="002A6A96"/>
    <w:rsid w:val="002B067D"/>
    <w:rsid w:val="002B10A5"/>
    <w:rsid w:val="002B2FA2"/>
    <w:rsid w:val="002B489D"/>
    <w:rsid w:val="002B5566"/>
    <w:rsid w:val="002C2BC5"/>
    <w:rsid w:val="002C7680"/>
    <w:rsid w:val="002D227D"/>
    <w:rsid w:val="002D22A8"/>
    <w:rsid w:val="002D3215"/>
    <w:rsid w:val="002D650C"/>
    <w:rsid w:val="002D73B5"/>
    <w:rsid w:val="002E15ED"/>
    <w:rsid w:val="002E22B3"/>
    <w:rsid w:val="002F1EAC"/>
    <w:rsid w:val="002F3174"/>
    <w:rsid w:val="002F3293"/>
    <w:rsid w:val="002F3A28"/>
    <w:rsid w:val="002F68A6"/>
    <w:rsid w:val="002F7DFE"/>
    <w:rsid w:val="003042AE"/>
    <w:rsid w:val="00304DF3"/>
    <w:rsid w:val="00305D73"/>
    <w:rsid w:val="00306277"/>
    <w:rsid w:val="00307FEB"/>
    <w:rsid w:val="003101BD"/>
    <w:rsid w:val="0031329E"/>
    <w:rsid w:val="003134E9"/>
    <w:rsid w:val="00313BC4"/>
    <w:rsid w:val="00317A0B"/>
    <w:rsid w:val="00322F0C"/>
    <w:rsid w:val="0032378C"/>
    <w:rsid w:val="00324CC1"/>
    <w:rsid w:val="00325516"/>
    <w:rsid w:val="00325D33"/>
    <w:rsid w:val="003304B1"/>
    <w:rsid w:val="003324D8"/>
    <w:rsid w:val="003378FE"/>
    <w:rsid w:val="00352A47"/>
    <w:rsid w:val="003565F9"/>
    <w:rsid w:val="00356DBD"/>
    <w:rsid w:val="003663A7"/>
    <w:rsid w:val="00371C90"/>
    <w:rsid w:val="00373FD8"/>
    <w:rsid w:val="0037525A"/>
    <w:rsid w:val="00375356"/>
    <w:rsid w:val="0037636E"/>
    <w:rsid w:val="003774E9"/>
    <w:rsid w:val="00380A16"/>
    <w:rsid w:val="003818DD"/>
    <w:rsid w:val="00382605"/>
    <w:rsid w:val="00384AFA"/>
    <w:rsid w:val="00385ACE"/>
    <w:rsid w:val="0038755D"/>
    <w:rsid w:val="00392C8D"/>
    <w:rsid w:val="00393136"/>
    <w:rsid w:val="003932C3"/>
    <w:rsid w:val="00394408"/>
    <w:rsid w:val="00395C2E"/>
    <w:rsid w:val="003A1078"/>
    <w:rsid w:val="003A3991"/>
    <w:rsid w:val="003A408E"/>
    <w:rsid w:val="003A4E61"/>
    <w:rsid w:val="003B0676"/>
    <w:rsid w:val="003B1054"/>
    <w:rsid w:val="003C0178"/>
    <w:rsid w:val="003C1651"/>
    <w:rsid w:val="003C18A7"/>
    <w:rsid w:val="003C3D73"/>
    <w:rsid w:val="003C602E"/>
    <w:rsid w:val="003C7B53"/>
    <w:rsid w:val="003E0F93"/>
    <w:rsid w:val="003E118F"/>
    <w:rsid w:val="003E14A0"/>
    <w:rsid w:val="003E3AC0"/>
    <w:rsid w:val="003E493D"/>
    <w:rsid w:val="003E75C9"/>
    <w:rsid w:val="003F223F"/>
    <w:rsid w:val="003F32CE"/>
    <w:rsid w:val="003F4593"/>
    <w:rsid w:val="003F544C"/>
    <w:rsid w:val="003F726A"/>
    <w:rsid w:val="00406BE5"/>
    <w:rsid w:val="00407FB8"/>
    <w:rsid w:val="00410A5A"/>
    <w:rsid w:val="0041114C"/>
    <w:rsid w:val="00415F21"/>
    <w:rsid w:val="00416759"/>
    <w:rsid w:val="004171DC"/>
    <w:rsid w:val="004173E5"/>
    <w:rsid w:val="00424512"/>
    <w:rsid w:val="00426805"/>
    <w:rsid w:val="0042752C"/>
    <w:rsid w:val="0043385C"/>
    <w:rsid w:val="00434338"/>
    <w:rsid w:val="0043681C"/>
    <w:rsid w:val="00437E6A"/>
    <w:rsid w:val="00440672"/>
    <w:rsid w:val="004410D7"/>
    <w:rsid w:val="00444605"/>
    <w:rsid w:val="00445E96"/>
    <w:rsid w:val="00446149"/>
    <w:rsid w:val="00446ADA"/>
    <w:rsid w:val="00450BBA"/>
    <w:rsid w:val="00455ADD"/>
    <w:rsid w:val="004574B4"/>
    <w:rsid w:val="00460CC9"/>
    <w:rsid w:val="004610C4"/>
    <w:rsid w:val="004672A6"/>
    <w:rsid w:val="0047266D"/>
    <w:rsid w:val="00472DA4"/>
    <w:rsid w:val="0047618D"/>
    <w:rsid w:val="00476F9E"/>
    <w:rsid w:val="00477AB8"/>
    <w:rsid w:val="00477B8C"/>
    <w:rsid w:val="00481EEF"/>
    <w:rsid w:val="00483FBB"/>
    <w:rsid w:val="00485A7D"/>
    <w:rsid w:val="00487AF0"/>
    <w:rsid w:val="004911FF"/>
    <w:rsid w:val="00491F1D"/>
    <w:rsid w:val="00497D13"/>
    <w:rsid w:val="004A0BC8"/>
    <w:rsid w:val="004A5447"/>
    <w:rsid w:val="004B0FF1"/>
    <w:rsid w:val="004B23D6"/>
    <w:rsid w:val="004B2A42"/>
    <w:rsid w:val="004B388B"/>
    <w:rsid w:val="004B3B04"/>
    <w:rsid w:val="004B4426"/>
    <w:rsid w:val="004B7D85"/>
    <w:rsid w:val="004C0A98"/>
    <w:rsid w:val="004C2D30"/>
    <w:rsid w:val="004C3B36"/>
    <w:rsid w:val="004C4334"/>
    <w:rsid w:val="004D172C"/>
    <w:rsid w:val="004D206E"/>
    <w:rsid w:val="004D28A9"/>
    <w:rsid w:val="004D45FC"/>
    <w:rsid w:val="004D4E3F"/>
    <w:rsid w:val="004D575A"/>
    <w:rsid w:val="004D617A"/>
    <w:rsid w:val="004D6254"/>
    <w:rsid w:val="004D654A"/>
    <w:rsid w:val="004E05D9"/>
    <w:rsid w:val="004E0978"/>
    <w:rsid w:val="004E2CEB"/>
    <w:rsid w:val="004E4704"/>
    <w:rsid w:val="004E60B8"/>
    <w:rsid w:val="004F24ED"/>
    <w:rsid w:val="004F6BA3"/>
    <w:rsid w:val="0050225A"/>
    <w:rsid w:val="0050288C"/>
    <w:rsid w:val="00503CD6"/>
    <w:rsid w:val="00504D08"/>
    <w:rsid w:val="00506956"/>
    <w:rsid w:val="005079DA"/>
    <w:rsid w:val="00512215"/>
    <w:rsid w:val="00520253"/>
    <w:rsid w:val="00522C30"/>
    <w:rsid w:val="00524E6F"/>
    <w:rsid w:val="005272F3"/>
    <w:rsid w:val="00533266"/>
    <w:rsid w:val="00541C36"/>
    <w:rsid w:val="00542A7F"/>
    <w:rsid w:val="00543968"/>
    <w:rsid w:val="00552B4A"/>
    <w:rsid w:val="00553264"/>
    <w:rsid w:val="00553FC2"/>
    <w:rsid w:val="00557887"/>
    <w:rsid w:val="005623C1"/>
    <w:rsid w:val="00564F16"/>
    <w:rsid w:val="005718AC"/>
    <w:rsid w:val="00582F91"/>
    <w:rsid w:val="00583DA9"/>
    <w:rsid w:val="00584FC4"/>
    <w:rsid w:val="00587F63"/>
    <w:rsid w:val="005908A0"/>
    <w:rsid w:val="00592CD5"/>
    <w:rsid w:val="00597904"/>
    <w:rsid w:val="005A4AAF"/>
    <w:rsid w:val="005A53F3"/>
    <w:rsid w:val="005A5E98"/>
    <w:rsid w:val="005A5FE3"/>
    <w:rsid w:val="005A6639"/>
    <w:rsid w:val="005B0D49"/>
    <w:rsid w:val="005B4B2F"/>
    <w:rsid w:val="005B61CC"/>
    <w:rsid w:val="005C6A3F"/>
    <w:rsid w:val="005D10BA"/>
    <w:rsid w:val="005D31BC"/>
    <w:rsid w:val="005D40D3"/>
    <w:rsid w:val="005E6DA7"/>
    <w:rsid w:val="005F0E8C"/>
    <w:rsid w:val="005F36DA"/>
    <w:rsid w:val="005F4B32"/>
    <w:rsid w:val="005F65AB"/>
    <w:rsid w:val="005F6E53"/>
    <w:rsid w:val="005F7922"/>
    <w:rsid w:val="00600128"/>
    <w:rsid w:val="0060239C"/>
    <w:rsid w:val="00604375"/>
    <w:rsid w:val="00607B09"/>
    <w:rsid w:val="00610518"/>
    <w:rsid w:val="0061112A"/>
    <w:rsid w:val="00623C90"/>
    <w:rsid w:val="00624FD6"/>
    <w:rsid w:val="006322D4"/>
    <w:rsid w:val="00654601"/>
    <w:rsid w:val="00656822"/>
    <w:rsid w:val="00661282"/>
    <w:rsid w:val="00663CCC"/>
    <w:rsid w:val="00672BFB"/>
    <w:rsid w:val="006734CA"/>
    <w:rsid w:val="00675873"/>
    <w:rsid w:val="00683E35"/>
    <w:rsid w:val="00684C46"/>
    <w:rsid w:val="00685CB5"/>
    <w:rsid w:val="006866AB"/>
    <w:rsid w:val="0069187B"/>
    <w:rsid w:val="006955ED"/>
    <w:rsid w:val="0069673E"/>
    <w:rsid w:val="006979EF"/>
    <w:rsid w:val="00697A30"/>
    <w:rsid w:val="006A1B7F"/>
    <w:rsid w:val="006A6F0A"/>
    <w:rsid w:val="006B6510"/>
    <w:rsid w:val="006C23AE"/>
    <w:rsid w:val="006C56EB"/>
    <w:rsid w:val="006D45DB"/>
    <w:rsid w:val="006E4511"/>
    <w:rsid w:val="006E794A"/>
    <w:rsid w:val="006F2CFD"/>
    <w:rsid w:val="006F3FD8"/>
    <w:rsid w:val="006F3FF4"/>
    <w:rsid w:val="006F54FE"/>
    <w:rsid w:val="006F5EE3"/>
    <w:rsid w:val="006F6400"/>
    <w:rsid w:val="006F65EB"/>
    <w:rsid w:val="007023B8"/>
    <w:rsid w:val="00702D12"/>
    <w:rsid w:val="0070355C"/>
    <w:rsid w:val="00703932"/>
    <w:rsid w:val="00704475"/>
    <w:rsid w:val="00713229"/>
    <w:rsid w:val="007133B7"/>
    <w:rsid w:val="007171F3"/>
    <w:rsid w:val="0071727A"/>
    <w:rsid w:val="0072336D"/>
    <w:rsid w:val="007236F0"/>
    <w:rsid w:val="007437B3"/>
    <w:rsid w:val="007467D3"/>
    <w:rsid w:val="00753ED8"/>
    <w:rsid w:val="0075520F"/>
    <w:rsid w:val="00756C75"/>
    <w:rsid w:val="00761992"/>
    <w:rsid w:val="00764359"/>
    <w:rsid w:val="007653A8"/>
    <w:rsid w:val="00770966"/>
    <w:rsid w:val="0077143C"/>
    <w:rsid w:val="00777E1B"/>
    <w:rsid w:val="00782629"/>
    <w:rsid w:val="00783B86"/>
    <w:rsid w:val="00787720"/>
    <w:rsid w:val="00793045"/>
    <w:rsid w:val="00796DAB"/>
    <w:rsid w:val="007B34C4"/>
    <w:rsid w:val="007C0CFD"/>
    <w:rsid w:val="007C23A2"/>
    <w:rsid w:val="007C543B"/>
    <w:rsid w:val="007C6375"/>
    <w:rsid w:val="007C756D"/>
    <w:rsid w:val="007D202F"/>
    <w:rsid w:val="007D4771"/>
    <w:rsid w:val="007D542A"/>
    <w:rsid w:val="007D7F39"/>
    <w:rsid w:val="007E04A4"/>
    <w:rsid w:val="007E0876"/>
    <w:rsid w:val="007E539C"/>
    <w:rsid w:val="007F39B1"/>
    <w:rsid w:val="007F4ADD"/>
    <w:rsid w:val="007F7BD9"/>
    <w:rsid w:val="00803D7A"/>
    <w:rsid w:val="00807626"/>
    <w:rsid w:val="008076A0"/>
    <w:rsid w:val="008129A0"/>
    <w:rsid w:val="00816B6A"/>
    <w:rsid w:val="00816C28"/>
    <w:rsid w:val="00822AEB"/>
    <w:rsid w:val="00822D9A"/>
    <w:rsid w:val="00824D07"/>
    <w:rsid w:val="00836A9C"/>
    <w:rsid w:val="00840549"/>
    <w:rsid w:val="00843BD0"/>
    <w:rsid w:val="00855873"/>
    <w:rsid w:val="00866AC6"/>
    <w:rsid w:val="00870A67"/>
    <w:rsid w:val="00874B48"/>
    <w:rsid w:val="0087518B"/>
    <w:rsid w:val="00875985"/>
    <w:rsid w:val="008770E5"/>
    <w:rsid w:val="00877100"/>
    <w:rsid w:val="00881DA1"/>
    <w:rsid w:val="00884013"/>
    <w:rsid w:val="00885304"/>
    <w:rsid w:val="00887596"/>
    <w:rsid w:val="0089317A"/>
    <w:rsid w:val="00895780"/>
    <w:rsid w:val="00896EB4"/>
    <w:rsid w:val="008A14E6"/>
    <w:rsid w:val="008A3EEC"/>
    <w:rsid w:val="008A668A"/>
    <w:rsid w:val="008B06CC"/>
    <w:rsid w:val="008B38FE"/>
    <w:rsid w:val="008C38B3"/>
    <w:rsid w:val="008C522F"/>
    <w:rsid w:val="008D0448"/>
    <w:rsid w:val="008D1E71"/>
    <w:rsid w:val="008D3BF3"/>
    <w:rsid w:val="008D4E96"/>
    <w:rsid w:val="008D5C33"/>
    <w:rsid w:val="008E0A90"/>
    <w:rsid w:val="008E140F"/>
    <w:rsid w:val="008E1538"/>
    <w:rsid w:val="008E2F27"/>
    <w:rsid w:val="008E4D90"/>
    <w:rsid w:val="008F1AA2"/>
    <w:rsid w:val="008F24BB"/>
    <w:rsid w:val="008F3000"/>
    <w:rsid w:val="008F3389"/>
    <w:rsid w:val="008F4A82"/>
    <w:rsid w:val="008F6206"/>
    <w:rsid w:val="008F6536"/>
    <w:rsid w:val="008F781E"/>
    <w:rsid w:val="008F7B80"/>
    <w:rsid w:val="008F7C19"/>
    <w:rsid w:val="00901135"/>
    <w:rsid w:val="0090350E"/>
    <w:rsid w:val="0091090F"/>
    <w:rsid w:val="00920AEA"/>
    <w:rsid w:val="009273A7"/>
    <w:rsid w:val="009372B2"/>
    <w:rsid w:val="00945525"/>
    <w:rsid w:val="00950F05"/>
    <w:rsid w:val="0095182F"/>
    <w:rsid w:val="00957FAD"/>
    <w:rsid w:val="00965A00"/>
    <w:rsid w:val="009668C8"/>
    <w:rsid w:val="0096699E"/>
    <w:rsid w:val="00967C5A"/>
    <w:rsid w:val="00970D05"/>
    <w:rsid w:val="00976296"/>
    <w:rsid w:val="00977B9A"/>
    <w:rsid w:val="00980E12"/>
    <w:rsid w:val="00983D71"/>
    <w:rsid w:val="009848C0"/>
    <w:rsid w:val="00985CED"/>
    <w:rsid w:val="009876E8"/>
    <w:rsid w:val="0099287C"/>
    <w:rsid w:val="00997049"/>
    <w:rsid w:val="009A0F0D"/>
    <w:rsid w:val="009B0B7D"/>
    <w:rsid w:val="009B4572"/>
    <w:rsid w:val="009B7BF2"/>
    <w:rsid w:val="009C2614"/>
    <w:rsid w:val="009D0568"/>
    <w:rsid w:val="009D16AC"/>
    <w:rsid w:val="009D1F8F"/>
    <w:rsid w:val="009D4566"/>
    <w:rsid w:val="009D48CB"/>
    <w:rsid w:val="009D5A48"/>
    <w:rsid w:val="009D756B"/>
    <w:rsid w:val="009E01A9"/>
    <w:rsid w:val="009E0563"/>
    <w:rsid w:val="009E1A90"/>
    <w:rsid w:val="009E2561"/>
    <w:rsid w:val="009E42DD"/>
    <w:rsid w:val="009E5935"/>
    <w:rsid w:val="009F13E3"/>
    <w:rsid w:val="00A013AD"/>
    <w:rsid w:val="00A02B5B"/>
    <w:rsid w:val="00A02B5C"/>
    <w:rsid w:val="00A11745"/>
    <w:rsid w:val="00A14418"/>
    <w:rsid w:val="00A20A28"/>
    <w:rsid w:val="00A23697"/>
    <w:rsid w:val="00A237A6"/>
    <w:rsid w:val="00A24B76"/>
    <w:rsid w:val="00A26B72"/>
    <w:rsid w:val="00A272C9"/>
    <w:rsid w:val="00A318AB"/>
    <w:rsid w:val="00A32154"/>
    <w:rsid w:val="00A339AC"/>
    <w:rsid w:val="00A33A55"/>
    <w:rsid w:val="00A35908"/>
    <w:rsid w:val="00A35F4B"/>
    <w:rsid w:val="00A42EB2"/>
    <w:rsid w:val="00A473AA"/>
    <w:rsid w:val="00A50884"/>
    <w:rsid w:val="00A50F19"/>
    <w:rsid w:val="00A51E49"/>
    <w:rsid w:val="00A54078"/>
    <w:rsid w:val="00A6045A"/>
    <w:rsid w:val="00A6094B"/>
    <w:rsid w:val="00A64124"/>
    <w:rsid w:val="00A65A71"/>
    <w:rsid w:val="00A670D7"/>
    <w:rsid w:val="00A67BA7"/>
    <w:rsid w:val="00A7043F"/>
    <w:rsid w:val="00A7237E"/>
    <w:rsid w:val="00A723DE"/>
    <w:rsid w:val="00A72E3E"/>
    <w:rsid w:val="00A74B9E"/>
    <w:rsid w:val="00A77858"/>
    <w:rsid w:val="00A85CE8"/>
    <w:rsid w:val="00A87FDB"/>
    <w:rsid w:val="00A906F3"/>
    <w:rsid w:val="00A926A6"/>
    <w:rsid w:val="00AA2578"/>
    <w:rsid w:val="00AA43EB"/>
    <w:rsid w:val="00AA4D17"/>
    <w:rsid w:val="00AA538C"/>
    <w:rsid w:val="00AB0E8A"/>
    <w:rsid w:val="00AC0BDF"/>
    <w:rsid w:val="00AC203D"/>
    <w:rsid w:val="00AC28B8"/>
    <w:rsid w:val="00AC4A3D"/>
    <w:rsid w:val="00AC681B"/>
    <w:rsid w:val="00AC71B7"/>
    <w:rsid w:val="00AD0E7B"/>
    <w:rsid w:val="00AD417B"/>
    <w:rsid w:val="00AD5CCD"/>
    <w:rsid w:val="00AD6BD2"/>
    <w:rsid w:val="00AD7B5B"/>
    <w:rsid w:val="00AE03C3"/>
    <w:rsid w:val="00AE23BD"/>
    <w:rsid w:val="00AE54F3"/>
    <w:rsid w:val="00AF092A"/>
    <w:rsid w:val="00AF3C91"/>
    <w:rsid w:val="00AF50BB"/>
    <w:rsid w:val="00AF51AC"/>
    <w:rsid w:val="00AF5768"/>
    <w:rsid w:val="00B0007E"/>
    <w:rsid w:val="00B01657"/>
    <w:rsid w:val="00B02BC6"/>
    <w:rsid w:val="00B03EF2"/>
    <w:rsid w:val="00B069BF"/>
    <w:rsid w:val="00B104B6"/>
    <w:rsid w:val="00B17F31"/>
    <w:rsid w:val="00B24845"/>
    <w:rsid w:val="00B25349"/>
    <w:rsid w:val="00B26EF5"/>
    <w:rsid w:val="00B2738A"/>
    <w:rsid w:val="00B27F3B"/>
    <w:rsid w:val="00B3082B"/>
    <w:rsid w:val="00B33781"/>
    <w:rsid w:val="00B33FF1"/>
    <w:rsid w:val="00B36391"/>
    <w:rsid w:val="00B408CF"/>
    <w:rsid w:val="00B418CD"/>
    <w:rsid w:val="00B51B04"/>
    <w:rsid w:val="00B575FA"/>
    <w:rsid w:val="00B6219A"/>
    <w:rsid w:val="00B62EE3"/>
    <w:rsid w:val="00B64DD4"/>
    <w:rsid w:val="00B651F7"/>
    <w:rsid w:val="00B80E72"/>
    <w:rsid w:val="00B815E0"/>
    <w:rsid w:val="00B83B4C"/>
    <w:rsid w:val="00B83BF0"/>
    <w:rsid w:val="00B94435"/>
    <w:rsid w:val="00B94ABB"/>
    <w:rsid w:val="00BA023D"/>
    <w:rsid w:val="00BA3ECF"/>
    <w:rsid w:val="00BA3FC3"/>
    <w:rsid w:val="00BA4E59"/>
    <w:rsid w:val="00BA638F"/>
    <w:rsid w:val="00BA6704"/>
    <w:rsid w:val="00BB053B"/>
    <w:rsid w:val="00BB6643"/>
    <w:rsid w:val="00BB7158"/>
    <w:rsid w:val="00BC4D57"/>
    <w:rsid w:val="00BC61CC"/>
    <w:rsid w:val="00BC7239"/>
    <w:rsid w:val="00BD134F"/>
    <w:rsid w:val="00BD1730"/>
    <w:rsid w:val="00BD1A22"/>
    <w:rsid w:val="00BD3AB4"/>
    <w:rsid w:val="00BD7B1D"/>
    <w:rsid w:val="00BE0FC7"/>
    <w:rsid w:val="00BE20BD"/>
    <w:rsid w:val="00BE289D"/>
    <w:rsid w:val="00BE5F63"/>
    <w:rsid w:val="00C00863"/>
    <w:rsid w:val="00C05A14"/>
    <w:rsid w:val="00C07E2F"/>
    <w:rsid w:val="00C12FAC"/>
    <w:rsid w:val="00C134B9"/>
    <w:rsid w:val="00C16DBD"/>
    <w:rsid w:val="00C239FE"/>
    <w:rsid w:val="00C26578"/>
    <w:rsid w:val="00C31B61"/>
    <w:rsid w:val="00C322F1"/>
    <w:rsid w:val="00C3316E"/>
    <w:rsid w:val="00C34314"/>
    <w:rsid w:val="00C3485B"/>
    <w:rsid w:val="00C3594C"/>
    <w:rsid w:val="00C37309"/>
    <w:rsid w:val="00C373BE"/>
    <w:rsid w:val="00C40075"/>
    <w:rsid w:val="00C4074B"/>
    <w:rsid w:val="00C428A6"/>
    <w:rsid w:val="00C42F86"/>
    <w:rsid w:val="00C4329E"/>
    <w:rsid w:val="00C471F1"/>
    <w:rsid w:val="00C478A5"/>
    <w:rsid w:val="00C511F7"/>
    <w:rsid w:val="00C60154"/>
    <w:rsid w:val="00C61030"/>
    <w:rsid w:val="00C62A21"/>
    <w:rsid w:val="00C63863"/>
    <w:rsid w:val="00C64A57"/>
    <w:rsid w:val="00C7138E"/>
    <w:rsid w:val="00C7331D"/>
    <w:rsid w:val="00C74171"/>
    <w:rsid w:val="00C751C3"/>
    <w:rsid w:val="00C76BF0"/>
    <w:rsid w:val="00C771B0"/>
    <w:rsid w:val="00C77437"/>
    <w:rsid w:val="00C802A6"/>
    <w:rsid w:val="00C80B35"/>
    <w:rsid w:val="00C81DD6"/>
    <w:rsid w:val="00C8257C"/>
    <w:rsid w:val="00C90D1D"/>
    <w:rsid w:val="00C90FA9"/>
    <w:rsid w:val="00C91F5D"/>
    <w:rsid w:val="00C921B3"/>
    <w:rsid w:val="00C93B25"/>
    <w:rsid w:val="00C94072"/>
    <w:rsid w:val="00C9636D"/>
    <w:rsid w:val="00C97B1B"/>
    <w:rsid w:val="00CA2B79"/>
    <w:rsid w:val="00CA38AC"/>
    <w:rsid w:val="00CA51C9"/>
    <w:rsid w:val="00CB2583"/>
    <w:rsid w:val="00CB454A"/>
    <w:rsid w:val="00CB5BB9"/>
    <w:rsid w:val="00CB5E36"/>
    <w:rsid w:val="00CB7ED1"/>
    <w:rsid w:val="00CC1994"/>
    <w:rsid w:val="00CC2B4E"/>
    <w:rsid w:val="00CC2D88"/>
    <w:rsid w:val="00CC63FB"/>
    <w:rsid w:val="00CD08CE"/>
    <w:rsid w:val="00CD139D"/>
    <w:rsid w:val="00CD7271"/>
    <w:rsid w:val="00CE1F10"/>
    <w:rsid w:val="00CE2FCC"/>
    <w:rsid w:val="00CE5FE9"/>
    <w:rsid w:val="00CF2D60"/>
    <w:rsid w:val="00CF3EB1"/>
    <w:rsid w:val="00CF52AF"/>
    <w:rsid w:val="00CF5DA1"/>
    <w:rsid w:val="00CF61FD"/>
    <w:rsid w:val="00D060A1"/>
    <w:rsid w:val="00D073AB"/>
    <w:rsid w:val="00D11D91"/>
    <w:rsid w:val="00D12D1B"/>
    <w:rsid w:val="00D13BEA"/>
    <w:rsid w:val="00D13C1A"/>
    <w:rsid w:val="00D15290"/>
    <w:rsid w:val="00D16841"/>
    <w:rsid w:val="00D2055C"/>
    <w:rsid w:val="00D22895"/>
    <w:rsid w:val="00D2489F"/>
    <w:rsid w:val="00D255B6"/>
    <w:rsid w:val="00D30382"/>
    <w:rsid w:val="00D33819"/>
    <w:rsid w:val="00D37157"/>
    <w:rsid w:val="00D43A82"/>
    <w:rsid w:val="00D45E4E"/>
    <w:rsid w:val="00D50064"/>
    <w:rsid w:val="00D505F1"/>
    <w:rsid w:val="00D547B3"/>
    <w:rsid w:val="00D556E8"/>
    <w:rsid w:val="00D60891"/>
    <w:rsid w:val="00D60C4D"/>
    <w:rsid w:val="00D60D85"/>
    <w:rsid w:val="00D63A7A"/>
    <w:rsid w:val="00D64D78"/>
    <w:rsid w:val="00D65B71"/>
    <w:rsid w:val="00D8750F"/>
    <w:rsid w:val="00D87E9E"/>
    <w:rsid w:val="00D92477"/>
    <w:rsid w:val="00D96CF9"/>
    <w:rsid w:val="00DA0415"/>
    <w:rsid w:val="00DA0C31"/>
    <w:rsid w:val="00DA0FBC"/>
    <w:rsid w:val="00DA4CE7"/>
    <w:rsid w:val="00DA5012"/>
    <w:rsid w:val="00DA66FC"/>
    <w:rsid w:val="00DB02B6"/>
    <w:rsid w:val="00DB30C8"/>
    <w:rsid w:val="00DB653D"/>
    <w:rsid w:val="00DB7944"/>
    <w:rsid w:val="00DC0BEA"/>
    <w:rsid w:val="00DC23CC"/>
    <w:rsid w:val="00DC6B73"/>
    <w:rsid w:val="00DD01F8"/>
    <w:rsid w:val="00DD185E"/>
    <w:rsid w:val="00DD2C29"/>
    <w:rsid w:val="00DE00E3"/>
    <w:rsid w:val="00DE2D13"/>
    <w:rsid w:val="00DE32BA"/>
    <w:rsid w:val="00DE550C"/>
    <w:rsid w:val="00DE5FE8"/>
    <w:rsid w:val="00DF0EDD"/>
    <w:rsid w:val="00DF25A3"/>
    <w:rsid w:val="00DF66CB"/>
    <w:rsid w:val="00DF6D5E"/>
    <w:rsid w:val="00DF6E3E"/>
    <w:rsid w:val="00E0106C"/>
    <w:rsid w:val="00E02099"/>
    <w:rsid w:val="00E07AEE"/>
    <w:rsid w:val="00E1061D"/>
    <w:rsid w:val="00E10AFD"/>
    <w:rsid w:val="00E126A2"/>
    <w:rsid w:val="00E21E55"/>
    <w:rsid w:val="00E26EF5"/>
    <w:rsid w:val="00E27720"/>
    <w:rsid w:val="00E277A6"/>
    <w:rsid w:val="00E3028B"/>
    <w:rsid w:val="00E40645"/>
    <w:rsid w:val="00E447CB"/>
    <w:rsid w:val="00E50AE2"/>
    <w:rsid w:val="00E511F3"/>
    <w:rsid w:val="00E5451B"/>
    <w:rsid w:val="00E56053"/>
    <w:rsid w:val="00E565F6"/>
    <w:rsid w:val="00E62EA9"/>
    <w:rsid w:val="00E66AC1"/>
    <w:rsid w:val="00E7062C"/>
    <w:rsid w:val="00E773B7"/>
    <w:rsid w:val="00E81A68"/>
    <w:rsid w:val="00E84D23"/>
    <w:rsid w:val="00E8533A"/>
    <w:rsid w:val="00E94751"/>
    <w:rsid w:val="00E94A15"/>
    <w:rsid w:val="00E95E33"/>
    <w:rsid w:val="00EA16E7"/>
    <w:rsid w:val="00EA3027"/>
    <w:rsid w:val="00EA5F49"/>
    <w:rsid w:val="00EA663A"/>
    <w:rsid w:val="00EB2DB9"/>
    <w:rsid w:val="00EB312F"/>
    <w:rsid w:val="00EB41FD"/>
    <w:rsid w:val="00EC0C91"/>
    <w:rsid w:val="00EC48DA"/>
    <w:rsid w:val="00EC53C1"/>
    <w:rsid w:val="00EC5795"/>
    <w:rsid w:val="00ED1F87"/>
    <w:rsid w:val="00ED7152"/>
    <w:rsid w:val="00EE124E"/>
    <w:rsid w:val="00EE3576"/>
    <w:rsid w:val="00EE5AF5"/>
    <w:rsid w:val="00EE6346"/>
    <w:rsid w:val="00EE7D60"/>
    <w:rsid w:val="00EF3725"/>
    <w:rsid w:val="00EF422F"/>
    <w:rsid w:val="00EF4C86"/>
    <w:rsid w:val="00EF4F25"/>
    <w:rsid w:val="00F00009"/>
    <w:rsid w:val="00F02B00"/>
    <w:rsid w:val="00F03E09"/>
    <w:rsid w:val="00F07AC0"/>
    <w:rsid w:val="00F10777"/>
    <w:rsid w:val="00F1086F"/>
    <w:rsid w:val="00F12FA4"/>
    <w:rsid w:val="00F170A5"/>
    <w:rsid w:val="00F2092F"/>
    <w:rsid w:val="00F24E3E"/>
    <w:rsid w:val="00F25A89"/>
    <w:rsid w:val="00F25D1D"/>
    <w:rsid w:val="00F2671D"/>
    <w:rsid w:val="00F31349"/>
    <w:rsid w:val="00F323AE"/>
    <w:rsid w:val="00F3403E"/>
    <w:rsid w:val="00F40E88"/>
    <w:rsid w:val="00F414DE"/>
    <w:rsid w:val="00F54E54"/>
    <w:rsid w:val="00F713FD"/>
    <w:rsid w:val="00F723FB"/>
    <w:rsid w:val="00F749E3"/>
    <w:rsid w:val="00F76405"/>
    <w:rsid w:val="00F803AF"/>
    <w:rsid w:val="00F821BB"/>
    <w:rsid w:val="00F923DD"/>
    <w:rsid w:val="00F927F6"/>
    <w:rsid w:val="00F92A45"/>
    <w:rsid w:val="00F96F0A"/>
    <w:rsid w:val="00FA0FDF"/>
    <w:rsid w:val="00FA1388"/>
    <w:rsid w:val="00FA13AC"/>
    <w:rsid w:val="00FA4B16"/>
    <w:rsid w:val="00FA67CA"/>
    <w:rsid w:val="00FA7BB6"/>
    <w:rsid w:val="00FA7EB7"/>
    <w:rsid w:val="00FB36D0"/>
    <w:rsid w:val="00FC756B"/>
    <w:rsid w:val="00FD3C4E"/>
    <w:rsid w:val="00FD4EB3"/>
    <w:rsid w:val="00FD609C"/>
    <w:rsid w:val="00FE36C2"/>
    <w:rsid w:val="00FE56E6"/>
    <w:rsid w:val="00FE60F5"/>
    <w:rsid w:val="00FE67A5"/>
    <w:rsid w:val="00FF2296"/>
    <w:rsid w:val="00FF3D57"/>
    <w:rsid w:val="00FF5C26"/>
    <w:rsid w:val="00FF5F80"/>
    <w:rsid w:val="00FF6548"/>
    <w:rsid w:val="00FF69B7"/>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position-vertical-relative:line" fill="f" fillcolor="none [3209]" strokecolor="none [3209]">
      <v:fill color="none [3209]" on="f"/>
      <v:stroke color="none [3209]" weight="1.75pt"/>
      <v:shadow color="none [1609]" opacity=".5" offset="1pt"/>
    </o:shapedefaults>
    <o:shapelayout v:ext="edit">
      <o:idmap v:ext="edit" data="1"/>
    </o:shapelayout>
  </w:shapeDefaults>
  <w:decimalSymbol w:val=","/>
  <w:listSeparator w:val=","/>
  <w14:docId w14:val="3F698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DE32BA"/>
    <w:pPr>
      <w:spacing w:after="260" w:line="260" w:lineRule="atLeast"/>
    </w:pPr>
    <w:rPr>
      <w:rFonts w:ascii="Arial" w:hAnsi="Arial"/>
      <w:sz w:val="20"/>
      <w:lang w:eastAsia="en-US"/>
    </w:rPr>
  </w:style>
  <w:style w:type="paragraph" w:styleId="Heading1">
    <w:name w:val="heading 1"/>
    <w:basedOn w:val="Normal"/>
    <w:next w:val="Normal"/>
    <w:link w:val="Heading1Char"/>
    <w:uiPriority w:val="9"/>
    <w:qFormat/>
    <w:rsid w:val="003101BD"/>
    <w:pPr>
      <w:keepNext/>
      <w:keepLines/>
      <w:pageBreakBefore/>
      <w:numPr>
        <w:numId w:val="1"/>
      </w:numPr>
      <w:spacing w:line="240" w:lineRule="auto"/>
      <w:ind w:left="794" w:hanging="794"/>
      <w:outlineLvl w:val="0"/>
    </w:pPr>
    <w:rPr>
      <w:rFonts w:eastAsiaTheme="majorEastAsia" w:cstheme="majorBidi"/>
      <w:b/>
      <w:bCs/>
      <w:spacing w:val="22"/>
      <w:sz w:val="28"/>
      <w:szCs w:val="32"/>
    </w:rPr>
  </w:style>
  <w:style w:type="paragraph" w:styleId="Heading2">
    <w:name w:val="heading 2"/>
    <w:basedOn w:val="Heading1"/>
    <w:next w:val="Normal"/>
    <w:link w:val="Heading2Char"/>
    <w:uiPriority w:val="9"/>
    <w:unhideWhenUsed/>
    <w:qFormat/>
    <w:rsid w:val="008F4A82"/>
    <w:pPr>
      <w:pageBreakBefore w:val="0"/>
      <w:numPr>
        <w:ilvl w:val="1"/>
      </w:numPr>
      <w:spacing w:before="360"/>
      <w:ind w:left="794" w:hanging="794"/>
      <w:outlineLvl w:val="1"/>
    </w:pPr>
    <w:rPr>
      <w:bCs w:val="0"/>
      <w:sz w:val="22"/>
      <w:szCs w:val="26"/>
    </w:rPr>
  </w:style>
  <w:style w:type="paragraph" w:styleId="Heading3">
    <w:name w:val="heading 3"/>
    <w:basedOn w:val="Normal"/>
    <w:next w:val="Normal"/>
    <w:link w:val="Heading3Char"/>
    <w:uiPriority w:val="9"/>
    <w:unhideWhenUsed/>
    <w:qFormat/>
    <w:rsid w:val="00325516"/>
    <w:pPr>
      <w:keepNext/>
      <w:keepLines/>
      <w:numPr>
        <w:ilvl w:val="2"/>
        <w:numId w:val="1"/>
      </w:numPr>
      <w:spacing w:before="240" w:after="60"/>
      <w:ind w:left="794" w:hanging="794"/>
      <w:outlineLvl w:val="2"/>
    </w:pPr>
    <w:rPr>
      <w:rFonts w:eastAsiaTheme="majorEastAsia" w:cstheme="majorBidi"/>
      <w:b/>
      <w:bCs/>
    </w:rPr>
  </w:style>
  <w:style w:type="paragraph" w:styleId="Heading4">
    <w:name w:val="heading 4"/>
    <w:basedOn w:val="Normal"/>
    <w:next w:val="Normal"/>
    <w:link w:val="Heading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Heading5">
    <w:name w:val="heading 5"/>
    <w:basedOn w:val="Heading4"/>
    <w:next w:val="Normal"/>
    <w:link w:val="Heading5Char"/>
    <w:uiPriority w:val="9"/>
    <w:unhideWhenUsed/>
    <w:qFormat/>
    <w:rsid w:val="001F13F3"/>
    <w:pPr>
      <w:outlineLvl w:val="4"/>
    </w:pPr>
  </w:style>
  <w:style w:type="paragraph" w:styleId="Heading6">
    <w:name w:val="heading 6"/>
    <w:basedOn w:val="Normal"/>
    <w:next w:val="Normal"/>
    <w:link w:val="Heading6Char"/>
    <w:uiPriority w:val="9"/>
    <w:unhideWhenUsed/>
    <w:qFormat/>
    <w:rsid w:val="004D172C"/>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4D172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D172C"/>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unhideWhenUsed/>
    <w:qFormat/>
    <w:rsid w:val="004D172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NKopinhoudsopgave">
    <w:name w:val="SN_Kop inhoudsopgave"/>
    <w:basedOn w:val="Normal"/>
    <w:next w:val="Normal"/>
    <w:rsid w:val="00304DF3"/>
    <w:pPr>
      <w:pageBreakBefore/>
    </w:pPr>
    <w:rPr>
      <w:b/>
      <w:kern w:val="32"/>
      <w:sz w:val="28"/>
    </w:rPr>
  </w:style>
  <w:style w:type="paragraph" w:customStyle="1" w:styleId="SNTabelopsomming">
    <w:name w:val="SN_Tabelopsomming"/>
    <w:basedOn w:val="Normal"/>
    <w:qFormat/>
    <w:rsid w:val="00050318"/>
    <w:pPr>
      <w:numPr>
        <w:numId w:val="3"/>
      </w:numPr>
      <w:spacing w:before="60" w:after="140"/>
      <w:ind w:left="357" w:hanging="357"/>
      <w:contextualSpacing/>
    </w:pPr>
    <w:rPr>
      <w:sz w:val="16"/>
      <w:szCs w:val="18"/>
      <w:lang w:val="en-US"/>
    </w:rPr>
  </w:style>
  <w:style w:type="paragraph" w:customStyle="1" w:styleId="SNTabeltekst">
    <w:name w:val="SN_Tabeltekst"/>
    <w:basedOn w:val="Normal"/>
    <w:qFormat/>
    <w:rsid w:val="003C0178"/>
    <w:pPr>
      <w:spacing w:before="60" w:after="140"/>
    </w:pPr>
    <w:rPr>
      <w:spacing w:val="6"/>
      <w:sz w:val="17"/>
      <w:szCs w:val="18"/>
    </w:rPr>
  </w:style>
  <w:style w:type="character" w:styleId="PageNumber">
    <w:name w:val="page number"/>
    <w:basedOn w:val="DefaultParagraphFont"/>
    <w:rsid w:val="003C0178"/>
    <w:rPr>
      <w:rFonts w:ascii="Arial" w:hAnsi="Arial"/>
      <w:spacing w:val="6"/>
      <w:sz w:val="17"/>
    </w:rPr>
  </w:style>
  <w:style w:type="paragraph" w:styleId="TOC3">
    <w:name w:val="toc 3"/>
    <w:basedOn w:val="Normal"/>
    <w:next w:val="Normal"/>
    <w:autoRedefine/>
    <w:uiPriority w:val="39"/>
    <w:rsid w:val="00DF6D5E"/>
    <w:pPr>
      <w:ind w:left="360"/>
    </w:pPr>
  </w:style>
  <w:style w:type="paragraph" w:styleId="TOC1">
    <w:name w:val="toc 1"/>
    <w:basedOn w:val="Normal"/>
    <w:next w:val="Normal"/>
    <w:uiPriority w:val="39"/>
    <w:rsid w:val="00AD7B5B"/>
    <w:pPr>
      <w:tabs>
        <w:tab w:val="left" w:pos="357"/>
        <w:tab w:val="right" w:leader="dot" w:pos="9072"/>
      </w:tabs>
      <w:spacing w:before="240"/>
      <w:ind w:left="357" w:right="1134" w:hanging="357"/>
    </w:pPr>
    <w:rPr>
      <w:b/>
    </w:rPr>
  </w:style>
  <w:style w:type="paragraph" w:styleId="TOC2">
    <w:name w:val="toc 2"/>
    <w:basedOn w:val="Normal"/>
    <w:next w:val="Normal"/>
    <w:autoRedefine/>
    <w:uiPriority w:val="39"/>
    <w:rsid w:val="00AD7B5B"/>
    <w:pPr>
      <w:tabs>
        <w:tab w:val="left" w:pos="851"/>
        <w:tab w:val="right" w:leader="dot" w:pos="9072"/>
      </w:tabs>
      <w:spacing w:after="120"/>
      <w:ind w:left="845" w:right="1134" w:hanging="488"/>
    </w:pPr>
  </w:style>
  <w:style w:type="paragraph" w:styleId="TOC4">
    <w:name w:val="toc 4"/>
    <w:basedOn w:val="Normal"/>
    <w:next w:val="Normal"/>
    <w:autoRedefine/>
    <w:semiHidden/>
    <w:rsid w:val="00DF6D5E"/>
    <w:pPr>
      <w:ind w:left="540"/>
    </w:pPr>
  </w:style>
  <w:style w:type="paragraph" w:styleId="TOC5">
    <w:name w:val="toc 5"/>
    <w:basedOn w:val="Normal"/>
    <w:next w:val="Normal"/>
    <w:autoRedefine/>
    <w:semiHidden/>
    <w:rsid w:val="00DF6D5E"/>
    <w:pPr>
      <w:ind w:left="720"/>
    </w:pPr>
  </w:style>
  <w:style w:type="paragraph" w:styleId="TOC6">
    <w:name w:val="toc 6"/>
    <w:basedOn w:val="Normal"/>
    <w:next w:val="Normal"/>
    <w:autoRedefine/>
    <w:semiHidden/>
    <w:rsid w:val="00DF6D5E"/>
    <w:pPr>
      <w:ind w:left="900"/>
    </w:pPr>
  </w:style>
  <w:style w:type="paragraph" w:styleId="TOC7">
    <w:name w:val="toc 7"/>
    <w:basedOn w:val="Normal"/>
    <w:next w:val="Normal"/>
    <w:autoRedefine/>
    <w:semiHidden/>
    <w:rsid w:val="00DF6D5E"/>
    <w:pPr>
      <w:ind w:left="1080"/>
    </w:pPr>
  </w:style>
  <w:style w:type="paragraph" w:styleId="TOC8">
    <w:name w:val="toc 8"/>
    <w:basedOn w:val="Normal"/>
    <w:next w:val="Normal"/>
    <w:autoRedefine/>
    <w:semiHidden/>
    <w:rsid w:val="00DF6D5E"/>
    <w:pPr>
      <w:ind w:left="1260"/>
    </w:pPr>
  </w:style>
  <w:style w:type="paragraph" w:styleId="TOC9">
    <w:name w:val="toc 9"/>
    <w:basedOn w:val="Normal"/>
    <w:next w:val="Normal"/>
    <w:autoRedefine/>
    <w:semiHidden/>
    <w:rsid w:val="00DF6D5E"/>
    <w:pPr>
      <w:ind w:left="1440"/>
    </w:pPr>
  </w:style>
  <w:style w:type="paragraph" w:customStyle="1" w:styleId="SNOpsomming2">
    <w:name w:val="SN_Opsomming_2"/>
    <w:basedOn w:val="SNOpsomming"/>
    <w:qFormat/>
    <w:rsid w:val="00A51E49"/>
    <w:pPr>
      <w:numPr>
        <w:numId w:val="4"/>
      </w:numPr>
      <w:ind w:left="714" w:hanging="357"/>
    </w:pPr>
  </w:style>
  <w:style w:type="character" w:customStyle="1" w:styleId="Heading3Char">
    <w:name w:val="Heading 3 Char"/>
    <w:basedOn w:val="DefaultParagraphFont"/>
    <w:link w:val="Heading3"/>
    <w:uiPriority w:val="9"/>
    <w:rsid w:val="00325516"/>
    <w:rPr>
      <w:rFonts w:ascii="Arial" w:eastAsiaTheme="majorEastAsia" w:hAnsi="Arial" w:cstheme="majorBidi"/>
      <w:b/>
      <w:bCs/>
      <w:sz w:val="20"/>
      <w:lang w:eastAsia="en-US"/>
    </w:rPr>
  </w:style>
  <w:style w:type="character" w:customStyle="1" w:styleId="Heading5Char">
    <w:name w:val="Heading 5 Char"/>
    <w:basedOn w:val="DefaultParagraphFont"/>
    <w:link w:val="Heading5"/>
    <w:uiPriority w:val="9"/>
    <w:rsid w:val="001F13F3"/>
    <w:rPr>
      <w:rFonts w:ascii="Verdana" w:eastAsiaTheme="majorEastAsia" w:hAnsi="Verdana" w:cstheme="majorBidi"/>
      <w:bCs/>
      <w:iCs/>
      <w:sz w:val="18"/>
      <w:lang w:eastAsia="en-US"/>
    </w:rPr>
  </w:style>
  <w:style w:type="paragraph" w:styleId="Revision">
    <w:name w:val="Revision"/>
    <w:hidden/>
    <w:rsid w:val="00BA023D"/>
    <w:rPr>
      <w:rFonts w:ascii="Verdana" w:hAnsi="Verdana"/>
      <w:spacing w:val="10"/>
      <w:sz w:val="18"/>
      <w:lang w:eastAsia="en-US"/>
    </w:rPr>
  </w:style>
  <w:style w:type="paragraph" w:customStyle="1" w:styleId="SNVoettekst">
    <w:name w:val="SN_Voettekst"/>
    <w:basedOn w:val="Normal"/>
    <w:qFormat/>
    <w:rsid w:val="00524E6F"/>
    <w:pPr>
      <w:tabs>
        <w:tab w:val="center" w:pos="4536"/>
        <w:tab w:val="right" w:pos="9072"/>
      </w:tabs>
      <w:spacing w:after="0"/>
    </w:pPr>
    <w:rPr>
      <w:spacing w:val="6"/>
      <w:sz w:val="17"/>
      <w:szCs w:val="18"/>
    </w:rPr>
  </w:style>
  <w:style w:type="character" w:customStyle="1" w:styleId="Heading2Char">
    <w:name w:val="Heading 2 Char"/>
    <w:basedOn w:val="DefaultParagraphFont"/>
    <w:link w:val="Heading2"/>
    <w:uiPriority w:val="9"/>
    <w:rsid w:val="008F4A82"/>
    <w:rPr>
      <w:rFonts w:ascii="Arial" w:eastAsiaTheme="majorEastAsia" w:hAnsi="Arial" w:cstheme="majorBidi"/>
      <w:b/>
      <w:spacing w:val="22"/>
      <w:sz w:val="22"/>
      <w:szCs w:val="26"/>
      <w:lang w:eastAsia="en-US"/>
    </w:rPr>
  </w:style>
  <w:style w:type="character" w:customStyle="1" w:styleId="Heading1Char">
    <w:name w:val="Heading 1 Char"/>
    <w:basedOn w:val="DefaultParagraphFont"/>
    <w:link w:val="Heading1"/>
    <w:uiPriority w:val="9"/>
    <w:rsid w:val="003101BD"/>
    <w:rPr>
      <w:rFonts w:ascii="Arial" w:eastAsiaTheme="majorEastAsia" w:hAnsi="Arial" w:cstheme="majorBidi"/>
      <w:b/>
      <w:bCs/>
      <w:spacing w:val="22"/>
      <w:sz w:val="28"/>
      <w:szCs w:val="32"/>
      <w:lang w:eastAsia="en-US"/>
    </w:rPr>
  </w:style>
  <w:style w:type="character" w:customStyle="1" w:styleId="Heading6Char">
    <w:name w:val="Heading 6 Char"/>
    <w:basedOn w:val="DefaultParagraphFont"/>
    <w:link w:val="Heading6"/>
    <w:uiPriority w:val="9"/>
    <w:rsid w:val="004D172C"/>
    <w:rPr>
      <w:rFonts w:asciiTheme="majorHAnsi" w:eastAsiaTheme="majorEastAsia" w:hAnsiTheme="majorHAnsi" w:cstheme="majorBidi"/>
      <w:i/>
      <w:iCs/>
      <w:color w:val="243F60" w:themeColor="accent1" w:themeShade="7F"/>
      <w:sz w:val="20"/>
      <w:lang w:eastAsia="en-US"/>
    </w:rPr>
  </w:style>
  <w:style w:type="character" w:customStyle="1" w:styleId="Heading7Char">
    <w:name w:val="Heading 7 Char"/>
    <w:basedOn w:val="DefaultParagraphFont"/>
    <w:link w:val="Heading7"/>
    <w:uiPriority w:val="9"/>
    <w:rsid w:val="004D172C"/>
    <w:rPr>
      <w:rFonts w:asciiTheme="majorHAnsi" w:eastAsiaTheme="majorEastAsia" w:hAnsiTheme="majorHAnsi" w:cstheme="majorBidi"/>
      <w:i/>
      <w:iCs/>
      <w:color w:val="404040" w:themeColor="text1" w:themeTint="BF"/>
      <w:sz w:val="20"/>
      <w:lang w:eastAsia="en-US"/>
    </w:rPr>
  </w:style>
  <w:style w:type="character" w:customStyle="1" w:styleId="Heading8Char">
    <w:name w:val="Heading 8 Char"/>
    <w:basedOn w:val="DefaultParagraphFont"/>
    <w:link w:val="Heading8"/>
    <w:uiPriority w:val="9"/>
    <w:rsid w:val="004D172C"/>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rsid w:val="004D172C"/>
    <w:rPr>
      <w:rFonts w:asciiTheme="majorHAnsi" w:eastAsiaTheme="majorEastAsia" w:hAnsiTheme="majorHAnsi" w:cstheme="majorBidi"/>
      <w:i/>
      <w:iCs/>
      <w:color w:val="404040" w:themeColor="text1" w:themeTint="BF"/>
      <w:sz w:val="20"/>
      <w:szCs w:val="20"/>
      <w:lang w:eastAsia="en-US"/>
    </w:rPr>
  </w:style>
  <w:style w:type="character" w:customStyle="1" w:styleId="Heading4Char">
    <w:name w:val="Heading 4 Char"/>
    <w:basedOn w:val="DefaultParagraphFont"/>
    <w:link w:val="Heading4"/>
    <w:rsid w:val="00CA51C9"/>
    <w:rPr>
      <w:rFonts w:ascii="Arial" w:eastAsiaTheme="majorEastAsia" w:hAnsi="Arial" w:cstheme="majorBidi"/>
      <w:bCs/>
      <w:i/>
      <w:iCs/>
      <w:spacing w:val="6"/>
      <w:sz w:val="20"/>
      <w:lang w:eastAsia="en-US"/>
    </w:rPr>
  </w:style>
  <w:style w:type="paragraph" w:customStyle="1" w:styleId="SNBriefhoofd">
    <w:name w:val="SN_Briefhoofd"/>
    <w:basedOn w:val="Normal"/>
    <w:qFormat/>
    <w:rsid w:val="00F803AF"/>
    <w:rPr>
      <w:sz w:val="14"/>
      <w:szCs w:val="18"/>
    </w:rPr>
  </w:style>
  <w:style w:type="paragraph" w:customStyle="1" w:styleId="SNKenmerken">
    <w:name w:val="SN_Kenmerken"/>
    <w:basedOn w:val="Normal"/>
    <w:qFormat/>
    <w:rsid w:val="00F803AF"/>
    <w:pPr>
      <w:tabs>
        <w:tab w:val="left" w:pos="1418"/>
      </w:tabs>
    </w:pPr>
    <w:rPr>
      <w:sz w:val="16"/>
      <w:szCs w:val="18"/>
    </w:rPr>
  </w:style>
  <w:style w:type="paragraph" w:customStyle="1" w:styleId="SNNAW">
    <w:name w:val="SN_NAW"/>
    <w:basedOn w:val="Normal"/>
    <w:rsid w:val="00C8257C"/>
    <w:pPr>
      <w:keepNext/>
      <w:keepLines/>
      <w:suppressAutoHyphens/>
      <w:spacing w:after="0" w:line="260" w:lineRule="exact"/>
    </w:pPr>
    <w:rPr>
      <w:szCs w:val="18"/>
    </w:rPr>
  </w:style>
  <w:style w:type="paragraph" w:customStyle="1" w:styleId="SNOpsomming">
    <w:name w:val="SN_Opsomming"/>
    <w:basedOn w:val="Normal"/>
    <w:qFormat/>
    <w:rsid w:val="00A51E49"/>
    <w:pPr>
      <w:numPr>
        <w:numId w:val="2"/>
      </w:numPr>
      <w:ind w:left="357" w:hanging="357"/>
      <w:contextualSpacing/>
    </w:pPr>
    <w:rPr>
      <w:szCs w:val="18"/>
    </w:rPr>
  </w:style>
  <w:style w:type="paragraph" w:styleId="Subtitle">
    <w:name w:val="Subtitle"/>
    <w:basedOn w:val="Normal"/>
    <w:next w:val="Normal"/>
    <w:link w:val="SubtitleChar"/>
    <w:uiPriority w:val="11"/>
    <w:qFormat/>
    <w:rsid w:val="00FA4B16"/>
    <w:pPr>
      <w:numPr>
        <w:ilvl w:val="1"/>
      </w:numPr>
    </w:pPr>
    <w:rPr>
      <w:rFonts w:eastAsiaTheme="majorEastAsia" w:cstheme="majorBidi"/>
      <w:b/>
      <w:i/>
      <w:iCs/>
      <w:sz w:val="28"/>
    </w:rPr>
  </w:style>
  <w:style w:type="character" w:customStyle="1" w:styleId="SubtitleChar">
    <w:name w:val="Subtitle Char"/>
    <w:basedOn w:val="DefaultParagraphFont"/>
    <w:link w:val="Subtitle"/>
    <w:uiPriority w:val="11"/>
    <w:rsid w:val="00FA4B16"/>
    <w:rPr>
      <w:rFonts w:ascii="Verdana" w:eastAsiaTheme="majorEastAsia" w:hAnsi="Verdana" w:cstheme="majorBidi"/>
      <w:b/>
      <w:i/>
      <w:iCs/>
      <w:sz w:val="28"/>
      <w:lang w:eastAsia="en-US"/>
    </w:rPr>
  </w:style>
  <w:style w:type="paragraph" w:styleId="Title">
    <w:name w:val="Title"/>
    <w:basedOn w:val="Normal"/>
    <w:next w:val="Normal"/>
    <w:link w:val="TitleChar"/>
    <w:uiPriority w:val="10"/>
    <w:qFormat/>
    <w:rsid w:val="00FA4B16"/>
    <w:pPr>
      <w:spacing w:after="300" w:line="240" w:lineRule="auto"/>
      <w:contextualSpacing/>
    </w:pPr>
    <w:rPr>
      <w:rFonts w:eastAsiaTheme="majorEastAsia" w:cstheme="majorBidi"/>
      <w:b/>
      <w:spacing w:val="5"/>
      <w:kern w:val="28"/>
      <w:sz w:val="36"/>
      <w:szCs w:val="52"/>
    </w:rPr>
  </w:style>
  <w:style w:type="character" w:customStyle="1" w:styleId="TitleChar">
    <w:name w:val="Title Char"/>
    <w:basedOn w:val="DefaultParagraphFont"/>
    <w:link w:val="Title"/>
    <w:uiPriority w:val="10"/>
    <w:rsid w:val="00FA4B16"/>
    <w:rPr>
      <w:rFonts w:ascii="Verdana" w:eastAsiaTheme="majorEastAsia" w:hAnsi="Verdana" w:cstheme="majorBidi"/>
      <w:b/>
      <w:spacing w:val="5"/>
      <w:kern w:val="28"/>
      <w:sz w:val="36"/>
      <w:szCs w:val="52"/>
      <w:lang w:eastAsia="en-US"/>
    </w:rPr>
  </w:style>
  <w:style w:type="paragraph" w:styleId="BalloonText">
    <w:name w:val="Balloon Text"/>
    <w:basedOn w:val="Normal"/>
    <w:link w:val="BalloonTextChar"/>
    <w:rsid w:val="00C1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134B9"/>
    <w:rPr>
      <w:rFonts w:ascii="Tahoma" w:hAnsi="Tahoma" w:cs="Tahoma"/>
      <w:sz w:val="16"/>
      <w:szCs w:val="16"/>
      <w:lang w:eastAsia="en-US"/>
    </w:rPr>
  </w:style>
  <w:style w:type="paragraph" w:styleId="Header">
    <w:name w:val="header"/>
    <w:basedOn w:val="Normal"/>
    <w:link w:val="HeaderChar"/>
    <w:uiPriority w:val="99"/>
    <w:rsid w:val="003C0178"/>
    <w:pPr>
      <w:tabs>
        <w:tab w:val="center" w:pos="4536"/>
        <w:tab w:val="right" w:pos="9072"/>
      </w:tabs>
      <w:spacing w:line="240" w:lineRule="auto"/>
    </w:pPr>
    <w:rPr>
      <w:spacing w:val="6"/>
      <w:sz w:val="17"/>
    </w:rPr>
  </w:style>
  <w:style w:type="character" w:customStyle="1" w:styleId="HeaderChar">
    <w:name w:val="Header Char"/>
    <w:basedOn w:val="DefaultParagraphFont"/>
    <w:link w:val="Header"/>
    <w:uiPriority w:val="99"/>
    <w:rsid w:val="009D5A48"/>
    <w:rPr>
      <w:rFonts w:ascii="Arial" w:hAnsi="Arial"/>
      <w:spacing w:val="6"/>
      <w:sz w:val="17"/>
      <w:lang w:eastAsia="en-US"/>
    </w:rPr>
  </w:style>
  <w:style w:type="paragraph" w:styleId="Footer">
    <w:name w:val="footer"/>
    <w:basedOn w:val="Normal"/>
    <w:link w:val="FooterChar"/>
    <w:uiPriority w:val="99"/>
    <w:rsid w:val="00C134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34B9"/>
    <w:rPr>
      <w:rFonts w:ascii="Verdana" w:hAnsi="Verdana"/>
      <w:sz w:val="18"/>
      <w:lang w:eastAsia="en-US"/>
    </w:rPr>
  </w:style>
  <w:style w:type="character" w:styleId="Hyperlink">
    <w:name w:val="Hyperlink"/>
    <w:basedOn w:val="DefaultParagraphFont"/>
    <w:uiPriority w:val="99"/>
    <w:unhideWhenUsed/>
    <w:rsid w:val="00B03EF2"/>
    <w:rPr>
      <w:color w:val="0000FF" w:themeColor="hyperlink"/>
      <w:u w:val="single"/>
    </w:rPr>
  </w:style>
  <w:style w:type="paragraph" w:styleId="FootnoteText">
    <w:name w:val="footnote text"/>
    <w:basedOn w:val="Normal"/>
    <w:link w:val="FootnoteTextChar"/>
    <w:rsid w:val="003C0178"/>
    <w:pPr>
      <w:tabs>
        <w:tab w:val="left" w:pos="357"/>
      </w:tabs>
      <w:spacing w:line="240" w:lineRule="auto"/>
      <w:ind w:left="357" w:hanging="357"/>
    </w:pPr>
    <w:rPr>
      <w:spacing w:val="6"/>
      <w:sz w:val="17"/>
      <w:szCs w:val="20"/>
    </w:rPr>
  </w:style>
  <w:style w:type="paragraph" w:customStyle="1" w:styleId="SNOpsomming123">
    <w:name w:val="SN_Opsomming 123"/>
    <w:basedOn w:val="Normal"/>
    <w:qFormat/>
    <w:rsid w:val="00A51E49"/>
    <w:pPr>
      <w:numPr>
        <w:numId w:val="5"/>
      </w:numPr>
      <w:ind w:left="357" w:hanging="357"/>
      <w:contextualSpacing/>
    </w:pPr>
    <w:rPr>
      <w:szCs w:val="18"/>
    </w:rPr>
  </w:style>
  <w:style w:type="paragraph" w:customStyle="1" w:styleId="SNOpsommingabc">
    <w:name w:val="SN_Opsomming abc"/>
    <w:basedOn w:val="Normal"/>
    <w:qFormat/>
    <w:rsid w:val="00A51E49"/>
    <w:pPr>
      <w:numPr>
        <w:numId w:val="6"/>
      </w:numPr>
      <w:ind w:left="714" w:hanging="357"/>
      <w:contextualSpacing/>
    </w:pPr>
    <w:rPr>
      <w:szCs w:val="18"/>
    </w:rPr>
  </w:style>
  <w:style w:type="character" w:customStyle="1" w:styleId="FootnoteTextChar">
    <w:name w:val="Footnote Text Char"/>
    <w:basedOn w:val="DefaultParagraphFont"/>
    <w:link w:val="FootnoteText"/>
    <w:rsid w:val="00483FBB"/>
    <w:rPr>
      <w:rFonts w:ascii="Arial" w:hAnsi="Arial"/>
      <w:spacing w:val="6"/>
      <w:sz w:val="17"/>
      <w:szCs w:val="20"/>
      <w:lang w:eastAsia="en-US"/>
    </w:rPr>
  </w:style>
  <w:style w:type="character" w:styleId="FootnoteReference">
    <w:name w:val="footnote reference"/>
    <w:basedOn w:val="DefaultParagraphFont"/>
    <w:uiPriority w:val="99"/>
    <w:rsid w:val="00E5451B"/>
    <w:rPr>
      <w:vertAlign w:val="superscript"/>
    </w:rPr>
  </w:style>
  <w:style w:type="paragraph" w:customStyle="1" w:styleId="SNCCBYLogo">
    <w:name w:val="SN_CCBY Logo"/>
    <w:basedOn w:val="Normal"/>
    <w:qFormat/>
    <w:rsid w:val="00C8257C"/>
    <w:pPr>
      <w:spacing w:before="260"/>
      <w:jc w:val="center"/>
    </w:pPr>
    <w:rPr>
      <w:szCs w:val="18"/>
      <w:lang w:val="en-US"/>
    </w:rPr>
  </w:style>
  <w:style w:type="paragraph" w:customStyle="1" w:styleId="Kop1zondernummer">
    <w:name w:val="Kop 1 zonder nummer"/>
    <w:basedOn w:val="Heading1"/>
    <w:next w:val="Normal"/>
    <w:qFormat/>
    <w:rsid w:val="00607B09"/>
    <w:pPr>
      <w:numPr>
        <w:numId w:val="0"/>
      </w:numPr>
    </w:pPr>
  </w:style>
  <w:style w:type="paragraph" w:customStyle="1" w:styleId="Kop2zondernummer">
    <w:name w:val="Kop 2 zonder nummer"/>
    <w:basedOn w:val="Heading2"/>
    <w:next w:val="Normal"/>
    <w:qFormat/>
    <w:rsid w:val="008E0A90"/>
    <w:pPr>
      <w:numPr>
        <w:ilvl w:val="0"/>
        <w:numId w:val="0"/>
      </w:numPr>
    </w:pPr>
  </w:style>
  <w:style w:type="paragraph" w:customStyle="1" w:styleId="Kop3zondernummer">
    <w:name w:val="Kop 3 zonder nummer"/>
    <w:basedOn w:val="Heading3"/>
    <w:next w:val="Normal"/>
    <w:qFormat/>
    <w:rsid w:val="00607B09"/>
    <w:pPr>
      <w:numPr>
        <w:ilvl w:val="0"/>
        <w:numId w:val="0"/>
      </w:numPr>
    </w:pPr>
  </w:style>
  <w:style w:type="paragraph" w:customStyle="1" w:styleId="Opmerking">
    <w:name w:val="Opmerking"/>
    <w:basedOn w:val="Normal"/>
    <w:next w:val="Normal"/>
    <w:rsid w:val="00426805"/>
    <w:pPr>
      <w:numPr>
        <w:numId w:val="7"/>
      </w:numPr>
      <w:tabs>
        <w:tab w:val="left" w:pos="720"/>
      </w:tabs>
      <w:ind w:left="720" w:hanging="720"/>
    </w:pPr>
  </w:style>
  <w:style w:type="paragraph" w:customStyle="1" w:styleId="SNTabelkop">
    <w:name w:val="SN_Tabelkop"/>
    <w:basedOn w:val="SNTabeltekst"/>
    <w:qFormat/>
    <w:rsid w:val="003C0178"/>
    <w:pPr>
      <w:keepNext/>
    </w:pPr>
    <w:rPr>
      <w:b/>
    </w:rPr>
  </w:style>
  <w:style w:type="paragraph" w:styleId="Caption">
    <w:name w:val="caption"/>
    <w:basedOn w:val="Normal"/>
    <w:next w:val="Normal"/>
    <w:rsid w:val="0069673E"/>
    <w:pPr>
      <w:spacing w:after="200" w:line="240" w:lineRule="auto"/>
      <w:ind w:left="1276" w:hanging="1276"/>
    </w:pPr>
    <w:rPr>
      <w:b/>
      <w:bCs/>
      <w:color w:val="545454"/>
      <w:spacing w:val="6"/>
      <w:sz w:val="17"/>
      <w:szCs w:val="18"/>
    </w:rPr>
  </w:style>
  <w:style w:type="table" w:styleId="TableGrid">
    <w:name w:val="Table Grid"/>
    <w:basedOn w:val="TableNormal"/>
    <w:rsid w:val="00A6045A"/>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TableNormal"/>
    <w:uiPriority w:val="99"/>
    <w:qFormat/>
    <w:rsid w:val="003663A7"/>
    <w:pPr>
      <w:spacing w:before="60" w:after="140" w:line="260" w:lineRule="atLeast"/>
    </w:pPr>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TableofFigures">
    <w:name w:val="table of figures"/>
    <w:basedOn w:val="Normal"/>
    <w:next w:val="Normal"/>
    <w:uiPriority w:val="99"/>
    <w:rsid w:val="00DC23CC"/>
    <w:pPr>
      <w:spacing w:after="0"/>
    </w:pPr>
  </w:style>
  <w:style w:type="table" w:styleId="TableSimple1">
    <w:name w:val="Table Simple 1"/>
    <w:basedOn w:val="TableNormal"/>
    <w:rsid w:val="0091090F"/>
    <w:pPr>
      <w:spacing w:after="26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CommentReference">
    <w:name w:val="annotation reference"/>
    <w:basedOn w:val="DefaultParagraphFont"/>
    <w:semiHidden/>
    <w:unhideWhenUsed/>
    <w:rsid w:val="0043385C"/>
    <w:rPr>
      <w:sz w:val="18"/>
      <w:szCs w:val="18"/>
    </w:rPr>
  </w:style>
  <w:style w:type="paragraph" w:styleId="CommentText">
    <w:name w:val="annotation text"/>
    <w:basedOn w:val="Normal"/>
    <w:link w:val="CommentTextChar"/>
    <w:semiHidden/>
    <w:unhideWhenUsed/>
    <w:rsid w:val="0043385C"/>
    <w:pPr>
      <w:spacing w:line="240" w:lineRule="auto"/>
    </w:pPr>
    <w:rPr>
      <w:sz w:val="24"/>
    </w:rPr>
  </w:style>
  <w:style w:type="character" w:customStyle="1" w:styleId="CommentTextChar">
    <w:name w:val="Comment Text Char"/>
    <w:basedOn w:val="DefaultParagraphFont"/>
    <w:link w:val="CommentText"/>
    <w:semiHidden/>
    <w:rsid w:val="0043385C"/>
    <w:rPr>
      <w:rFonts w:ascii="Arial" w:hAnsi="Arial"/>
      <w:lang w:eastAsia="en-US"/>
    </w:rPr>
  </w:style>
  <w:style w:type="paragraph" w:styleId="CommentSubject">
    <w:name w:val="annotation subject"/>
    <w:basedOn w:val="CommentText"/>
    <w:next w:val="CommentText"/>
    <w:link w:val="CommentSubjectChar"/>
    <w:semiHidden/>
    <w:unhideWhenUsed/>
    <w:rsid w:val="0043385C"/>
    <w:rPr>
      <w:b/>
      <w:bCs/>
      <w:sz w:val="20"/>
      <w:szCs w:val="20"/>
    </w:rPr>
  </w:style>
  <w:style w:type="character" w:customStyle="1" w:styleId="CommentSubjectChar">
    <w:name w:val="Comment Subject Char"/>
    <w:basedOn w:val="CommentTextChar"/>
    <w:link w:val="CommentSubject"/>
    <w:semiHidden/>
    <w:rsid w:val="0043385C"/>
    <w:rPr>
      <w:rFonts w:ascii="Arial" w:hAnsi="Arial"/>
      <w:b/>
      <w:bCs/>
      <w:sz w:val="20"/>
      <w:szCs w:val="20"/>
      <w:lang w:eastAsia="en-US"/>
    </w:rPr>
  </w:style>
  <w:style w:type="paragraph" w:styleId="ListParagraph">
    <w:name w:val="List Paragraph"/>
    <w:basedOn w:val="Normal"/>
    <w:uiPriority w:val="34"/>
    <w:qFormat/>
    <w:rsid w:val="00375356"/>
    <w:pPr>
      <w:ind w:left="720"/>
      <w:contextualSpacing/>
    </w:pPr>
  </w:style>
  <w:style w:type="paragraph" w:customStyle="1" w:styleId="StandaardTekst">
    <w:name w:val="Standaard Tekst"/>
    <w:basedOn w:val="Normal"/>
    <w:next w:val="NoSpacing"/>
    <w:link w:val="StandaardTekstChar"/>
    <w:autoRedefine/>
    <w:qFormat/>
    <w:rsid w:val="004D575A"/>
    <w:pPr>
      <w:autoSpaceDE w:val="0"/>
      <w:autoSpaceDN w:val="0"/>
      <w:adjustRightInd w:val="0"/>
      <w:spacing w:after="120" w:line="360" w:lineRule="exact"/>
    </w:pPr>
    <w:rPr>
      <w:rFonts w:cs="Arial"/>
      <w:noProof/>
      <w:color w:val="404040"/>
      <w:sz w:val="18"/>
      <w:szCs w:val="18"/>
    </w:rPr>
  </w:style>
  <w:style w:type="character" w:customStyle="1" w:styleId="StandaardTekstChar">
    <w:name w:val="Standaard Tekst Char"/>
    <w:link w:val="StandaardTekst"/>
    <w:rsid w:val="004D575A"/>
    <w:rPr>
      <w:rFonts w:ascii="Arial" w:hAnsi="Arial" w:cs="Arial"/>
      <w:noProof/>
      <w:color w:val="404040"/>
      <w:sz w:val="18"/>
      <w:szCs w:val="18"/>
      <w:lang w:eastAsia="en-US"/>
    </w:rPr>
  </w:style>
  <w:style w:type="table" w:styleId="ListTable3-Accent1">
    <w:name w:val="List Table 3 Accent 1"/>
    <w:basedOn w:val="TableNormal"/>
    <w:uiPriority w:val="48"/>
    <w:rsid w:val="004D575A"/>
    <w:rPr>
      <w:rFonts w:ascii="Calibri" w:hAnsi="Calibri"/>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NoSpacing">
    <w:name w:val="No Spacing"/>
    <w:rsid w:val="004D575A"/>
    <w:rPr>
      <w:rFonts w:ascii="Arial" w:hAnsi="Arial"/>
      <w:sz w:val="20"/>
      <w:lang w:eastAsia="en-US"/>
    </w:rPr>
  </w:style>
  <w:style w:type="paragraph" w:styleId="DocumentMap">
    <w:name w:val="Document Map"/>
    <w:basedOn w:val="Normal"/>
    <w:link w:val="DocumentMapChar"/>
    <w:semiHidden/>
    <w:unhideWhenUsed/>
    <w:rsid w:val="002038DE"/>
    <w:pPr>
      <w:spacing w:after="0" w:line="240" w:lineRule="auto"/>
    </w:pPr>
    <w:rPr>
      <w:rFonts w:ascii="Times New Roman" w:hAnsi="Times New Roman"/>
      <w:sz w:val="24"/>
    </w:rPr>
  </w:style>
  <w:style w:type="character" w:customStyle="1" w:styleId="DocumentMapChar">
    <w:name w:val="Document Map Char"/>
    <w:basedOn w:val="DefaultParagraphFont"/>
    <w:link w:val="DocumentMap"/>
    <w:semiHidden/>
    <w:rsid w:val="002038DE"/>
    <w:rPr>
      <w:lang w:eastAsia="en-US"/>
    </w:rPr>
  </w:style>
  <w:style w:type="character" w:styleId="FollowedHyperlink">
    <w:name w:val="FollowedHyperlink"/>
    <w:basedOn w:val="DefaultParagraphFont"/>
    <w:rsid w:val="00D13C1A"/>
    <w:rPr>
      <w:color w:val="800080" w:themeColor="followedHyperlink"/>
      <w:u w:val="single"/>
    </w:rPr>
  </w:style>
  <w:style w:type="table" w:styleId="GridTable2">
    <w:name w:val="Grid Table 2"/>
    <w:basedOn w:val="TableNormal"/>
    <w:uiPriority w:val="47"/>
    <w:rsid w:val="004D625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4">
    <w:name w:val="Grid Table 1 Light Accent 4"/>
    <w:basedOn w:val="TableNormal"/>
    <w:uiPriority w:val="46"/>
    <w:rsid w:val="004D6254"/>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4">
    <w:name w:val="Grid Table 4"/>
    <w:basedOn w:val="TableNormal"/>
    <w:uiPriority w:val="49"/>
    <w:rsid w:val="004D625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72940">
      <w:bodyDiv w:val="1"/>
      <w:marLeft w:val="0"/>
      <w:marRight w:val="0"/>
      <w:marTop w:val="0"/>
      <w:marBottom w:val="0"/>
      <w:divBdr>
        <w:top w:val="none" w:sz="0" w:space="0" w:color="auto"/>
        <w:left w:val="none" w:sz="0" w:space="0" w:color="auto"/>
        <w:bottom w:val="none" w:sz="0" w:space="0" w:color="auto"/>
        <w:right w:val="none" w:sz="0" w:space="0" w:color="auto"/>
      </w:divBdr>
    </w:div>
    <w:div w:id="510879374">
      <w:bodyDiv w:val="1"/>
      <w:marLeft w:val="0"/>
      <w:marRight w:val="0"/>
      <w:marTop w:val="0"/>
      <w:marBottom w:val="0"/>
      <w:divBdr>
        <w:top w:val="none" w:sz="0" w:space="0" w:color="auto"/>
        <w:left w:val="none" w:sz="0" w:space="0" w:color="auto"/>
        <w:bottom w:val="none" w:sz="0" w:space="0" w:color="auto"/>
        <w:right w:val="none" w:sz="0" w:space="0" w:color="auto"/>
      </w:divBdr>
    </w:div>
    <w:div w:id="651106160">
      <w:bodyDiv w:val="1"/>
      <w:marLeft w:val="0"/>
      <w:marRight w:val="0"/>
      <w:marTop w:val="0"/>
      <w:marBottom w:val="0"/>
      <w:divBdr>
        <w:top w:val="none" w:sz="0" w:space="0" w:color="auto"/>
        <w:left w:val="none" w:sz="0" w:space="0" w:color="auto"/>
        <w:bottom w:val="none" w:sz="0" w:space="0" w:color="auto"/>
        <w:right w:val="none" w:sz="0" w:space="0" w:color="auto"/>
      </w:divBdr>
    </w:div>
    <w:div w:id="949163121">
      <w:bodyDiv w:val="1"/>
      <w:marLeft w:val="0"/>
      <w:marRight w:val="0"/>
      <w:marTop w:val="0"/>
      <w:marBottom w:val="0"/>
      <w:divBdr>
        <w:top w:val="none" w:sz="0" w:space="0" w:color="auto"/>
        <w:left w:val="none" w:sz="0" w:space="0" w:color="auto"/>
        <w:bottom w:val="none" w:sz="0" w:space="0" w:color="auto"/>
        <w:right w:val="none" w:sz="0" w:space="0" w:color="auto"/>
      </w:divBdr>
    </w:div>
    <w:div w:id="1011109841">
      <w:bodyDiv w:val="1"/>
      <w:marLeft w:val="0"/>
      <w:marRight w:val="0"/>
      <w:marTop w:val="0"/>
      <w:marBottom w:val="0"/>
      <w:divBdr>
        <w:top w:val="none" w:sz="0" w:space="0" w:color="auto"/>
        <w:left w:val="none" w:sz="0" w:space="0" w:color="auto"/>
        <w:bottom w:val="none" w:sz="0" w:space="0" w:color="auto"/>
        <w:right w:val="none" w:sz="0" w:space="0" w:color="auto"/>
      </w:divBdr>
    </w:div>
    <w:div w:id="1266353253">
      <w:bodyDiv w:val="1"/>
      <w:marLeft w:val="0"/>
      <w:marRight w:val="0"/>
      <w:marTop w:val="0"/>
      <w:marBottom w:val="0"/>
      <w:divBdr>
        <w:top w:val="none" w:sz="0" w:space="0" w:color="auto"/>
        <w:left w:val="none" w:sz="0" w:space="0" w:color="auto"/>
        <w:bottom w:val="none" w:sz="0" w:space="0" w:color="auto"/>
        <w:right w:val="none" w:sz="0" w:space="0" w:color="auto"/>
      </w:divBdr>
    </w:div>
    <w:div w:id="1496218958">
      <w:bodyDiv w:val="1"/>
      <w:marLeft w:val="0"/>
      <w:marRight w:val="0"/>
      <w:marTop w:val="0"/>
      <w:marBottom w:val="0"/>
      <w:divBdr>
        <w:top w:val="none" w:sz="0" w:space="0" w:color="auto"/>
        <w:left w:val="none" w:sz="0" w:space="0" w:color="auto"/>
        <w:bottom w:val="none" w:sz="0" w:space="0" w:color="auto"/>
        <w:right w:val="none" w:sz="0" w:space="0" w:color="auto"/>
      </w:divBdr>
    </w:div>
    <w:div w:id="1525636630">
      <w:bodyDiv w:val="1"/>
      <w:marLeft w:val="0"/>
      <w:marRight w:val="0"/>
      <w:marTop w:val="0"/>
      <w:marBottom w:val="0"/>
      <w:divBdr>
        <w:top w:val="none" w:sz="0" w:space="0" w:color="auto"/>
        <w:left w:val="none" w:sz="0" w:space="0" w:color="auto"/>
        <w:bottom w:val="none" w:sz="0" w:space="0" w:color="auto"/>
        <w:right w:val="none" w:sz="0" w:space="0" w:color="auto"/>
      </w:divBdr>
    </w:div>
    <w:div w:id="184844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odyseus:Documents:Surf:logoos%20en%20standaarden:templates:surfnet_rapport_nl.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2E1BF-7750-8C4D-A10A-8A4BE223A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Macintosh%20HD:Users:odyseus:Documents:Surf:logoos%20en%20standaarden:templates:surfnet_rapport_nl.dotm</Template>
  <TotalTime>0</TotalTime>
  <Pages>11</Pages>
  <Words>2270</Words>
  <Characters>14832</Characters>
  <Application>Microsoft Office Word</Application>
  <DocSecurity>0</DocSecurity>
  <Lines>654</Lines>
  <Paragraphs>339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Handreiking Security</vt:lpstr>
      <vt:lpstr>Handreiking Security</vt:lpstr>
    </vt:vector>
  </TitlesOfParts>
  <Manager/>
  <Company/>
  <LinksUpToDate>false</LinksUpToDate>
  <CharactersWithSpaces>16821</CharactersWithSpaces>
  <SharedDoc>false</SharedDoc>
  <HyperlinkBase/>
  <HLinks>
    <vt:vector size="12" baseType="variant">
      <vt:variant>
        <vt:i4>1179708</vt:i4>
      </vt:variant>
      <vt:variant>
        <vt:i4>14</vt:i4>
      </vt:variant>
      <vt:variant>
        <vt:i4>0</vt:i4>
      </vt:variant>
      <vt:variant>
        <vt:i4>5</vt:i4>
      </vt:variant>
      <vt:variant>
        <vt:lpwstr/>
      </vt:variant>
      <vt:variant>
        <vt:lpwstr>_Toc214783200</vt:lpwstr>
      </vt:variant>
      <vt:variant>
        <vt:i4>1769535</vt:i4>
      </vt:variant>
      <vt:variant>
        <vt:i4>8</vt:i4>
      </vt:variant>
      <vt:variant>
        <vt:i4>0</vt:i4>
      </vt:variant>
      <vt:variant>
        <vt:i4>5</vt:i4>
      </vt:variant>
      <vt:variant>
        <vt:lpwstr/>
      </vt:variant>
      <vt:variant>
        <vt:lpwstr>_Toc214783199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Handreiking Security</dc:title>
  <dc:subject/>
  <dc:creator/>
  <cp:keywords/>
  <dc:description/>
  <cp:lastModifiedBy/>
  <cp:revision>1</cp:revision>
  <dcterms:created xsi:type="dcterms:W3CDTF">2021-12-20T08:31:00Z</dcterms:created>
  <dcterms:modified xsi:type="dcterms:W3CDTF">2022-02-14T15:20:00Z</dcterms:modified>
  <cp:category/>
</cp:coreProperties>
</file>