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9746" w14:textId="416EF7E8" w:rsidR="00BC7DB4" w:rsidRPr="00444173" w:rsidRDefault="00BC7DB4" w:rsidP="00BC7DB4">
      <w:pPr>
        <w:pStyle w:val="maatregelen"/>
        <w:numPr>
          <w:ilvl w:val="0"/>
          <w:numId w:val="0"/>
        </w:numPr>
        <w:spacing w:line="360" w:lineRule="auto"/>
        <w:rPr>
          <w:rFonts w:cs="Arial"/>
          <w:b/>
          <w:sz w:val="22"/>
          <w:szCs w:val="22"/>
        </w:rPr>
      </w:pPr>
      <w:r w:rsidRPr="00CE1E3B">
        <w:rPr>
          <w:rFonts w:cs="Arial"/>
          <w:b/>
          <w:sz w:val="22"/>
          <w:szCs w:val="22"/>
        </w:rPr>
        <w:t xml:space="preserve">Bijlage </w:t>
      </w:r>
      <w:r w:rsidR="003C192D">
        <w:rPr>
          <w:rFonts w:cs="Arial"/>
          <w:b/>
          <w:sz w:val="22"/>
          <w:szCs w:val="22"/>
        </w:rPr>
        <w:t>5</w:t>
      </w:r>
      <w:r w:rsidRPr="00CE1E3B">
        <w:rPr>
          <w:rFonts w:cs="Arial"/>
          <w:b/>
          <w:sz w:val="22"/>
          <w:szCs w:val="22"/>
        </w:rPr>
        <w:t xml:space="preserve"> </w:t>
      </w:r>
      <w:r w:rsidRPr="00444173">
        <w:rPr>
          <w:rFonts w:cs="Arial"/>
          <w:b/>
          <w:sz w:val="22"/>
          <w:szCs w:val="22"/>
        </w:rPr>
        <w:t>Inschrijfformulier Kwaliteit</w:t>
      </w:r>
    </w:p>
    <w:p w14:paraId="21FBB98D" w14:textId="77777777" w:rsidR="00BC7DB4" w:rsidRDefault="00BC7DB4" w:rsidP="00BC7DB4">
      <w:pPr>
        <w:pStyle w:val="PTI2"/>
        <w:spacing w:line="360" w:lineRule="auto"/>
        <w:ind w:left="0"/>
        <w:rPr>
          <w:rFonts w:ascii="Arial" w:hAnsi="Arial" w:cs="Arial"/>
          <w:sz w:val="22"/>
          <w:szCs w:val="22"/>
        </w:rPr>
      </w:pPr>
    </w:p>
    <w:p w14:paraId="510A1875" w14:textId="77777777" w:rsidR="00BC7DB4" w:rsidRPr="00BC7DB4" w:rsidRDefault="00BC7DB4" w:rsidP="00BC7DB4">
      <w:pPr>
        <w:pStyle w:val="PTI2"/>
        <w:spacing w:line="360" w:lineRule="auto"/>
        <w:ind w:left="0"/>
        <w:rPr>
          <w:rFonts w:ascii="Arial" w:hAnsi="Arial" w:cs="Arial"/>
          <w:sz w:val="22"/>
          <w:szCs w:val="22"/>
        </w:rPr>
      </w:pPr>
      <w:r w:rsidRPr="00BC7DB4">
        <w:rPr>
          <w:rFonts w:ascii="Arial" w:hAnsi="Arial" w:cs="Arial"/>
          <w:sz w:val="22"/>
          <w:szCs w:val="22"/>
        </w:rPr>
        <w:t>Naam Inschrijver:</w:t>
      </w:r>
      <w:r w:rsidRPr="00BC7DB4">
        <w:rPr>
          <w:rFonts w:ascii="Arial" w:hAnsi="Arial" w:cs="Arial"/>
          <w:sz w:val="22"/>
          <w:szCs w:val="22"/>
        </w:rPr>
        <w:tab/>
      </w:r>
      <w:r>
        <w:rPr>
          <w:rFonts w:ascii="Arial" w:hAnsi="Arial" w:cs="Arial"/>
          <w:sz w:val="22"/>
          <w:szCs w:val="22"/>
        </w:rPr>
        <w:t>&lt;invullen&gt;</w:t>
      </w:r>
    </w:p>
    <w:p w14:paraId="7B0EE6AB" w14:textId="74F81E85" w:rsidR="007D24C3" w:rsidRPr="007D24C3" w:rsidRDefault="00BC7DB4" w:rsidP="007D24C3">
      <w:pPr>
        <w:pStyle w:val="PTI2"/>
        <w:spacing w:line="360" w:lineRule="auto"/>
        <w:ind w:left="0"/>
        <w:rPr>
          <w:rFonts w:ascii="Arial" w:hAnsi="Arial" w:cs="Arial"/>
          <w:sz w:val="22"/>
          <w:szCs w:val="22"/>
        </w:rPr>
      </w:pPr>
      <w:r>
        <w:rPr>
          <w:rFonts w:ascii="Arial" w:hAnsi="Arial" w:cs="Arial"/>
          <w:sz w:val="22"/>
          <w:szCs w:val="22"/>
        </w:rPr>
        <w:t xml:space="preserve">Inschrijver </w:t>
      </w:r>
      <w:r w:rsidR="003C192D">
        <w:rPr>
          <w:rFonts w:ascii="Arial" w:hAnsi="Arial" w:cs="Arial"/>
          <w:sz w:val="22"/>
          <w:szCs w:val="22"/>
        </w:rPr>
        <w:t xml:space="preserve">vult in of kan worden voldaan aan </w:t>
      </w:r>
      <w:r>
        <w:rPr>
          <w:rFonts w:ascii="Arial" w:hAnsi="Arial" w:cs="Arial"/>
          <w:sz w:val="22"/>
          <w:szCs w:val="22"/>
        </w:rPr>
        <w:t xml:space="preserve">de volgende </w:t>
      </w:r>
      <w:r w:rsidR="003C192D">
        <w:rPr>
          <w:rFonts w:ascii="Arial" w:hAnsi="Arial" w:cs="Arial"/>
          <w:sz w:val="22"/>
          <w:szCs w:val="22"/>
        </w:rPr>
        <w:t>wensen</w:t>
      </w:r>
      <w:r w:rsidR="007D24C3">
        <w:rPr>
          <w:rFonts w:ascii="Arial" w:hAnsi="Arial" w:cs="Arial"/>
          <w:sz w:val="22"/>
          <w:szCs w:val="22"/>
        </w:rPr>
        <w:t>:</w:t>
      </w:r>
      <w:r w:rsidR="007D24C3" w:rsidRPr="007D24C3">
        <w:rPr>
          <w:rFonts w:ascii="Arial" w:eastAsia="Calibri" w:hAnsi="Arial" w:cs="Arial"/>
          <w:color w:val="0000FF"/>
          <w:sz w:val="22"/>
          <w:szCs w:val="22"/>
          <w:lang w:eastAsia="en-US"/>
        </w:rPr>
        <w:t xml:space="preserve">                               </w:t>
      </w:r>
    </w:p>
    <w:tbl>
      <w:tblPr>
        <w:tblStyle w:val="Tabelraster2"/>
        <w:tblW w:w="9209" w:type="dxa"/>
        <w:tblLook w:val="04A0" w:firstRow="1" w:lastRow="0" w:firstColumn="1" w:lastColumn="0" w:noHBand="0" w:noVBand="1"/>
      </w:tblPr>
      <w:tblGrid>
        <w:gridCol w:w="4957"/>
        <w:gridCol w:w="4252"/>
      </w:tblGrid>
      <w:tr w:rsidR="007D24C3" w:rsidRPr="007D24C3" w14:paraId="24B9C53D" w14:textId="77777777" w:rsidTr="00DD1FF9">
        <w:tc>
          <w:tcPr>
            <w:tcW w:w="4957" w:type="dxa"/>
          </w:tcPr>
          <w:p w14:paraId="05B439A4" w14:textId="77777777" w:rsidR="007D24C3" w:rsidRPr="007D24C3" w:rsidRDefault="007D24C3" w:rsidP="007D24C3">
            <w:p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Gewenste extra verzekeringsdekking</w:t>
            </w:r>
          </w:p>
          <w:p w14:paraId="6E140471" w14:textId="77777777" w:rsidR="007D24C3" w:rsidRPr="007D24C3" w:rsidRDefault="007D24C3" w:rsidP="007D24C3">
            <w:p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De kosten voor deze dienstverleningen dienen gedekt te zijn uit de premie.</w:t>
            </w:r>
          </w:p>
          <w:p w14:paraId="10FB6847" w14:textId="77777777" w:rsidR="007D24C3" w:rsidRPr="007D24C3" w:rsidRDefault="007D24C3" w:rsidP="007D24C3">
            <w:pPr>
              <w:spacing w:after="200"/>
              <w:rPr>
                <w:rFonts w:ascii="Arial" w:eastAsia="Calibri" w:hAnsi="Arial" w:cs="Arial"/>
                <w:b/>
                <w:bCs/>
                <w:sz w:val="22"/>
                <w:szCs w:val="22"/>
                <w:lang w:eastAsia="en-US"/>
              </w:rPr>
            </w:pPr>
          </w:p>
        </w:tc>
        <w:tc>
          <w:tcPr>
            <w:tcW w:w="4252" w:type="dxa"/>
          </w:tcPr>
          <w:p w14:paraId="17DC1DC6" w14:textId="63AC7C58" w:rsidR="007D24C3" w:rsidRPr="007D24C3" w:rsidRDefault="007D24C3" w:rsidP="007D24C3">
            <w:pPr>
              <w:spacing w:after="200"/>
              <w:rPr>
                <w:rFonts w:ascii="Arial" w:eastAsia="Calibri" w:hAnsi="Arial" w:cs="Arial"/>
                <w:b/>
                <w:bCs/>
                <w:sz w:val="22"/>
                <w:szCs w:val="22"/>
                <w:lang w:eastAsia="en-US"/>
              </w:rPr>
            </w:pPr>
            <w:r>
              <w:rPr>
                <w:rFonts w:ascii="Arial" w:eastAsia="Calibri" w:hAnsi="Arial" w:cs="Arial"/>
                <w:b/>
                <w:bCs/>
                <w:sz w:val="22"/>
                <w:szCs w:val="22"/>
                <w:lang w:eastAsia="en-US"/>
              </w:rPr>
              <w:t>Geef hieronder aan of u wel (Ja) of niet (Nee) aan de wens kunt voldoen</w:t>
            </w:r>
            <w:r w:rsidRPr="007D24C3">
              <w:rPr>
                <w:rFonts w:ascii="Arial" w:eastAsia="Calibri" w:hAnsi="Arial" w:cs="Arial"/>
                <w:b/>
                <w:bCs/>
                <w:sz w:val="22"/>
                <w:szCs w:val="22"/>
                <w:lang w:eastAsia="en-US"/>
              </w:rPr>
              <w:t xml:space="preserve">: </w:t>
            </w:r>
          </w:p>
          <w:p w14:paraId="448382A2" w14:textId="079725B7" w:rsidR="007D24C3" w:rsidRDefault="007D24C3" w:rsidP="007D24C3">
            <w:p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‘Ja</w:t>
            </w:r>
            <w:r>
              <w:rPr>
                <w:rFonts w:ascii="Arial" w:eastAsia="Calibri" w:hAnsi="Arial" w:cs="Arial"/>
                <w:b/>
                <w:bCs/>
                <w:sz w:val="22"/>
                <w:szCs w:val="22"/>
                <w:lang w:eastAsia="en-US"/>
              </w:rPr>
              <w:t>’ =</w:t>
            </w:r>
            <w:r w:rsidRPr="007D24C3">
              <w:rPr>
                <w:rFonts w:ascii="Arial" w:eastAsia="Calibri" w:hAnsi="Arial" w:cs="Arial"/>
                <w:b/>
                <w:bCs/>
                <w:sz w:val="22"/>
                <w:szCs w:val="22"/>
                <w:lang w:eastAsia="en-US"/>
              </w:rPr>
              <w:t xml:space="preserve"> meeverzekerd, zonder voorbehoud</w:t>
            </w:r>
          </w:p>
          <w:p w14:paraId="726EEE52" w14:textId="458AF607" w:rsidR="007D24C3" w:rsidRPr="007D24C3" w:rsidRDefault="007D24C3" w:rsidP="007D24C3">
            <w:pPr>
              <w:spacing w:after="200"/>
              <w:rPr>
                <w:rFonts w:ascii="Arial" w:eastAsia="Calibri" w:hAnsi="Arial" w:cs="Arial"/>
                <w:b/>
                <w:bCs/>
                <w:sz w:val="22"/>
                <w:szCs w:val="22"/>
                <w:lang w:eastAsia="en-US"/>
              </w:rPr>
            </w:pPr>
            <w:r>
              <w:rPr>
                <w:rFonts w:ascii="Arial" w:eastAsia="Calibri" w:hAnsi="Arial" w:cs="Arial"/>
                <w:b/>
                <w:bCs/>
                <w:sz w:val="22"/>
                <w:szCs w:val="22"/>
                <w:lang w:eastAsia="en-US"/>
              </w:rPr>
              <w:t>‘Nee’ = niet (geheel) meeverzekerd</w:t>
            </w:r>
          </w:p>
        </w:tc>
      </w:tr>
      <w:tr w:rsidR="007D24C3" w:rsidRPr="007D24C3" w14:paraId="1CFD02FB" w14:textId="77777777" w:rsidTr="00DD1FF9">
        <w:tc>
          <w:tcPr>
            <w:tcW w:w="4957" w:type="dxa"/>
          </w:tcPr>
          <w:p w14:paraId="05D07BF9" w14:textId="036E9EA6" w:rsidR="007D24C3" w:rsidRPr="007D24C3" w:rsidRDefault="007D24C3" w:rsidP="007D24C3">
            <w:pPr>
              <w:pStyle w:val="Lijstalinea"/>
              <w:numPr>
                <w:ilvl w:val="0"/>
                <w:numId w:val="8"/>
              </w:num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Online raadplegen schadedossiers:</w:t>
            </w:r>
          </w:p>
          <w:p w14:paraId="2A30A586"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In verband met maatschappelijk verantwoord ondernemen hecht de gemeente waarde aan papierloos werken en het hebben van digitaal inzicht. De gemeente wenst daarom gebruik te maken van een (beveiligde) on line mogelijkheid tot het raadpleging van dossiers. De gemeente wenst minimaal de volgende mogelijkheden:</w:t>
            </w:r>
          </w:p>
          <w:p w14:paraId="274AC3A6" w14:textId="77777777" w:rsidR="007D24C3" w:rsidRPr="007D24C3" w:rsidRDefault="007D24C3" w:rsidP="007D24C3">
            <w:pPr>
              <w:numPr>
                <w:ilvl w:val="0"/>
                <w:numId w:val="7"/>
              </w:numPr>
              <w:spacing w:after="200" w:line="276" w:lineRule="auto"/>
              <w:ind w:left="447" w:hanging="425"/>
              <w:contextualSpacing/>
              <w:rPr>
                <w:rFonts w:ascii="Arial" w:eastAsia="Calibri" w:hAnsi="Arial" w:cs="Arial"/>
                <w:sz w:val="22"/>
                <w:szCs w:val="22"/>
                <w:lang w:eastAsia="en-US"/>
              </w:rPr>
            </w:pPr>
            <w:r w:rsidRPr="007D24C3">
              <w:rPr>
                <w:rFonts w:ascii="Arial" w:eastAsia="Calibri" w:hAnsi="Arial" w:cs="Arial"/>
                <w:sz w:val="22"/>
                <w:szCs w:val="22"/>
                <w:lang w:eastAsia="en-US"/>
              </w:rPr>
              <w:t xml:space="preserve">het digitaal beschikbaar stellen van de </w:t>
            </w:r>
            <w:proofErr w:type="spellStart"/>
            <w:r w:rsidRPr="007D24C3">
              <w:rPr>
                <w:rFonts w:ascii="Arial" w:eastAsia="Calibri" w:hAnsi="Arial" w:cs="Arial"/>
                <w:sz w:val="22"/>
                <w:szCs w:val="22"/>
                <w:lang w:eastAsia="en-US"/>
              </w:rPr>
              <w:t>polisstukken</w:t>
            </w:r>
            <w:proofErr w:type="spellEnd"/>
            <w:r w:rsidRPr="007D24C3">
              <w:rPr>
                <w:rFonts w:ascii="Arial" w:eastAsia="Calibri" w:hAnsi="Arial" w:cs="Arial"/>
                <w:sz w:val="22"/>
                <w:szCs w:val="22"/>
                <w:lang w:eastAsia="en-US"/>
              </w:rPr>
              <w:t xml:space="preserve"> en facturen;</w:t>
            </w:r>
          </w:p>
          <w:p w14:paraId="7A407318" w14:textId="77777777" w:rsidR="007D24C3" w:rsidRPr="007D24C3" w:rsidRDefault="007D24C3" w:rsidP="007D24C3">
            <w:pPr>
              <w:numPr>
                <w:ilvl w:val="0"/>
                <w:numId w:val="7"/>
              </w:numPr>
              <w:spacing w:after="200" w:line="276" w:lineRule="auto"/>
              <w:ind w:left="447" w:hanging="425"/>
              <w:contextualSpacing/>
              <w:rPr>
                <w:rFonts w:ascii="Arial" w:eastAsia="Calibri" w:hAnsi="Arial" w:cs="Arial"/>
                <w:sz w:val="22"/>
                <w:szCs w:val="22"/>
                <w:lang w:eastAsia="en-US"/>
              </w:rPr>
            </w:pPr>
            <w:r w:rsidRPr="007D24C3">
              <w:rPr>
                <w:rFonts w:ascii="Arial" w:eastAsia="Calibri" w:hAnsi="Arial" w:cs="Arial"/>
                <w:sz w:val="22"/>
                <w:szCs w:val="22"/>
                <w:lang w:eastAsia="en-US"/>
              </w:rPr>
              <w:t>het digitaal beschikbaar stellen van de status van schademeldingen en afwikkelingen van schades, inclusief voor gemeente relevante correspondentie;</w:t>
            </w:r>
          </w:p>
          <w:p w14:paraId="158C5DFA" w14:textId="77777777" w:rsidR="007D24C3" w:rsidRPr="007D24C3" w:rsidRDefault="007D24C3" w:rsidP="007D24C3">
            <w:pPr>
              <w:numPr>
                <w:ilvl w:val="0"/>
                <w:numId w:val="7"/>
              </w:numPr>
              <w:spacing w:after="200" w:line="276" w:lineRule="auto"/>
              <w:ind w:left="447" w:hanging="425"/>
              <w:contextualSpacing/>
              <w:rPr>
                <w:rFonts w:ascii="Arial" w:eastAsia="Calibri" w:hAnsi="Arial" w:cs="Arial"/>
                <w:sz w:val="22"/>
                <w:szCs w:val="22"/>
                <w:lang w:eastAsia="en-US"/>
              </w:rPr>
            </w:pPr>
            <w:r w:rsidRPr="007D24C3">
              <w:rPr>
                <w:rFonts w:ascii="Arial" w:eastAsia="Calibri" w:hAnsi="Arial" w:cs="Arial"/>
                <w:sz w:val="22"/>
                <w:szCs w:val="22"/>
                <w:lang w:eastAsia="en-US"/>
              </w:rPr>
              <w:t>digitaal inzicht in het schadeverloop/schadebeeld;</w:t>
            </w:r>
          </w:p>
          <w:p w14:paraId="2A23109A" w14:textId="77777777" w:rsidR="00FC6F29" w:rsidRDefault="00FC6F29" w:rsidP="007D24C3">
            <w:pPr>
              <w:spacing w:after="200"/>
              <w:rPr>
                <w:rFonts w:ascii="Arial" w:eastAsia="Calibri" w:hAnsi="Arial" w:cs="Arial"/>
                <w:sz w:val="22"/>
                <w:szCs w:val="22"/>
                <w:lang w:eastAsia="en-US"/>
              </w:rPr>
            </w:pPr>
          </w:p>
          <w:p w14:paraId="44FDF5D8" w14:textId="48316601"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De kosten voor deze dienstverlening dienen gedekt te zijn uit de premie.</w:t>
            </w:r>
          </w:p>
        </w:tc>
        <w:tc>
          <w:tcPr>
            <w:tcW w:w="4252" w:type="dxa"/>
          </w:tcPr>
          <w:p w14:paraId="5DCD37E2" w14:textId="77777777" w:rsidR="007D24C3" w:rsidRPr="007D24C3" w:rsidRDefault="007D24C3" w:rsidP="007D24C3">
            <w:pPr>
              <w:spacing w:after="200"/>
              <w:jc w:val="center"/>
              <w:rPr>
                <w:rFonts w:ascii="Arial" w:eastAsia="Calibri" w:hAnsi="Arial" w:cs="Arial"/>
                <w:sz w:val="22"/>
                <w:szCs w:val="22"/>
                <w:lang w:eastAsia="en-US"/>
              </w:rPr>
            </w:pPr>
          </w:p>
          <w:p w14:paraId="24E5BFD5" w14:textId="3B458790" w:rsidR="007D24C3" w:rsidRPr="007D24C3" w:rsidRDefault="007D24C3" w:rsidP="007D24C3">
            <w:pPr>
              <w:spacing w:after="200"/>
              <w:jc w:val="center"/>
              <w:rPr>
                <w:rFonts w:ascii="Arial" w:eastAsia="Calibri" w:hAnsi="Arial" w:cs="Arial"/>
                <w:sz w:val="22"/>
                <w:szCs w:val="22"/>
                <w:lang w:eastAsia="en-US"/>
              </w:rPr>
            </w:pPr>
            <w:r>
              <w:rPr>
                <w:rFonts w:ascii="Arial" w:eastAsia="Calibri" w:hAnsi="Arial" w:cs="Arial"/>
                <w:sz w:val="22"/>
                <w:szCs w:val="22"/>
                <w:lang w:eastAsia="en-US"/>
              </w:rPr>
              <w:t>Ja / Nee</w:t>
            </w:r>
          </w:p>
        </w:tc>
      </w:tr>
      <w:tr w:rsidR="007D24C3" w:rsidRPr="007D24C3" w14:paraId="2C7C0613" w14:textId="77777777" w:rsidTr="00DD1FF9">
        <w:tc>
          <w:tcPr>
            <w:tcW w:w="4957" w:type="dxa"/>
          </w:tcPr>
          <w:p w14:paraId="31681E4B" w14:textId="5DA1EF7F" w:rsidR="007D24C3" w:rsidRPr="007D24C3" w:rsidRDefault="007D24C3" w:rsidP="007D24C3">
            <w:pPr>
              <w:pStyle w:val="Lijstalinea"/>
              <w:numPr>
                <w:ilvl w:val="0"/>
                <w:numId w:val="8"/>
              </w:num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Informatievoorziening / overdracht kennis en ervaring:</w:t>
            </w:r>
          </w:p>
          <w:p w14:paraId="025EE530"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De gemeente wenst regelmatig/periodiek informatie te ontvangen met betrekking tot/gebruik maken van:</w:t>
            </w:r>
          </w:p>
          <w:p w14:paraId="0D8B0FEC"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1. jurisprudentie over aansprakelijkheid van gemeenten voor aanspraken van derden en aansprakelijkheid als werkgever;</w:t>
            </w:r>
          </w:p>
          <w:p w14:paraId="2AEE8E08"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2. ontwikkelingen in de verzekeringsmarkt met betrekking tot betreffende verzekeringen;</w:t>
            </w:r>
          </w:p>
          <w:p w14:paraId="1CCB835A"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 xml:space="preserve">3. ontwikkelingen in de verzekeringsmarkt ten aanzien van (nieuwe) aanbieders die van belang </w:t>
            </w:r>
            <w:r w:rsidRPr="007D24C3">
              <w:rPr>
                <w:rFonts w:ascii="Arial" w:eastAsia="Calibri" w:hAnsi="Arial" w:cs="Arial"/>
                <w:sz w:val="22"/>
                <w:szCs w:val="22"/>
                <w:lang w:eastAsia="en-US"/>
              </w:rPr>
              <w:lastRenderedPageBreak/>
              <w:t>kunnen zijn voor gemeenten voor de (her-) inkoop van verzekeringsproducten;</w:t>
            </w:r>
          </w:p>
          <w:p w14:paraId="467AE13F"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4. het organiseren van themadagen en gratis interne of externe informatiebijeenkomsten, opleidingen of cursussen.</w:t>
            </w:r>
          </w:p>
          <w:p w14:paraId="732007A6"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5. minimaal eens per jaar een gedetailleerd schadeoverzicht (in Exel) met mondelinge toelichting op de openstaande schaden en reserveringen;</w:t>
            </w:r>
          </w:p>
          <w:p w14:paraId="2ED25C5F"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6. een digitale kennisbank waarop de gemeente kan inloggen en actuele informatie kan inzien.</w:t>
            </w:r>
          </w:p>
        </w:tc>
        <w:tc>
          <w:tcPr>
            <w:tcW w:w="4252" w:type="dxa"/>
          </w:tcPr>
          <w:p w14:paraId="572E8619" w14:textId="77777777" w:rsidR="007D24C3" w:rsidRPr="007D24C3" w:rsidRDefault="007D24C3" w:rsidP="007D24C3">
            <w:pPr>
              <w:spacing w:after="200"/>
              <w:jc w:val="center"/>
              <w:rPr>
                <w:rFonts w:ascii="Arial" w:eastAsia="Calibri" w:hAnsi="Arial" w:cs="Arial"/>
                <w:sz w:val="22"/>
                <w:szCs w:val="22"/>
                <w:lang w:eastAsia="en-US"/>
              </w:rPr>
            </w:pPr>
          </w:p>
          <w:p w14:paraId="2EDB41E7" w14:textId="74EB8C88" w:rsidR="007D24C3" w:rsidRPr="007D24C3" w:rsidRDefault="007D24C3" w:rsidP="007D24C3">
            <w:pPr>
              <w:spacing w:after="200"/>
              <w:jc w:val="center"/>
              <w:rPr>
                <w:rFonts w:ascii="Arial" w:eastAsia="Calibri" w:hAnsi="Arial" w:cs="Arial"/>
                <w:sz w:val="22"/>
                <w:szCs w:val="22"/>
                <w:lang w:eastAsia="en-US"/>
              </w:rPr>
            </w:pPr>
            <w:r w:rsidRPr="007D24C3">
              <w:rPr>
                <w:rFonts w:ascii="Arial" w:eastAsia="Calibri" w:hAnsi="Arial" w:cs="Arial"/>
                <w:sz w:val="22"/>
                <w:szCs w:val="22"/>
                <w:lang w:eastAsia="en-US"/>
              </w:rPr>
              <w:t>Ja / Nee</w:t>
            </w:r>
          </w:p>
        </w:tc>
      </w:tr>
      <w:tr w:rsidR="007D24C3" w:rsidRPr="007D24C3" w14:paraId="1B0A6AF2" w14:textId="77777777" w:rsidTr="00DD1FF9">
        <w:tc>
          <w:tcPr>
            <w:tcW w:w="4957" w:type="dxa"/>
          </w:tcPr>
          <w:p w14:paraId="2D01C17F" w14:textId="72DE89A1" w:rsidR="007D24C3" w:rsidRPr="007D24C3" w:rsidRDefault="007D24C3" w:rsidP="007D24C3">
            <w:pPr>
              <w:pStyle w:val="Lijstalinea"/>
              <w:numPr>
                <w:ilvl w:val="0"/>
                <w:numId w:val="8"/>
              </w:num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Proceskosten:</w:t>
            </w:r>
          </w:p>
          <w:p w14:paraId="376900A0"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 xml:space="preserve">Aanvullend op de dekking in het programma van eisen (sluitnota) voor proceskosten op grond van artikel 8:75 en 8:75a </w:t>
            </w:r>
            <w:proofErr w:type="spellStart"/>
            <w:r w:rsidRPr="007D24C3">
              <w:rPr>
                <w:rFonts w:ascii="Arial" w:eastAsia="Calibri" w:hAnsi="Arial" w:cs="Arial"/>
                <w:sz w:val="22"/>
                <w:szCs w:val="22"/>
                <w:lang w:eastAsia="en-US"/>
              </w:rPr>
              <w:t>Awb</w:t>
            </w:r>
            <w:proofErr w:type="spellEnd"/>
            <w:r w:rsidRPr="007D24C3">
              <w:rPr>
                <w:rFonts w:ascii="Arial" w:eastAsia="Calibri" w:hAnsi="Arial" w:cs="Arial"/>
                <w:sz w:val="22"/>
                <w:szCs w:val="22"/>
                <w:lang w:eastAsia="en-US"/>
              </w:rPr>
              <w:t xml:space="preserve"> biedt Opdrachtnemer dekking voor proceskosten waartoe men is veroordeeld in een bestuursrechtelijke procedure tot aan de verzekerde som in de verzekeringspolis.</w:t>
            </w:r>
          </w:p>
        </w:tc>
        <w:tc>
          <w:tcPr>
            <w:tcW w:w="4252" w:type="dxa"/>
          </w:tcPr>
          <w:p w14:paraId="5249CBA5" w14:textId="77777777" w:rsidR="007D24C3" w:rsidRPr="007D24C3" w:rsidRDefault="007D24C3" w:rsidP="007D24C3">
            <w:pPr>
              <w:spacing w:after="200"/>
              <w:jc w:val="center"/>
              <w:rPr>
                <w:rFonts w:ascii="Arial" w:eastAsia="Calibri" w:hAnsi="Arial" w:cs="Arial"/>
                <w:sz w:val="22"/>
                <w:szCs w:val="22"/>
                <w:lang w:eastAsia="en-US"/>
              </w:rPr>
            </w:pPr>
          </w:p>
          <w:p w14:paraId="74166AC1" w14:textId="2055AF8E" w:rsidR="007D24C3" w:rsidRPr="007D24C3" w:rsidRDefault="007D24C3" w:rsidP="007D24C3">
            <w:pPr>
              <w:spacing w:after="200"/>
              <w:jc w:val="center"/>
              <w:rPr>
                <w:rFonts w:ascii="Arial" w:eastAsia="Calibri" w:hAnsi="Arial" w:cs="Arial"/>
                <w:sz w:val="22"/>
                <w:szCs w:val="22"/>
                <w:lang w:eastAsia="en-US"/>
              </w:rPr>
            </w:pPr>
            <w:r w:rsidRPr="007D24C3">
              <w:rPr>
                <w:rFonts w:ascii="Arial" w:eastAsia="Calibri" w:hAnsi="Arial" w:cs="Arial"/>
                <w:sz w:val="22"/>
                <w:szCs w:val="22"/>
                <w:lang w:eastAsia="en-US"/>
              </w:rPr>
              <w:t>Ja / Nee</w:t>
            </w:r>
          </w:p>
        </w:tc>
      </w:tr>
      <w:tr w:rsidR="007D24C3" w:rsidRPr="007D24C3" w14:paraId="4AEA51B9" w14:textId="77777777" w:rsidTr="00DD1FF9">
        <w:tc>
          <w:tcPr>
            <w:tcW w:w="4957" w:type="dxa"/>
          </w:tcPr>
          <w:p w14:paraId="79B59110" w14:textId="4D5FCB7D" w:rsidR="007D24C3" w:rsidRPr="007D24C3" w:rsidRDefault="007D24C3" w:rsidP="007D24C3">
            <w:pPr>
              <w:pStyle w:val="Lijstalinea"/>
              <w:numPr>
                <w:ilvl w:val="0"/>
                <w:numId w:val="8"/>
              </w:num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Toezeggingen / gewekte verwachtingen:</w:t>
            </w:r>
          </w:p>
          <w:p w14:paraId="458B1A22"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Aanvullend op de dekking in het programma van eisen (sluitnota) voor toezeggingen/gewekte verwachtingen rust de bewijslast dat er naar gangbare rechtsopvatting door nakoming geen wettelijke bepaling of voorschrift geschonden zou worden, op de inschrijver indien deze zich op de uitsluiting beroept.</w:t>
            </w:r>
          </w:p>
        </w:tc>
        <w:tc>
          <w:tcPr>
            <w:tcW w:w="4252" w:type="dxa"/>
          </w:tcPr>
          <w:p w14:paraId="2B947552" w14:textId="77777777" w:rsidR="007D24C3" w:rsidRDefault="007D24C3" w:rsidP="007D24C3">
            <w:pPr>
              <w:spacing w:after="200"/>
              <w:jc w:val="center"/>
              <w:rPr>
                <w:rFonts w:ascii="Arial" w:eastAsia="Calibri" w:hAnsi="Arial" w:cs="Arial"/>
                <w:sz w:val="22"/>
                <w:szCs w:val="22"/>
                <w:lang w:eastAsia="en-US"/>
              </w:rPr>
            </w:pPr>
          </w:p>
          <w:p w14:paraId="047665FE" w14:textId="646C58B8" w:rsidR="007D24C3" w:rsidRPr="007D24C3" w:rsidRDefault="007D24C3" w:rsidP="007D24C3">
            <w:pPr>
              <w:spacing w:after="200"/>
              <w:jc w:val="center"/>
              <w:rPr>
                <w:rFonts w:ascii="Arial" w:eastAsia="Calibri" w:hAnsi="Arial" w:cs="Arial"/>
                <w:sz w:val="22"/>
                <w:szCs w:val="22"/>
                <w:lang w:eastAsia="en-US"/>
              </w:rPr>
            </w:pPr>
            <w:r w:rsidRPr="007D24C3">
              <w:rPr>
                <w:rFonts w:ascii="Arial" w:eastAsia="Calibri" w:hAnsi="Arial" w:cs="Arial"/>
                <w:sz w:val="22"/>
                <w:szCs w:val="22"/>
                <w:lang w:eastAsia="en-US"/>
              </w:rPr>
              <w:t>Ja / Nee</w:t>
            </w:r>
          </w:p>
          <w:p w14:paraId="4D337A5E" w14:textId="1D764E35" w:rsidR="007D24C3" w:rsidRPr="007D24C3" w:rsidRDefault="007D24C3" w:rsidP="007D24C3">
            <w:pPr>
              <w:spacing w:after="200"/>
              <w:jc w:val="center"/>
              <w:rPr>
                <w:rFonts w:ascii="Arial" w:eastAsia="Calibri" w:hAnsi="Arial" w:cs="Arial"/>
                <w:sz w:val="22"/>
                <w:szCs w:val="22"/>
                <w:lang w:eastAsia="en-US"/>
              </w:rPr>
            </w:pPr>
          </w:p>
        </w:tc>
      </w:tr>
      <w:tr w:rsidR="007D24C3" w:rsidRPr="007D24C3" w14:paraId="3B89BA95" w14:textId="77777777" w:rsidTr="00DD1FF9">
        <w:tc>
          <w:tcPr>
            <w:tcW w:w="4957" w:type="dxa"/>
          </w:tcPr>
          <w:p w14:paraId="1A4DFD6D" w14:textId="2D1283DF" w:rsidR="007D24C3" w:rsidRPr="007D24C3" w:rsidRDefault="007D24C3" w:rsidP="007D24C3">
            <w:pPr>
              <w:pStyle w:val="Lijstalinea"/>
              <w:numPr>
                <w:ilvl w:val="0"/>
                <w:numId w:val="8"/>
              </w:num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Dekking boven verzekerde som bij kosten van verweer:</w:t>
            </w:r>
          </w:p>
          <w:p w14:paraId="3D00028F"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Volledig meeverzekerd zijn de kosten van verweer (o.a. advocaten en experts), óók indien de claim de verzekerde som te boven gaat.</w:t>
            </w:r>
          </w:p>
        </w:tc>
        <w:tc>
          <w:tcPr>
            <w:tcW w:w="4252" w:type="dxa"/>
          </w:tcPr>
          <w:p w14:paraId="446EF81F" w14:textId="79658288" w:rsidR="007D24C3" w:rsidRDefault="007D24C3" w:rsidP="007D24C3">
            <w:pPr>
              <w:spacing w:after="200"/>
              <w:jc w:val="center"/>
              <w:rPr>
                <w:rFonts w:ascii="Arial" w:eastAsia="Calibri" w:hAnsi="Arial" w:cs="Arial"/>
                <w:sz w:val="22"/>
                <w:szCs w:val="22"/>
                <w:lang w:eastAsia="en-US"/>
              </w:rPr>
            </w:pPr>
          </w:p>
          <w:p w14:paraId="464DA101" w14:textId="4AEBA36B" w:rsidR="007D24C3" w:rsidRPr="007D24C3" w:rsidRDefault="007D24C3" w:rsidP="007D24C3">
            <w:pPr>
              <w:spacing w:after="200"/>
              <w:jc w:val="center"/>
              <w:rPr>
                <w:rFonts w:ascii="Arial" w:eastAsia="Calibri" w:hAnsi="Arial" w:cs="Arial"/>
                <w:sz w:val="22"/>
                <w:szCs w:val="22"/>
                <w:lang w:eastAsia="en-US"/>
              </w:rPr>
            </w:pPr>
            <w:r w:rsidRPr="007D24C3">
              <w:rPr>
                <w:rFonts w:ascii="Arial" w:eastAsia="Calibri" w:hAnsi="Arial" w:cs="Arial"/>
                <w:sz w:val="22"/>
                <w:szCs w:val="22"/>
                <w:lang w:eastAsia="en-US"/>
              </w:rPr>
              <w:t>Ja / Nee</w:t>
            </w:r>
          </w:p>
          <w:p w14:paraId="7031A4BC" w14:textId="29D0B8F0" w:rsidR="007D24C3" w:rsidRPr="007D24C3" w:rsidRDefault="007D24C3" w:rsidP="007D24C3">
            <w:pPr>
              <w:spacing w:after="200"/>
              <w:jc w:val="center"/>
              <w:rPr>
                <w:rFonts w:ascii="Arial" w:eastAsia="Calibri" w:hAnsi="Arial" w:cs="Arial"/>
                <w:sz w:val="22"/>
                <w:szCs w:val="22"/>
                <w:lang w:eastAsia="en-US"/>
              </w:rPr>
            </w:pPr>
          </w:p>
        </w:tc>
      </w:tr>
      <w:tr w:rsidR="007D24C3" w:rsidRPr="007D24C3" w14:paraId="6FC7889E" w14:textId="77777777" w:rsidTr="00DD1FF9">
        <w:tc>
          <w:tcPr>
            <w:tcW w:w="4957" w:type="dxa"/>
          </w:tcPr>
          <w:p w14:paraId="2DC7AA64" w14:textId="41256A11" w:rsidR="007D24C3" w:rsidRPr="007D24C3" w:rsidRDefault="007D24C3" w:rsidP="007D24C3">
            <w:pPr>
              <w:pStyle w:val="Lijstalinea"/>
              <w:numPr>
                <w:ilvl w:val="0"/>
                <w:numId w:val="8"/>
              </w:numPr>
              <w:spacing w:after="200"/>
              <w:rPr>
                <w:rFonts w:ascii="Arial" w:eastAsia="Calibri" w:hAnsi="Arial" w:cs="Arial"/>
                <w:b/>
                <w:bCs/>
                <w:sz w:val="22"/>
                <w:szCs w:val="22"/>
                <w:lang w:eastAsia="en-US"/>
              </w:rPr>
            </w:pPr>
            <w:r w:rsidRPr="007D24C3">
              <w:rPr>
                <w:rFonts w:ascii="Arial" w:eastAsia="Calibri" w:hAnsi="Arial" w:cs="Arial"/>
                <w:b/>
                <w:bCs/>
                <w:sz w:val="22"/>
                <w:szCs w:val="22"/>
                <w:lang w:eastAsia="en-US"/>
              </w:rPr>
              <w:t>Geen beperking verjaring omstandigheden-melding:</w:t>
            </w:r>
          </w:p>
          <w:p w14:paraId="5FE08403"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 xml:space="preserve">Bij beëindiging van deze verzekering geldt dat omstandigheden die vóór de beëindiging bij verzekerde bekend zijn alsmede aanspraken tot schadevergoeding die vóór de beëindiging tegen verzekerde zijn ingesteld, maar nog niet bij de verzekeraar zijn gemeld, worden geacht bij de verzekeraar te zijn gemeld op het moment direct voorafgaand aan de beëindiging, mits de schriftelijke melding aan verzekeraar binnen drie </w:t>
            </w:r>
            <w:r w:rsidRPr="007D24C3">
              <w:rPr>
                <w:rFonts w:ascii="Arial" w:eastAsia="Calibri" w:hAnsi="Arial" w:cs="Arial"/>
                <w:sz w:val="22"/>
                <w:szCs w:val="22"/>
                <w:lang w:eastAsia="en-US"/>
              </w:rPr>
              <w:lastRenderedPageBreak/>
              <w:t>maanden na de beëindiging heeft plaatsgevonden.</w:t>
            </w:r>
          </w:p>
          <w:p w14:paraId="43353E15" w14:textId="77777777" w:rsidR="007D24C3" w:rsidRPr="007D24C3" w:rsidRDefault="007D24C3" w:rsidP="007D24C3">
            <w:pPr>
              <w:spacing w:after="200"/>
              <w:rPr>
                <w:rFonts w:ascii="Arial" w:eastAsia="Calibri" w:hAnsi="Arial" w:cs="Arial"/>
                <w:sz w:val="22"/>
                <w:szCs w:val="22"/>
                <w:lang w:eastAsia="en-US"/>
              </w:rPr>
            </w:pPr>
            <w:r w:rsidRPr="007D24C3">
              <w:rPr>
                <w:rFonts w:ascii="Arial" w:eastAsia="Calibri" w:hAnsi="Arial" w:cs="Arial"/>
                <w:sz w:val="22"/>
                <w:szCs w:val="22"/>
                <w:lang w:eastAsia="en-US"/>
              </w:rPr>
              <w:t>Er is geen beperking in de verjaringstermijn.</w:t>
            </w:r>
          </w:p>
        </w:tc>
        <w:tc>
          <w:tcPr>
            <w:tcW w:w="4252" w:type="dxa"/>
          </w:tcPr>
          <w:p w14:paraId="6C9B810B" w14:textId="77777777" w:rsidR="007D24C3" w:rsidRPr="007D24C3" w:rsidRDefault="007D24C3" w:rsidP="007D24C3">
            <w:pPr>
              <w:spacing w:after="200"/>
              <w:jc w:val="center"/>
              <w:rPr>
                <w:rFonts w:ascii="Arial" w:eastAsia="Calibri" w:hAnsi="Arial" w:cs="Arial"/>
                <w:sz w:val="22"/>
                <w:szCs w:val="22"/>
                <w:lang w:eastAsia="en-US"/>
              </w:rPr>
            </w:pPr>
          </w:p>
          <w:p w14:paraId="24B285E6" w14:textId="40810BF3" w:rsidR="007D24C3" w:rsidRPr="007D24C3" w:rsidRDefault="007D24C3" w:rsidP="007D24C3">
            <w:pPr>
              <w:spacing w:after="200"/>
              <w:jc w:val="center"/>
              <w:rPr>
                <w:rFonts w:ascii="Arial" w:eastAsia="Calibri" w:hAnsi="Arial" w:cs="Arial"/>
                <w:sz w:val="22"/>
                <w:szCs w:val="22"/>
                <w:lang w:eastAsia="en-US"/>
              </w:rPr>
            </w:pPr>
            <w:r w:rsidRPr="007D24C3">
              <w:rPr>
                <w:rFonts w:ascii="Arial" w:eastAsia="Calibri" w:hAnsi="Arial" w:cs="Arial"/>
                <w:sz w:val="22"/>
                <w:szCs w:val="22"/>
                <w:lang w:eastAsia="en-US"/>
              </w:rPr>
              <w:t>Ja / Nee</w:t>
            </w:r>
          </w:p>
        </w:tc>
      </w:tr>
      <w:tr w:rsidR="007D24C3" w:rsidRPr="007D24C3" w14:paraId="05ACB41D" w14:textId="77777777" w:rsidTr="00DD1FF9">
        <w:tc>
          <w:tcPr>
            <w:tcW w:w="4957" w:type="dxa"/>
          </w:tcPr>
          <w:p w14:paraId="54D0FADA" w14:textId="3B546C90" w:rsidR="007D24C3" w:rsidRPr="00FC6F29" w:rsidRDefault="00FC6F29" w:rsidP="00FC6F29">
            <w:pPr>
              <w:pStyle w:val="Lijstalinea"/>
              <w:numPr>
                <w:ilvl w:val="0"/>
                <w:numId w:val="8"/>
              </w:numPr>
              <w:rPr>
                <w:rFonts w:ascii="Arial" w:eastAsia="Calibri" w:hAnsi="Arial" w:cs="Arial"/>
                <w:b/>
                <w:bCs/>
                <w:sz w:val="22"/>
                <w:szCs w:val="22"/>
                <w:lang w:eastAsia="en-US"/>
              </w:rPr>
            </w:pPr>
            <w:r w:rsidRPr="00FC6F29">
              <w:rPr>
                <w:rFonts w:ascii="Arial" w:eastAsia="Calibri" w:hAnsi="Arial" w:cs="Arial"/>
                <w:b/>
                <w:bCs/>
                <w:sz w:val="22"/>
                <w:szCs w:val="22"/>
                <w:lang w:eastAsia="en-US"/>
              </w:rPr>
              <w:t>Praktijkervaringsplaatsen mee verzekerd</w:t>
            </w:r>
          </w:p>
          <w:p w14:paraId="4D2951B3" w14:textId="77777777" w:rsidR="00FC6F29" w:rsidRPr="00FC6F29" w:rsidRDefault="00FC6F29" w:rsidP="00FC6F29">
            <w:pPr>
              <w:pStyle w:val="Lijstalinea"/>
              <w:rPr>
                <w:rFonts w:ascii="Arial" w:eastAsia="Calibri" w:hAnsi="Arial" w:cs="Arial"/>
                <w:b/>
                <w:bCs/>
                <w:sz w:val="22"/>
                <w:szCs w:val="22"/>
                <w:lang w:eastAsia="en-US"/>
              </w:rPr>
            </w:pPr>
          </w:p>
          <w:p w14:paraId="3CAE0954" w14:textId="124FC687" w:rsidR="00FC6F29" w:rsidRPr="00FC6F29" w:rsidRDefault="00FC6F29" w:rsidP="00FC6F29">
            <w:pPr>
              <w:ind w:left="22"/>
              <w:rPr>
                <w:rFonts w:ascii="Arial" w:hAnsi="Arial" w:cs="Arial"/>
                <w:sz w:val="22"/>
                <w:szCs w:val="22"/>
              </w:rPr>
            </w:pPr>
            <w:r w:rsidRPr="00FC6F29">
              <w:rPr>
                <w:rFonts w:ascii="Arial" w:hAnsi="Arial" w:cs="Arial"/>
                <w:sz w:val="22"/>
                <w:szCs w:val="22"/>
              </w:rPr>
              <w:t>Aanvullend op de dekking in het programma van eisen (sluitnota) voor vrijwilligers- en/of praktijkervaringsplaatsen dienen bedrijven en bijstandscliënten/</w:t>
            </w:r>
            <w:proofErr w:type="spellStart"/>
            <w:r w:rsidRPr="00FC6F29">
              <w:rPr>
                <w:rFonts w:ascii="Arial" w:hAnsi="Arial" w:cs="Arial"/>
                <w:sz w:val="22"/>
                <w:szCs w:val="22"/>
              </w:rPr>
              <w:t>reïntegratiekandidaten</w:t>
            </w:r>
            <w:proofErr w:type="spellEnd"/>
            <w:r w:rsidRPr="00FC6F29">
              <w:rPr>
                <w:rFonts w:ascii="Arial" w:hAnsi="Arial" w:cs="Arial"/>
                <w:sz w:val="22"/>
                <w:szCs w:val="22"/>
              </w:rPr>
              <w:t>/ vrijwilligers als derden ten opzichte van elkaar te worden beschouwd waardoor ook de schade van het bedrijf zelf, toegebracht door de bijstandscliënt/</w:t>
            </w:r>
            <w:proofErr w:type="spellStart"/>
            <w:r w:rsidRPr="00FC6F29">
              <w:rPr>
                <w:rFonts w:ascii="Arial" w:hAnsi="Arial" w:cs="Arial"/>
                <w:sz w:val="22"/>
                <w:szCs w:val="22"/>
              </w:rPr>
              <w:t>reïntegratiekandidaat</w:t>
            </w:r>
            <w:proofErr w:type="spellEnd"/>
            <w:r w:rsidRPr="00FC6F29">
              <w:rPr>
                <w:rFonts w:ascii="Arial" w:hAnsi="Arial" w:cs="Arial"/>
                <w:sz w:val="22"/>
                <w:szCs w:val="22"/>
              </w:rPr>
              <w:t>/ vrijwilliger secundair is meeverzekerd</w:t>
            </w:r>
            <w:r>
              <w:rPr>
                <w:rFonts w:ascii="Arial" w:hAnsi="Arial" w:cs="Arial"/>
                <w:sz w:val="22"/>
                <w:szCs w:val="22"/>
              </w:rPr>
              <w:t>.</w:t>
            </w:r>
          </w:p>
          <w:p w14:paraId="2AA9417F" w14:textId="75526382" w:rsidR="007D24C3" w:rsidRPr="007D24C3" w:rsidRDefault="007D24C3" w:rsidP="00FC6F29">
            <w:pPr>
              <w:spacing w:after="200" w:line="276" w:lineRule="auto"/>
              <w:contextualSpacing/>
              <w:rPr>
                <w:rFonts w:ascii="Arial" w:eastAsia="Calibri" w:hAnsi="Arial" w:cs="Arial"/>
                <w:sz w:val="22"/>
                <w:szCs w:val="22"/>
                <w:lang w:eastAsia="en-US"/>
              </w:rPr>
            </w:pPr>
          </w:p>
        </w:tc>
        <w:tc>
          <w:tcPr>
            <w:tcW w:w="4252" w:type="dxa"/>
          </w:tcPr>
          <w:p w14:paraId="3A42735D" w14:textId="77777777" w:rsidR="007D24C3" w:rsidRPr="007D24C3" w:rsidRDefault="007D24C3" w:rsidP="007D24C3">
            <w:pPr>
              <w:spacing w:after="200"/>
              <w:jc w:val="center"/>
              <w:rPr>
                <w:rFonts w:ascii="Arial" w:eastAsia="Calibri" w:hAnsi="Arial" w:cs="Arial"/>
                <w:sz w:val="22"/>
                <w:szCs w:val="22"/>
                <w:lang w:eastAsia="en-US"/>
              </w:rPr>
            </w:pPr>
          </w:p>
          <w:p w14:paraId="2250828A" w14:textId="3DD55958" w:rsidR="007D24C3" w:rsidRPr="007D24C3" w:rsidRDefault="007D24C3" w:rsidP="007D24C3">
            <w:pPr>
              <w:spacing w:after="200"/>
              <w:jc w:val="center"/>
              <w:rPr>
                <w:rFonts w:ascii="Arial" w:eastAsia="Calibri" w:hAnsi="Arial" w:cs="Arial"/>
                <w:sz w:val="22"/>
                <w:szCs w:val="22"/>
                <w:lang w:eastAsia="en-US"/>
              </w:rPr>
            </w:pPr>
            <w:r w:rsidRPr="007D24C3">
              <w:rPr>
                <w:rFonts w:ascii="Arial" w:eastAsia="Calibri" w:hAnsi="Arial" w:cs="Arial"/>
                <w:sz w:val="22"/>
                <w:szCs w:val="22"/>
                <w:lang w:eastAsia="en-US"/>
              </w:rPr>
              <w:t>Ja / Nee</w:t>
            </w:r>
          </w:p>
        </w:tc>
      </w:tr>
    </w:tbl>
    <w:p w14:paraId="28C8EAE4" w14:textId="77777777" w:rsidR="007D24C3" w:rsidRDefault="007D24C3" w:rsidP="007D24C3">
      <w:pPr>
        <w:pStyle w:val="PTI2"/>
        <w:spacing w:line="360" w:lineRule="auto"/>
        <w:ind w:left="0"/>
        <w:rPr>
          <w:rFonts w:ascii="Arial" w:hAnsi="Arial" w:cs="Arial"/>
          <w:sz w:val="22"/>
          <w:szCs w:val="22"/>
        </w:rPr>
      </w:pPr>
    </w:p>
    <w:p w14:paraId="3D3C5EF3" w14:textId="77777777" w:rsidR="009F64BA" w:rsidRDefault="009F64BA" w:rsidP="00AD4E04">
      <w:pPr>
        <w:rPr>
          <w:rFonts w:ascii="Arial" w:hAnsi="Arial" w:cs="Arial"/>
          <w:sz w:val="22"/>
          <w:szCs w:val="22"/>
        </w:rPr>
      </w:pPr>
    </w:p>
    <w:sectPr w:rsidR="009F64BA">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F293" w14:textId="77777777" w:rsidR="00BC7DB4" w:rsidRDefault="00BC7DB4" w:rsidP="00BC7DB4">
      <w:r>
        <w:separator/>
      </w:r>
    </w:p>
  </w:endnote>
  <w:endnote w:type="continuationSeparator" w:id="0">
    <w:p w14:paraId="641DCD93" w14:textId="77777777" w:rsidR="00BC7DB4" w:rsidRDefault="00BC7DB4" w:rsidP="00BC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5033" w14:textId="77777777" w:rsidR="00BC7DB4" w:rsidRDefault="00BC7DB4" w:rsidP="00BC7DB4">
      <w:r>
        <w:separator/>
      </w:r>
    </w:p>
  </w:footnote>
  <w:footnote w:type="continuationSeparator" w:id="0">
    <w:p w14:paraId="471FBCFD" w14:textId="77777777" w:rsidR="00BC7DB4" w:rsidRDefault="00BC7DB4" w:rsidP="00BC7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F285" w14:textId="0BD15C50" w:rsidR="00BC7DB4" w:rsidRDefault="00BC7DB4">
    <w:pPr>
      <w:pStyle w:val="Koptekst"/>
    </w:pPr>
    <w:r>
      <w:t xml:space="preserve">Aanbesteding </w:t>
    </w:r>
    <w:r w:rsidR="007D24C3" w:rsidRPr="007D24C3">
      <w:t>Aansprakelijkheidsverzekering en Goed werkgeverschap verzekering</w:t>
    </w:r>
    <w:r>
      <w:tab/>
      <w:t>Gemeente Venlo</w:t>
    </w:r>
  </w:p>
  <w:p w14:paraId="0A5DB229" w14:textId="0554DDBF" w:rsidR="00BC7DB4" w:rsidRDefault="00BC7DB4">
    <w:pPr>
      <w:pStyle w:val="Koptekst"/>
    </w:pPr>
    <w:r>
      <w:t xml:space="preserve">Referentienummer </w:t>
    </w:r>
    <w:r w:rsidR="002B4EA4">
      <w:t>17</w:t>
    </w:r>
    <w:r w:rsidR="007D24C3">
      <w:t>18632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E3408"/>
    <w:multiLevelType w:val="hybridMultilevel"/>
    <w:tmpl w:val="884C2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3" w15:restartNumberingAfterBreak="0">
    <w:nsid w:val="45C84714"/>
    <w:multiLevelType w:val="hybridMultilevel"/>
    <w:tmpl w:val="90046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523B567F"/>
    <w:multiLevelType w:val="hybridMultilevel"/>
    <w:tmpl w:val="277E7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7" w15:restartNumberingAfterBreak="0">
    <w:nsid w:val="661333FC"/>
    <w:multiLevelType w:val="hybridMultilevel"/>
    <w:tmpl w:val="90046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6A262C"/>
    <w:multiLevelType w:val="hybridMultilevel"/>
    <w:tmpl w:val="32204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B4"/>
    <w:rsid w:val="00002D03"/>
    <w:rsid w:val="002B4EA4"/>
    <w:rsid w:val="003C192D"/>
    <w:rsid w:val="00420E0B"/>
    <w:rsid w:val="004A64F7"/>
    <w:rsid w:val="00673734"/>
    <w:rsid w:val="007D24C3"/>
    <w:rsid w:val="0094311C"/>
    <w:rsid w:val="009F64BA"/>
    <w:rsid w:val="00AA7038"/>
    <w:rsid w:val="00AD4E04"/>
    <w:rsid w:val="00BC7DB4"/>
    <w:rsid w:val="00BD2DE1"/>
    <w:rsid w:val="00E20A8A"/>
    <w:rsid w:val="00FC6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0D95A"/>
  <w15:docId w15:val="{30CFBDE4-0878-4757-B130-7DC967B0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7DB4"/>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table" w:styleId="Tabelraster">
    <w:name w:val="Table Grid"/>
    <w:basedOn w:val="Standaardtabel"/>
    <w:rsid w:val="00BC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atregelen">
    <w:name w:val="maatregelen"/>
    <w:basedOn w:val="Standaard"/>
    <w:rsid w:val="00BC7DB4"/>
    <w:pPr>
      <w:numPr>
        <w:numId w:val="4"/>
      </w:numPr>
      <w:spacing w:line="288" w:lineRule="auto"/>
    </w:pPr>
    <w:rPr>
      <w:rFonts w:ascii="Arial" w:hAnsi="Arial"/>
      <w:sz w:val="20"/>
    </w:rPr>
  </w:style>
  <w:style w:type="paragraph" w:customStyle="1" w:styleId="PTI2">
    <w:name w:val="PTI 2"/>
    <w:basedOn w:val="Standaard"/>
    <w:qFormat/>
    <w:rsid w:val="00BC7DB4"/>
    <w:pPr>
      <w:overflowPunct w:val="0"/>
      <w:autoSpaceDE w:val="0"/>
      <w:autoSpaceDN w:val="0"/>
      <w:adjustRightInd w:val="0"/>
      <w:spacing w:after="120" w:line="280" w:lineRule="atLeast"/>
      <w:ind w:left="1701"/>
      <w:textAlignment w:val="baseline"/>
    </w:pPr>
    <w:rPr>
      <w:sz w:val="16"/>
      <w:szCs w:val="20"/>
      <w:lang w:val="nl"/>
    </w:rPr>
  </w:style>
  <w:style w:type="paragraph" w:styleId="Koptekst">
    <w:name w:val="header"/>
    <w:basedOn w:val="Standaard"/>
    <w:link w:val="KoptekstChar"/>
    <w:uiPriority w:val="99"/>
    <w:rsid w:val="00BC7DB4"/>
    <w:pPr>
      <w:tabs>
        <w:tab w:val="center" w:pos="4536"/>
        <w:tab w:val="right" w:pos="9072"/>
      </w:tabs>
    </w:pPr>
  </w:style>
  <w:style w:type="character" w:customStyle="1" w:styleId="KoptekstChar">
    <w:name w:val="Koptekst Char"/>
    <w:basedOn w:val="Standaardalinea-lettertype"/>
    <w:link w:val="Koptekst"/>
    <w:uiPriority w:val="99"/>
    <w:rsid w:val="00BC7DB4"/>
    <w:rPr>
      <w:rFonts w:ascii="Verdana" w:hAnsi="Verdana"/>
      <w:sz w:val="18"/>
      <w:szCs w:val="24"/>
    </w:rPr>
  </w:style>
  <w:style w:type="paragraph" w:styleId="Voettekst">
    <w:name w:val="footer"/>
    <w:basedOn w:val="Standaard"/>
    <w:link w:val="VoettekstChar"/>
    <w:rsid w:val="00BC7DB4"/>
    <w:pPr>
      <w:tabs>
        <w:tab w:val="center" w:pos="4536"/>
        <w:tab w:val="right" w:pos="9072"/>
      </w:tabs>
    </w:pPr>
  </w:style>
  <w:style w:type="character" w:customStyle="1" w:styleId="VoettekstChar">
    <w:name w:val="Voettekst Char"/>
    <w:basedOn w:val="Standaardalinea-lettertype"/>
    <w:link w:val="Voettekst"/>
    <w:rsid w:val="00BC7DB4"/>
    <w:rPr>
      <w:rFonts w:ascii="Verdana" w:hAnsi="Verdana"/>
      <w:sz w:val="18"/>
      <w:szCs w:val="24"/>
    </w:rPr>
  </w:style>
  <w:style w:type="paragraph" w:styleId="Ballontekst">
    <w:name w:val="Balloon Text"/>
    <w:basedOn w:val="Standaard"/>
    <w:link w:val="BallontekstChar"/>
    <w:rsid w:val="00BC7DB4"/>
    <w:rPr>
      <w:rFonts w:ascii="Tahoma" w:hAnsi="Tahoma" w:cs="Tahoma"/>
      <w:sz w:val="16"/>
      <w:szCs w:val="16"/>
    </w:rPr>
  </w:style>
  <w:style w:type="character" w:customStyle="1" w:styleId="BallontekstChar">
    <w:name w:val="Ballontekst Char"/>
    <w:basedOn w:val="Standaardalinea-lettertype"/>
    <w:link w:val="Ballontekst"/>
    <w:rsid w:val="00BC7DB4"/>
    <w:rPr>
      <w:rFonts w:ascii="Tahoma" w:hAnsi="Tahoma" w:cs="Tahoma"/>
      <w:sz w:val="16"/>
      <w:szCs w:val="16"/>
    </w:rPr>
  </w:style>
  <w:style w:type="table" w:customStyle="1" w:styleId="Tabelraster1">
    <w:name w:val="Tabelraster1"/>
    <w:basedOn w:val="Standaardtabel"/>
    <w:next w:val="Tabelraster"/>
    <w:rsid w:val="00BD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geen afstand"/>
    <w:link w:val="GeenafstandChar"/>
    <w:uiPriority w:val="1"/>
    <w:qFormat/>
    <w:rsid w:val="00BD2DE1"/>
    <w:rPr>
      <w:rFonts w:ascii="Calibri" w:hAnsi="Calibri"/>
      <w:sz w:val="22"/>
      <w:szCs w:val="22"/>
    </w:rPr>
  </w:style>
  <w:style w:type="character" w:customStyle="1" w:styleId="GeenafstandChar">
    <w:name w:val="Geen afstand Char"/>
    <w:aliases w:val="geen afstand Char"/>
    <w:link w:val="Geenafstand"/>
    <w:uiPriority w:val="1"/>
    <w:rsid w:val="00BD2DE1"/>
    <w:rPr>
      <w:rFonts w:ascii="Calibri" w:hAnsi="Calibri"/>
      <w:sz w:val="22"/>
      <w:szCs w:val="22"/>
    </w:rPr>
  </w:style>
  <w:style w:type="table" w:customStyle="1" w:styleId="Tabelraster2">
    <w:name w:val="Tabelraster2"/>
    <w:basedOn w:val="Standaardtabel"/>
    <w:next w:val="Tabelraster"/>
    <w:rsid w:val="007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D2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VENLOZAAK-514-566-359</_dlc_DocId>
    <_dlc_DocIdUrl xmlns="1ac1c52f-12bd-4579-b768-2bbe27d3d2d8">
      <Url>https://dms16.venlo.lan/_layouts/15/DocIdRedir.aspx?ID=VENLOZAAK-514-566-359</Url>
      <Description>VENLOZAAK-514-566-359</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1256896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1718632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2022-01-12T07:00:00+00:00</qnh_DatumOntvangstVerzonden>
    <qnh_Documentdatum xmlns="53e03589-35d4-4a45-a49d-0ea6bf1af4b3">2022-01-12T07:00:00+00:00</qnh_Documentdatum>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Props1.xml><?xml version="1.0" encoding="utf-8"?>
<ds:datastoreItem xmlns:ds="http://schemas.openxmlformats.org/officeDocument/2006/customXml" ds:itemID="{4C0E193E-70F3-4C05-90B6-B894A9B75B5C}">
  <ds:schemaRefs>
    <ds:schemaRef ds:uri="http://schemas.microsoft.com/sharepoint/events"/>
  </ds:schemaRefs>
</ds:datastoreItem>
</file>

<file path=customXml/itemProps2.xml><?xml version="1.0" encoding="utf-8"?>
<ds:datastoreItem xmlns:ds="http://schemas.openxmlformats.org/officeDocument/2006/customXml" ds:itemID="{88BDDAF8-DEC9-407C-9985-50FFCBAC2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B9BFD-F52F-496C-9B35-7DFDD2C8BC94}">
  <ds:schemaRefs>
    <ds:schemaRef ds:uri="http://schemas.microsoft.com/sharepoint/v3/contenttype/forms"/>
  </ds:schemaRefs>
</ds:datastoreItem>
</file>

<file path=customXml/itemProps4.xml><?xml version="1.0" encoding="utf-8"?>
<ds:datastoreItem xmlns:ds="http://schemas.openxmlformats.org/officeDocument/2006/customXml" ds:itemID="{9AAEA504-ED01-4F7B-9D02-24C5779E75A6}">
  <ds:schemaRefs>
    <ds:schemaRef ds:uri="http://purl.org/dc/elements/1.1/"/>
    <ds:schemaRef ds:uri="http://schemas.microsoft.com/office/infopath/2007/PartnerControls"/>
    <ds:schemaRef ds:uri="http://schemas.openxmlformats.org/package/2006/metadata/core-properties"/>
    <ds:schemaRef ds:uri="c774dfb6-a45d-4726-8970-554c124004a3"/>
    <ds:schemaRef ds:uri="1ac1c52f-12bd-4579-b768-2bbe27d3d2d8"/>
    <ds:schemaRef ds:uri="http://purl.org/dc/terms/"/>
    <ds:schemaRef ds:uri="fce754d3-67a6-4a1d-9c43-d451af98d6ad"/>
    <ds:schemaRef ds:uri="http://www.w3.org/XML/1998/namespace"/>
    <ds:schemaRef ds:uri="http://schemas.microsoft.com/office/2006/documentManagement/types"/>
    <ds:schemaRef ds:uri="d10cd6cb-9711-40de-8da4-c1daa204fbb3"/>
    <ds:schemaRef ds:uri="53e03589-35d4-4a45-a49d-0ea6bf1af4b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529</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11 Bijlage 6 Inschrijfformulier Kwaliteit.docx</vt:lpstr>
    </vt:vector>
  </TitlesOfParts>
  <Company>Gemeente Venlo</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5 Inschrijfformulier Kwaliteit</dc:title>
  <dc:creator>Killaars, Karin (K)</dc:creator>
  <cp:lastModifiedBy>Kessels, Luc (LWJ)</cp:lastModifiedBy>
  <cp:revision>3</cp:revision>
  <dcterms:created xsi:type="dcterms:W3CDTF">2022-05-23T14:27:00Z</dcterms:created>
  <dcterms:modified xsi:type="dcterms:W3CDTF">2022-05-24T11:47:00Z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962f6be1-aebe-458a-9efe-48c858b3f1f1</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77;#bijlage|a28a7fb7-fb41-4508-a0fb-73dd779c64c4;#78;#inschrijvingsleidraad|d87890db-a49b-4cc6-942f-4ec3a8a90f3a;#81;#kwaliteit|f5e68874-8f2a-4ddc-b709-1e021cd1425b;#80;#Formulier|41363291-ac5f-40ac-b497-25a4f10298ca</vt:lpwstr>
  </property>
  <property fmtid="{D5CDD505-2E9C-101B-9397-08002B2CF9AE}" pid="9" name="_docset_NoMedatataSyncRequired">
    <vt:lpwstr>False</vt:lpwstr>
  </property>
</Properties>
</file>