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pos="1700.787401574803"/>
          <w:tab w:val="left" w:pos="566.9291338582677"/>
        </w:tabs>
        <w:spacing w:after="0" w:before="0" w:line="480" w:lineRule="auto"/>
        <w:rPr>
          <w:rFonts w:ascii="Verdana" w:cs="Verdana" w:eastAsia="Verdana" w:hAnsi="Verdana"/>
          <w:color w:val="4f81bd"/>
          <w:sz w:val="28"/>
          <w:szCs w:val="28"/>
        </w:rPr>
      </w:pPr>
      <w:bookmarkStart w:colFirst="0" w:colLast="0" w:name="_argn8yzad7rc" w:id="0"/>
      <w:bookmarkEnd w:id="0"/>
      <w:r w:rsidDel="00000000" w:rsidR="00000000" w:rsidRPr="00000000">
        <w:rPr>
          <w:rFonts w:ascii="Verdana" w:cs="Verdana" w:eastAsia="Verdana" w:hAnsi="Verdana"/>
          <w:color w:val="4f81bd"/>
          <w:sz w:val="28"/>
          <w:szCs w:val="28"/>
          <w:rtl w:val="0"/>
        </w:rPr>
        <w:t xml:space="preserve">Bijlage F:</w:t>
        <w:tab/>
        <w:t xml:space="preserve">Prijsmodel</w:t>
      </w:r>
    </w:p>
    <w:p w:rsidR="00000000" w:rsidDel="00000000" w:rsidP="00000000" w:rsidRDefault="00000000" w:rsidRPr="00000000" w14:paraId="00000002">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volgende tabellen te hanteren. Separaat dient in de inschrijving een tabel opgenomen te worden met daarin de stuksprijzen van alle geleverde componenten en aantallen. </w:t>
      </w:r>
    </w:p>
    <w:p w:rsidR="00000000" w:rsidDel="00000000" w:rsidP="00000000" w:rsidRDefault="00000000" w:rsidRPr="00000000" w14:paraId="00000003">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4">
      <w:pPr>
        <w:tabs>
          <w:tab w:val="left" w:pos="1700.787401574803"/>
          <w:tab w:val="left" w:pos="566.9291338582677"/>
        </w:tabs>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Met nadruk wordt gesteld dat alle kosten (hardware, software, dienstverlening) noodzakelijk voor de implementatie en beheer in de tabellen dienen te worden opgenomen. Indien uit de inschrijving blijkt dat de gemeente ’s-Hertogenbosch aanpassingen dient te doen in haar omgeving zullen eventuele meerkosten worden meegenomen in de TCO en daarmee in het totale investeringsoverzicht van de inschrijving.</w:t>
      </w:r>
    </w:p>
    <w:p w:rsidR="00000000" w:rsidDel="00000000" w:rsidP="00000000" w:rsidRDefault="00000000" w:rsidRPr="00000000" w14:paraId="00000005">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r>
    </w:p>
    <w:p w:rsidR="00000000" w:rsidDel="00000000" w:rsidP="00000000" w:rsidRDefault="00000000" w:rsidRPr="00000000" w14:paraId="00000006">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Alle prijzen dienen te worden opgevoerd in Euro’s en inclusief BTW en voorrijkosten. Voor het bepalen van de ‘Prijs’ (zie hoofdstuk 3) wordt uitgegaan van de totaalprijzen over de gehele periode.</w:t>
      </w:r>
    </w:p>
    <w:p w:rsidR="00000000" w:rsidDel="00000000" w:rsidP="00000000" w:rsidRDefault="00000000" w:rsidRPr="00000000" w14:paraId="00000007">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ab/>
        <w:tab/>
      </w:r>
    </w:p>
    <w:p w:rsidR="00000000" w:rsidDel="00000000" w:rsidP="00000000" w:rsidRDefault="00000000" w:rsidRPr="00000000" w14:paraId="00000008">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dient de prijzen voor de in deze offerteaanvraag beschreven storage- en back-up omgeving te baseren op onderstaande groeiprognose. </w:t>
      </w:r>
    </w:p>
    <w:p w:rsidR="00000000" w:rsidDel="00000000" w:rsidP="00000000" w:rsidRDefault="00000000" w:rsidRPr="00000000" w14:paraId="00000009">
      <w:pPr>
        <w:tabs>
          <w:tab w:val="left" w:pos="708"/>
        </w:tabs>
        <w:spacing w:line="276" w:lineRule="auto"/>
        <w:ind w:left="0" w:firstLine="0"/>
        <w:rPr>
          <w:rFonts w:ascii="Verdana" w:cs="Verdana" w:eastAsia="Verdana" w:hAnsi="Verdana"/>
          <w:sz w:val="14"/>
          <w:szCs w:val="14"/>
        </w:rPr>
      </w:pPr>
      <w:r w:rsidDel="00000000" w:rsidR="00000000" w:rsidRPr="00000000">
        <w:rPr>
          <w:rtl w:val="0"/>
        </w:rPr>
      </w:r>
    </w:p>
    <w:tbl>
      <w:tblPr>
        <w:tblStyle w:val="Table1"/>
        <w:tblW w:w="87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855"/>
        <w:gridCol w:w="855"/>
        <w:gridCol w:w="855"/>
        <w:gridCol w:w="990"/>
        <w:gridCol w:w="990"/>
        <w:gridCol w:w="990"/>
        <w:tblGridChange w:id="0">
          <w:tblGrid>
            <w:gridCol w:w="3225"/>
            <w:gridCol w:w="855"/>
            <w:gridCol w:w="855"/>
            <w:gridCol w:w="855"/>
            <w:gridCol w:w="990"/>
            <w:gridCol w:w="990"/>
            <w:gridCol w:w="990"/>
          </w:tblGrid>
        </w:tblGridChange>
      </w:tblGrid>
      <w:tr>
        <w:trPr>
          <w:cantSplit w:val="0"/>
          <w:trHeight w:val="90" w:hRule="atLeast"/>
          <w:tblHeader w:val="0"/>
        </w:trPr>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0A">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Geprognosticeerde capaciteit in TiB op 1 januari: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0B">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2023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0C">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2024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0D">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0E">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0F">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2027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0">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2028</w:t>
            </w:r>
            <w:r w:rsidDel="00000000" w:rsidR="00000000" w:rsidRPr="00000000">
              <w:rPr>
                <w:rtl w:val="0"/>
              </w:rPr>
            </w:r>
          </w:p>
        </w:tc>
      </w:tr>
      <w:tr>
        <w:trPr>
          <w:cantSplit w:val="0"/>
          <w:trHeight w:val="105" w:hRule="atLeast"/>
          <w:tblHeader w:val="0"/>
        </w:trPr>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1">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Basis opslagruimte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2">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300 </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3">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350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4">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400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5">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450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6">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500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7">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550</w:t>
            </w:r>
          </w:p>
        </w:tc>
      </w:tr>
      <w:tr>
        <w:trPr>
          <w:cantSplit w:val="0"/>
          <w:trHeight w:val="90" w:hRule="atLeast"/>
          <w:tblHeader w:val="0"/>
        </w:trPr>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8">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Overloop voor onvoorziene extra’s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9">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A">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D">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r>
      <w:tr>
        <w:trPr>
          <w:cantSplit w:val="0"/>
          <w:trHeight w:val="90" w:hRule="atLeast"/>
          <w:tblHeader w:val="0"/>
        </w:trPr>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F">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Totale nettocapaciteit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0">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310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1">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360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2">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410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3">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460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4">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510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5">
            <w:pPr>
              <w:spacing w:line="240" w:lineRule="auto"/>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560</w:t>
            </w:r>
            <w:r w:rsidDel="00000000" w:rsidR="00000000" w:rsidRPr="00000000">
              <w:rPr>
                <w:rtl w:val="0"/>
              </w:rPr>
            </w:r>
          </w:p>
        </w:tc>
      </w:tr>
    </w:tbl>
    <w:p w:rsidR="00000000" w:rsidDel="00000000" w:rsidP="00000000" w:rsidRDefault="00000000" w:rsidRPr="00000000" w14:paraId="00000026">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27">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inschrijving dient gecalculeerd te worden op 560 TiB netto beschikbaar begin 2028 met een minimale inrichting van 310 TiB netto capaciteit initieel. </w:t>
      </w:r>
    </w:p>
    <w:p w:rsidR="00000000" w:rsidDel="00000000" w:rsidP="00000000" w:rsidRDefault="00000000" w:rsidRPr="00000000" w14:paraId="00000028">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29">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Gemeente ’s-Hertogenbosch wenst de verwachte capaciteit gefaseerd aan te schaffen waarbij er jaarlijks wordt geïnventariseerd wat de daadwerkelijke groei wordt. Bovenstaande tabel is leidend voor de prijsstelling, de daadwerkelijk af te nemen capaciteit kan afwijken. </w:t>
      </w:r>
    </w:p>
    <w:p w:rsidR="00000000" w:rsidDel="00000000" w:rsidP="00000000" w:rsidRDefault="00000000" w:rsidRPr="00000000" w14:paraId="0000002A">
      <w:pPr>
        <w:tabs>
          <w:tab w:val="left" w:pos="1700.787401574803"/>
          <w:tab w:val="left" w:pos="566.9291338582677"/>
        </w:tabs>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B">
      <w:pPr>
        <w:tabs>
          <w:tab w:val="left" w:pos="1700.787401574803"/>
          <w:tab w:val="left" w:pos="566.9291338582677"/>
        </w:tabs>
        <w:rPr>
          <w:rFonts w:ascii="Verdana" w:cs="Verdana" w:eastAsia="Verdana" w:hAnsi="Verdana"/>
          <w:b w:val="1"/>
          <w:color w:val="3d85c6"/>
          <w:sz w:val="18"/>
          <w:szCs w:val="18"/>
        </w:rPr>
      </w:pPr>
      <w:r w:rsidDel="00000000" w:rsidR="00000000" w:rsidRPr="00000000">
        <w:rPr>
          <w:rFonts w:ascii="Verdana" w:cs="Verdana" w:eastAsia="Verdana" w:hAnsi="Verdana"/>
          <w:b w:val="1"/>
          <w:color w:val="3d85c6"/>
          <w:sz w:val="18"/>
          <w:szCs w:val="18"/>
          <w:rtl w:val="0"/>
        </w:rPr>
        <w:t xml:space="preserve">Prijsoverzicht</w:t>
      </w:r>
    </w:p>
    <w:p w:rsidR="00000000" w:rsidDel="00000000" w:rsidP="00000000" w:rsidRDefault="00000000" w:rsidRPr="00000000" w14:paraId="0000002C">
      <w:pPr>
        <w:tabs>
          <w:tab w:val="left" w:pos="1700.787401574803"/>
          <w:tab w:val="left" w:pos="566.9291338582677"/>
        </w:tabs>
        <w:rPr>
          <w:rFonts w:ascii="Verdana" w:cs="Verdana" w:eastAsia="Verdana" w:hAnsi="Verdana"/>
          <w:b w:val="1"/>
          <w:color w:val="3d85c6"/>
          <w:sz w:val="18"/>
          <w:szCs w:val="18"/>
        </w:rPr>
      </w:pPr>
      <w:r w:rsidDel="00000000" w:rsidR="00000000" w:rsidRPr="00000000">
        <w:rPr>
          <w:rtl w:val="0"/>
        </w:rPr>
      </w:r>
    </w:p>
    <w:tbl>
      <w:tblPr>
        <w:tblStyle w:val="Table2"/>
        <w:tblW w:w="8954.99999999999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135.7142857142858"/>
        <w:gridCol w:w="1135.7142857142858"/>
        <w:gridCol w:w="1135.7142857142858"/>
        <w:gridCol w:w="1135.7142857142858"/>
        <w:gridCol w:w="1135.7142857142858"/>
        <w:gridCol w:w="1135.7142857142858"/>
        <w:gridCol w:w="1135.7142857142858"/>
        <w:tblGridChange w:id="0">
          <w:tblGrid>
            <w:gridCol w:w="1005"/>
            <w:gridCol w:w="1135.7142857142858"/>
            <w:gridCol w:w="1135.7142857142858"/>
            <w:gridCol w:w="1135.7142857142858"/>
            <w:gridCol w:w="1135.7142857142858"/>
            <w:gridCol w:w="1135.7142857142858"/>
            <w:gridCol w:w="1135.7142857142858"/>
            <w:gridCol w:w="1135.71428571428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Item</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2E">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p w:rsidR="00000000" w:rsidDel="00000000" w:rsidP="00000000" w:rsidRDefault="00000000" w:rsidRPr="00000000" w14:paraId="0000002F">
            <w:pPr>
              <w:spacing w:line="240" w:lineRule="auto"/>
              <w:jc w:val="center"/>
              <w:rPr>
                <w:rFonts w:ascii="Verdana" w:cs="Verdana" w:eastAsia="Verdana" w:hAnsi="Verdana"/>
                <w:sz w:val="14"/>
                <w:szCs w:val="14"/>
              </w:rPr>
            </w:pPr>
            <w:r w:rsidDel="00000000" w:rsidR="00000000" w:rsidRPr="00000000">
              <w:rPr>
                <w:rFonts w:ascii="Verdana" w:cs="Verdana" w:eastAsia="Verdana" w:hAnsi="Verdana"/>
                <w:b w:val="1"/>
                <w:sz w:val="13"/>
                <w:szCs w:val="13"/>
                <w:rtl w:val="0"/>
              </w:rPr>
              <w:t xml:space="preserve">2023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0">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p w:rsidR="00000000" w:rsidDel="00000000" w:rsidP="00000000" w:rsidRDefault="00000000" w:rsidRPr="00000000" w14:paraId="00000031">
            <w:pPr>
              <w:spacing w:line="240" w:lineRule="auto"/>
              <w:jc w:val="center"/>
              <w:rPr>
                <w:rFonts w:ascii="Verdana" w:cs="Verdana" w:eastAsia="Verdana" w:hAnsi="Verdana"/>
                <w:sz w:val="14"/>
                <w:szCs w:val="14"/>
              </w:rPr>
            </w:pPr>
            <w:r w:rsidDel="00000000" w:rsidR="00000000" w:rsidRPr="00000000">
              <w:rPr>
                <w:rFonts w:ascii="Verdana" w:cs="Verdana" w:eastAsia="Verdana" w:hAnsi="Verdana"/>
                <w:b w:val="1"/>
                <w:sz w:val="13"/>
                <w:szCs w:val="13"/>
                <w:rtl w:val="0"/>
              </w:rPr>
              <w:t xml:space="preserve">2024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2">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p w:rsidR="00000000" w:rsidDel="00000000" w:rsidP="00000000" w:rsidRDefault="00000000" w:rsidRPr="00000000" w14:paraId="00000033">
            <w:pPr>
              <w:spacing w:line="240" w:lineRule="auto"/>
              <w:jc w:val="center"/>
              <w:rPr>
                <w:rFonts w:ascii="Verdana" w:cs="Verdana" w:eastAsia="Verdana" w:hAnsi="Verdana"/>
                <w:sz w:val="14"/>
                <w:szCs w:val="14"/>
              </w:rPr>
            </w:pPr>
            <w:r w:rsidDel="00000000" w:rsidR="00000000" w:rsidRPr="00000000">
              <w:rPr>
                <w:rFonts w:ascii="Verdana" w:cs="Verdana" w:eastAsia="Verdana" w:hAnsi="Verdana"/>
                <w:b w:val="1"/>
                <w:sz w:val="13"/>
                <w:szCs w:val="13"/>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4">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p w:rsidR="00000000" w:rsidDel="00000000" w:rsidP="00000000" w:rsidRDefault="00000000" w:rsidRPr="00000000" w14:paraId="00000035">
            <w:pPr>
              <w:spacing w:line="240" w:lineRule="auto"/>
              <w:jc w:val="center"/>
              <w:rPr>
                <w:rFonts w:ascii="Verdana" w:cs="Verdana" w:eastAsia="Verdana" w:hAnsi="Verdana"/>
                <w:sz w:val="14"/>
                <w:szCs w:val="14"/>
              </w:rPr>
            </w:pPr>
            <w:r w:rsidDel="00000000" w:rsidR="00000000" w:rsidRPr="00000000">
              <w:rPr>
                <w:rFonts w:ascii="Verdana" w:cs="Verdana" w:eastAsia="Verdana" w:hAnsi="Verdana"/>
                <w:b w:val="1"/>
                <w:sz w:val="13"/>
                <w:szCs w:val="13"/>
                <w:rtl w:val="0"/>
              </w:rPr>
              <w:t xml:space="preserve">2026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6">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p w:rsidR="00000000" w:rsidDel="00000000" w:rsidP="00000000" w:rsidRDefault="00000000" w:rsidRPr="00000000" w14:paraId="00000037">
            <w:pPr>
              <w:spacing w:line="240" w:lineRule="auto"/>
              <w:jc w:val="center"/>
              <w:rPr>
                <w:rFonts w:ascii="Verdana" w:cs="Verdana" w:eastAsia="Verdana" w:hAnsi="Verdana"/>
                <w:sz w:val="14"/>
                <w:szCs w:val="14"/>
              </w:rPr>
            </w:pPr>
            <w:r w:rsidDel="00000000" w:rsidR="00000000" w:rsidRPr="00000000">
              <w:rPr>
                <w:rFonts w:ascii="Verdana" w:cs="Verdana" w:eastAsia="Verdana" w:hAnsi="Verdana"/>
                <w:b w:val="1"/>
                <w:sz w:val="13"/>
                <w:szCs w:val="13"/>
                <w:rtl w:val="0"/>
              </w:rPr>
              <w:t xml:space="preserve">2027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8">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p w:rsidR="00000000" w:rsidDel="00000000" w:rsidP="00000000" w:rsidRDefault="00000000" w:rsidRPr="00000000" w14:paraId="00000039">
            <w:pPr>
              <w:spacing w:line="240" w:lineRule="auto"/>
              <w:jc w:val="center"/>
              <w:rPr>
                <w:rFonts w:ascii="Verdana" w:cs="Verdana" w:eastAsia="Verdana" w:hAnsi="Verdana"/>
                <w:sz w:val="14"/>
                <w:szCs w:val="14"/>
              </w:rPr>
            </w:pPr>
            <w:r w:rsidDel="00000000" w:rsidR="00000000" w:rsidRPr="00000000">
              <w:rPr>
                <w:rFonts w:ascii="Verdana" w:cs="Verdana" w:eastAsia="Verdana" w:hAnsi="Verdana"/>
                <w:b w:val="1"/>
                <w:sz w:val="13"/>
                <w:szCs w:val="13"/>
                <w:rtl w:val="0"/>
              </w:rPr>
              <w:t xml:space="preserve">2028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A">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Totaal</w:t>
            </w:r>
          </w:p>
          <w:p w:rsidR="00000000" w:rsidDel="00000000" w:rsidP="00000000" w:rsidRDefault="00000000" w:rsidRPr="00000000" w14:paraId="0000003B">
            <w:pPr>
              <w:spacing w:line="240" w:lineRule="auto"/>
              <w:jc w:val="center"/>
              <w:rPr>
                <w:rFonts w:ascii="Verdana" w:cs="Verdana" w:eastAsia="Verdana" w:hAnsi="Verdana"/>
                <w:b w:val="1"/>
                <w:sz w:val="13"/>
                <w:szCs w:val="13"/>
              </w:rPr>
            </w:pPr>
            <w:r w:rsidDel="00000000" w:rsidR="00000000" w:rsidRPr="00000000">
              <w:rPr>
                <w:rFonts w:ascii="Verdana" w:cs="Verdana" w:eastAsia="Verdana" w:hAnsi="Verdana"/>
                <w:b w:val="1"/>
                <w:sz w:val="13"/>
                <w:szCs w:val="13"/>
                <w:rtl w:val="0"/>
              </w:rPr>
              <w:t xml:space="preserve">investering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Storage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Backup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Implemen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tatie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Beheer en onderhoud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r>
      <w:tr>
        <w:trPr>
          <w:cantSplit w:val="0"/>
          <w:trHeight w:val="3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Totaal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14"/>
                <w:szCs w:val="14"/>
              </w:rPr>
            </w:pPr>
            <w:r w:rsidDel="00000000" w:rsidR="00000000" w:rsidRPr="00000000">
              <w:rPr>
                <w:rtl w:val="0"/>
              </w:rPr>
            </w:r>
          </w:p>
        </w:tc>
      </w:tr>
    </w:tbl>
    <w:p w:rsidR="00000000" w:rsidDel="00000000" w:rsidP="00000000" w:rsidRDefault="00000000" w:rsidRPr="00000000" w14:paraId="00000065">
      <w:pPr>
        <w:tabs>
          <w:tab w:val="left" w:pos="1700.787401574803"/>
          <w:tab w:val="left" w:pos="566.9291338582677"/>
        </w:tabs>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6">
      <w:pPr>
        <w:tabs>
          <w:tab w:val="left" w:pos="1700.787401574803"/>
          <w:tab w:val="left" w:pos="566.9291338582677"/>
        </w:tabs>
        <w:rPr>
          <w:rFonts w:ascii="Verdana" w:cs="Verdana" w:eastAsia="Verdana" w:hAnsi="Verdan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67">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b w:val="1"/>
          <w:color w:val="3d85c6"/>
          <w:sz w:val="18"/>
          <w:szCs w:val="18"/>
          <w:rtl w:val="0"/>
        </w:rPr>
        <w:t xml:space="preserve">Opslagpercentage</w:t>
      </w:r>
      <w:r w:rsidDel="00000000" w:rsidR="00000000" w:rsidRPr="00000000">
        <w:rPr>
          <w:rtl w:val="0"/>
        </w:rPr>
      </w:r>
    </w:p>
    <w:p w:rsidR="00000000" w:rsidDel="00000000" w:rsidP="00000000" w:rsidRDefault="00000000" w:rsidRPr="00000000" w14:paraId="00000068">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dient daarnaast aan te geven welk opslagpercentage boven de inkoopprijs wordt gebruikt om de productprijzen voor gemeente ’s-Hertogenbosch te bepalen.</w:t>
      </w:r>
    </w:p>
    <w:p w:rsidR="00000000" w:rsidDel="00000000" w:rsidP="00000000" w:rsidRDefault="00000000" w:rsidRPr="00000000" w14:paraId="00000069">
      <w:pPr>
        <w:tabs>
          <w:tab w:val="left" w:pos="1700.787401574803"/>
          <w:tab w:val="left" w:pos="566.9291338582677"/>
        </w:tabs>
        <w:rPr>
          <w:rFonts w:ascii="Verdana" w:cs="Verdana" w:eastAsia="Verdana" w:hAnsi="Verdana"/>
          <w:sz w:val="18"/>
          <w:szCs w:val="18"/>
        </w:rPr>
      </w:pPr>
      <w:r w:rsidDel="00000000" w:rsidR="00000000" w:rsidRPr="00000000">
        <w:rPr>
          <w:rtl w:val="0"/>
        </w:rPr>
      </w:r>
    </w:p>
    <w:tbl>
      <w:tblPr>
        <w:tblStyle w:val="Table3"/>
        <w:tblW w:w="8954.99999999999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135.7142857142858"/>
        <w:gridCol w:w="1135.7142857142858"/>
        <w:gridCol w:w="1135.7142857142858"/>
        <w:gridCol w:w="1135.7142857142858"/>
        <w:gridCol w:w="1135.7142857142858"/>
        <w:gridCol w:w="1135.7142857142858"/>
        <w:gridCol w:w="1135.7142857142858"/>
        <w:tblGridChange w:id="0">
          <w:tblGrid>
            <w:gridCol w:w="1005"/>
            <w:gridCol w:w="1135.7142857142858"/>
            <w:gridCol w:w="1135.7142857142858"/>
            <w:gridCol w:w="1135.7142857142858"/>
            <w:gridCol w:w="1135.7142857142858"/>
            <w:gridCol w:w="1135.7142857142858"/>
            <w:gridCol w:w="1135.7142857142858"/>
            <w:gridCol w:w="1135.71428571428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Item</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6B">
            <w:pPr>
              <w:spacing w:line="240" w:lineRule="auto"/>
              <w:jc w:val="center"/>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opslag</w:t>
            </w:r>
          </w:p>
          <w:p w:rsidR="00000000" w:rsidDel="00000000" w:rsidP="00000000" w:rsidRDefault="00000000" w:rsidRPr="00000000" w14:paraId="0000006C">
            <w:pPr>
              <w:spacing w:line="240" w:lineRule="auto"/>
              <w:jc w:val="center"/>
              <w:rPr>
                <w:rFonts w:ascii="Verdana" w:cs="Verdana" w:eastAsia="Verdana" w:hAnsi="Verdana"/>
                <w:sz w:val="10"/>
                <w:szCs w:val="10"/>
              </w:rPr>
            </w:pPr>
            <w:r w:rsidDel="00000000" w:rsidR="00000000" w:rsidRPr="00000000">
              <w:rPr>
                <w:rFonts w:ascii="Verdana" w:cs="Verdana" w:eastAsia="Verdana" w:hAnsi="Verdana"/>
                <w:sz w:val="14"/>
                <w:szCs w:val="14"/>
                <w:rtl w:val="0"/>
              </w:rPr>
              <w:t xml:space="preserve">percentage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Producten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Verdana" w:cs="Verdana" w:eastAsia="Verdana" w:hAnsi="Verdana"/>
                <w:sz w:val="14"/>
                <w:szCs w:val="14"/>
              </w:rPr>
            </w:pPr>
            <w:r w:rsidDel="00000000" w:rsidR="00000000" w:rsidRPr="00000000">
              <w:rPr>
                <w:rtl w:val="0"/>
              </w:rPr>
            </w:r>
          </w:p>
        </w:tc>
      </w:tr>
    </w:tbl>
    <w:p w:rsidR="00000000" w:rsidDel="00000000" w:rsidP="00000000" w:rsidRDefault="00000000" w:rsidRPr="00000000" w14:paraId="0000006F">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0">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opslagpercentage is het percentage dat u boven uw eigen inkoopprijs aan gemeente ’s-Hertogenbosch doorberekent. Feitelijk is de Prijs dus het bedrag dat hierboven door u wordt ingevuld in de rubriek ‘Totaal’. Dit totaalbedrag bepaalt de Prijs (P) ten behoeve van de beoordeling zoals beschreven in hoofdstuk 3.</w:t>
      </w:r>
    </w:p>
    <w:p w:rsidR="00000000" w:rsidDel="00000000" w:rsidP="00000000" w:rsidRDefault="00000000" w:rsidRPr="00000000" w14:paraId="00000071">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2">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Tijdens de uitvoering van de overeenkomst berekent u uitsluitend de inkoopprijzen aan gemeente ’s-Hertogenbosch door, vermeerderd met het genoemde opslagpercentage. Het opgegeven opslagpercentage dat wordt toegepast bij de berekening van het totaalbedrag dient gelijk te zijn aan het opslagpercentage dat wordt gebruikt gedurende de looptijd van de overeenkomst.</w:t>
      </w:r>
    </w:p>
    <w:p w:rsidR="00000000" w:rsidDel="00000000" w:rsidP="00000000" w:rsidRDefault="00000000" w:rsidRPr="00000000" w14:paraId="00000073">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4">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Gemeente ‘s-Hertogenbosch behoudt zich het recht voor om audits uit (te laten) voeren om de toepassing van de opslagpercentages op uw inkoopprijzen te toetsen. De wijze waarop deze audits worden uitgevoerd wordt na gunning in gezamenlijk overleg bepaald.</w:t>
      </w:r>
    </w:p>
    <w:p w:rsidR="00000000" w:rsidDel="00000000" w:rsidP="00000000" w:rsidRDefault="00000000" w:rsidRPr="00000000" w14:paraId="00000075">
      <w:pPr>
        <w:tabs>
          <w:tab w:val="left" w:pos="1700.787401574803"/>
          <w:tab w:val="left" w:pos="566.9291338582677"/>
        </w:tabs>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6">
      <w:pPr>
        <w:tabs>
          <w:tab w:val="left" w:pos="1700.787401574803"/>
          <w:tab w:val="left" w:pos="566.9291338582677"/>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Genoemde uitgangswaarden zijn weliswaar representatief voor de verwachte afname van producten tijdens looptijd van de overeenkomst maar verder uitsluitend indicatief. De inschrijver kan hier op geen enkele wijze rechten aan ontlenen.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