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5AD" w:rsidRPr="000D31AB" w:rsidRDefault="000D31AB">
      <w:r>
        <w:t>De grafieken 1,2 &amp; 3 geven het verzuimpercentage, meldingsfrequentie en verzuimduur weer van de gehele SWB groep m.a.w. SWB en Gildebor (ambtelijk &amp; doelgroep medewerkers).</w:t>
      </w:r>
    </w:p>
    <w:p w:rsidR="008F25AD" w:rsidRDefault="008F25AD">
      <w:r>
        <w:rPr>
          <w:noProof/>
          <w:lang w:eastAsia="nl-NL"/>
        </w:rPr>
        <w:drawing>
          <wp:inline distT="0" distB="0" distL="0" distR="0" wp14:anchorId="6033AC7F" wp14:editId="12328058">
            <wp:extent cx="5456542" cy="2026609"/>
            <wp:effectExtent l="0" t="0" r="11430" b="12065"/>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F44F93">
        <w:t xml:space="preserve"> </w:t>
      </w:r>
      <w:r w:rsidR="00F44F93">
        <w:rPr>
          <w:i/>
          <w:sz w:val="16"/>
          <w:szCs w:val="16"/>
        </w:rPr>
        <w:t>Grafi</w:t>
      </w:r>
      <w:r w:rsidR="00F44F93" w:rsidRPr="00F44F93">
        <w:rPr>
          <w:i/>
          <w:sz w:val="16"/>
          <w:szCs w:val="16"/>
        </w:rPr>
        <w:t>ek 1</w:t>
      </w:r>
      <w:bookmarkStart w:id="0" w:name="_GoBack"/>
      <w:bookmarkEnd w:id="0"/>
    </w:p>
    <w:p w:rsidR="00FE35A1" w:rsidRDefault="000D31AB" w:rsidP="0065085E">
      <w:r>
        <w:t>De bovenstaande graf</w:t>
      </w:r>
      <w:r w:rsidR="00F44F93">
        <w:t>iek 1 geeft het verzuimpercentage. In de grafiek is af te lezen dat het verzuimcijfer in tussen september t/m november 2021 steeg. Dit heeft te maken met de corona-pandemie evenals de piek in januari 2022 t/m maart 2022. Ook de stijging in juli 2022 heeft hier mee te maken. Verder hebben we met een medewerkerspopulatie te maken die ouder wor</w:t>
      </w:r>
      <w:r>
        <w:t>dt, meer beperkingen ervaart waarbij re-integratie naar werk meer tijd in beslag neemt.</w:t>
      </w:r>
      <w:r w:rsidR="00FE35A1">
        <w:t xml:space="preserve"> </w:t>
      </w:r>
    </w:p>
    <w:p w:rsidR="00F44F93" w:rsidRDefault="00F44F93">
      <w:pPr>
        <w:rPr>
          <w:i/>
          <w:sz w:val="16"/>
          <w:szCs w:val="16"/>
        </w:rPr>
      </w:pPr>
      <w:r>
        <w:rPr>
          <w:noProof/>
          <w:lang w:eastAsia="nl-NL"/>
        </w:rPr>
        <w:drawing>
          <wp:inline distT="0" distB="0" distL="0" distR="0" wp14:anchorId="350F601C" wp14:editId="29E6EE09">
            <wp:extent cx="5389245" cy="1907177"/>
            <wp:effectExtent l="0" t="0" r="1905" b="17145"/>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t xml:space="preserve"> </w:t>
      </w:r>
      <w:r w:rsidRPr="00F44F93">
        <w:rPr>
          <w:i/>
          <w:sz w:val="16"/>
          <w:szCs w:val="16"/>
        </w:rPr>
        <w:t>Grafiek 2</w:t>
      </w:r>
    </w:p>
    <w:p w:rsidR="00F44F93" w:rsidRPr="00F44F93" w:rsidRDefault="0065085E">
      <w:r>
        <w:lastRenderedPageBreak/>
        <w:t>De meldingsfrequentie laat vanaf september 2021 een stijgende lijn omhoog zien met een uitschieter in maart 2022. De maanden april 2022 en mei 2022 was de meldingsfrequentie 1,2 en in juni was de melding</w:t>
      </w:r>
      <w:r w:rsidR="00427CF9">
        <w:t>s</w:t>
      </w:r>
      <w:r>
        <w:t>frequentie gedaald naar 1,1.</w:t>
      </w:r>
      <w:r w:rsidR="00427CF9">
        <w:t xml:space="preserve"> In 2021 zien we bijna eenzelfde patroon. Als we dieper op de meldingsfrequentie inzoomen zien we dat bij het werkleerbedrijf de meldingsfrequentie tussen de 3 en 3,5 ligt en bij Gildebor gemiddeld tussen de 2,5 en 3. </w:t>
      </w:r>
    </w:p>
    <w:p w:rsidR="00F574CB" w:rsidRDefault="00F574CB">
      <w:r>
        <w:rPr>
          <w:noProof/>
          <w:lang w:eastAsia="nl-NL"/>
        </w:rPr>
        <w:drawing>
          <wp:inline distT="0" distB="0" distL="0" distR="0" wp14:anchorId="3ADEAF4F" wp14:editId="0BF84EA2">
            <wp:extent cx="5455920" cy="1899285"/>
            <wp:effectExtent l="0" t="0" r="11430" b="5715"/>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427CF9" w:rsidRPr="00427CF9">
        <w:rPr>
          <w:i/>
          <w:sz w:val="16"/>
          <w:szCs w:val="16"/>
        </w:rPr>
        <w:t>Grafiek 3</w:t>
      </w:r>
    </w:p>
    <w:p w:rsidR="00ED1011" w:rsidRDefault="00427CF9">
      <w:r>
        <w:t>De gemiddelde verzuimduur van de SWB groep is ge</w:t>
      </w:r>
      <w:r w:rsidR="00ED1011">
        <w:t>middeld 10,84 dagen. Als je</w:t>
      </w:r>
      <w:r>
        <w:t xml:space="preserve"> inzoomt op de verschillende bedrijfsonderdelen tref je hier ook weer </w:t>
      </w:r>
      <w:r w:rsidR="00C27E37">
        <w:t>onderlinge verschillen. De verschillen zie je dan meer op afdelingsniveau.</w:t>
      </w:r>
    </w:p>
    <w:p w:rsidR="00C27E37" w:rsidRDefault="00ED1011">
      <w:r>
        <w:t xml:space="preserve">T.a.v. de bovenstaande cijfers </w:t>
      </w:r>
      <w:r w:rsidR="00FC16B2">
        <w:t>hebben we als SWB groep de volgende opdracht voor de komende jaren:</w:t>
      </w:r>
    </w:p>
    <w:p w:rsidR="00C27E37" w:rsidRDefault="00C27E37" w:rsidP="00C27E37">
      <w:pPr>
        <w:pStyle w:val="Lijstalinea"/>
        <w:numPr>
          <w:ilvl w:val="0"/>
          <w:numId w:val="1"/>
        </w:numPr>
      </w:pPr>
      <w:r>
        <w:t>Frequent verzuim</w:t>
      </w:r>
      <w:r w:rsidR="00FC16B2">
        <w:t xml:space="preserve"> verlagen</w:t>
      </w:r>
      <w:r w:rsidR="00ED1011">
        <w:t xml:space="preserve"> waarbij de verzuimdrempel omhoog gebracht moet worden.</w:t>
      </w:r>
    </w:p>
    <w:p w:rsidR="00C27E37" w:rsidRDefault="00C27E37" w:rsidP="00C27E37">
      <w:pPr>
        <w:pStyle w:val="Lijstalinea"/>
        <w:numPr>
          <w:ilvl w:val="0"/>
          <w:numId w:val="1"/>
        </w:numPr>
      </w:pPr>
      <w:r>
        <w:t xml:space="preserve">De verzuimduur </w:t>
      </w:r>
      <w:r w:rsidR="00726B18">
        <w:t>verlagen door</w:t>
      </w:r>
      <w:r>
        <w:t>:</w:t>
      </w:r>
    </w:p>
    <w:p w:rsidR="00C27E37" w:rsidRDefault="00C27E37" w:rsidP="00C27E37">
      <w:pPr>
        <w:pStyle w:val="Lijstalinea"/>
        <w:numPr>
          <w:ilvl w:val="0"/>
          <w:numId w:val="2"/>
        </w:numPr>
      </w:pPr>
      <w:r>
        <w:t>re-integratie in passend werk</w:t>
      </w:r>
      <w:r w:rsidR="00ED1011">
        <w:t>,</w:t>
      </w:r>
    </w:p>
    <w:p w:rsidR="00ED1011" w:rsidRDefault="00ED1011" w:rsidP="00C27E37">
      <w:pPr>
        <w:pStyle w:val="Lijstalinea"/>
        <w:numPr>
          <w:ilvl w:val="0"/>
          <w:numId w:val="2"/>
        </w:numPr>
      </w:pPr>
      <w:r>
        <w:t>beschikbaar</w:t>
      </w:r>
      <w:r w:rsidR="00FC16B2">
        <w:t xml:space="preserve"> en inzichtelijk</w:t>
      </w:r>
      <w:r>
        <w:t xml:space="preserve"> hebben van </w:t>
      </w:r>
      <w:r w:rsidR="00FC16B2">
        <w:t xml:space="preserve">de interne </w:t>
      </w:r>
      <w:r>
        <w:t>pleisterplekken,</w:t>
      </w:r>
    </w:p>
    <w:p w:rsidR="00C27E37" w:rsidRDefault="00C27E37" w:rsidP="00C27E37">
      <w:pPr>
        <w:pStyle w:val="Lijstalinea"/>
        <w:numPr>
          <w:ilvl w:val="0"/>
          <w:numId w:val="2"/>
        </w:numPr>
      </w:pPr>
      <w:r>
        <w:t>consequent en sneller doorvoeren van deelherstel</w:t>
      </w:r>
      <w:r w:rsidR="00ED1011">
        <w:t xml:space="preserve"> door leidinggevenden.</w:t>
      </w:r>
      <w:r>
        <w:t xml:space="preserve"> Niet a</w:t>
      </w:r>
      <w:r w:rsidR="00ED1011">
        <w:t>chteraf deelherstel door voeren,</w:t>
      </w:r>
    </w:p>
    <w:p w:rsidR="00C27E37" w:rsidRDefault="00ED1011" w:rsidP="00C27E37">
      <w:pPr>
        <w:pStyle w:val="Lijstalinea"/>
        <w:numPr>
          <w:ilvl w:val="0"/>
          <w:numId w:val="2"/>
        </w:numPr>
      </w:pPr>
      <w:r>
        <w:t>hersteldrempel</w:t>
      </w:r>
      <w:r w:rsidR="00726B18">
        <w:t xml:space="preserve"> verlagen</w:t>
      </w:r>
      <w:r>
        <w:t>.</w:t>
      </w:r>
    </w:p>
    <w:p w:rsidR="00FC16B2" w:rsidRDefault="00FC16B2" w:rsidP="00FC16B2">
      <w:pPr>
        <w:pStyle w:val="Lijstalinea"/>
        <w:numPr>
          <w:ilvl w:val="0"/>
          <w:numId w:val="1"/>
        </w:numPr>
      </w:pPr>
      <w:r>
        <w:t>Duurzame inzetbaarheid: Hoe houden we de werknemers gedurende hun gehele werkbare leven vitaal, gemotiveerd en inzetbaar?</w:t>
      </w:r>
    </w:p>
    <w:p w:rsidR="00726B18" w:rsidRDefault="00726B18" w:rsidP="00726B18">
      <w:pPr>
        <w:ind w:left="720"/>
      </w:pPr>
    </w:p>
    <w:sectPr w:rsidR="00726B18" w:rsidSect="008F25AD">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011" w:rsidRDefault="00ED1011" w:rsidP="00ED1011">
      <w:pPr>
        <w:spacing w:after="0" w:line="240" w:lineRule="auto"/>
      </w:pPr>
      <w:r>
        <w:separator/>
      </w:r>
    </w:p>
  </w:endnote>
  <w:endnote w:type="continuationSeparator" w:id="0">
    <w:p w:rsidR="00ED1011" w:rsidRDefault="00ED1011" w:rsidP="00ED1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011" w:rsidRDefault="00ED1011" w:rsidP="00ED1011">
      <w:pPr>
        <w:spacing w:after="0" w:line="240" w:lineRule="auto"/>
      </w:pPr>
      <w:r>
        <w:separator/>
      </w:r>
    </w:p>
  </w:footnote>
  <w:footnote w:type="continuationSeparator" w:id="0">
    <w:p w:rsidR="00ED1011" w:rsidRDefault="00ED1011" w:rsidP="00ED1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4E3" w:rsidRDefault="00D754E3" w:rsidP="00D754E3">
    <w:pPr>
      <w:rPr>
        <w:b/>
      </w:rPr>
    </w:pPr>
    <w:r>
      <w:rPr>
        <w:b/>
      </w:rPr>
      <w:t>BIJLAGE</w:t>
    </w:r>
    <w:r w:rsidRPr="008F25AD">
      <w:rPr>
        <w:b/>
      </w:rPr>
      <w:t>: Verzuimcijfers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85F83"/>
    <w:multiLevelType w:val="hybridMultilevel"/>
    <w:tmpl w:val="379CA350"/>
    <w:lvl w:ilvl="0" w:tplc="F226322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52F960D5"/>
    <w:multiLevelType w:val="hybridMultilevel"/>
    <w:tmpl w:val="CC98930C"/>
    <w:lvl w:ilvl="0" w:tplc="203AAA0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5CAD2903"/>
    <w:multiLevelType w:val="hybridMultilevel"/>
    <w:tmpl w:val="F96E8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5AD"/>
    <w:rsid w:val="0004475D"/>
    <w:rsid w:val="000D31AB"/>
    <w:rsid w:val="001B1CDA"/>
    <w:rsid w:val="00427CF9"/>
    <w:rsid w:val="0065085E"/>
    <w:rsid w:val="00726B18"/>
    <w:rsid w:val="008F04F5"/>
    <w:rsid w:val="008F25AD"/>
    <w:rsid w:val="00BF040B"/>
    <w:rsid w:val="00C27E37"/>
    <w:rsid w:val="00D754E3"/>
    <w:rsid w:val="00ED1011"/>
    <w:rsid w:val="00F44F93"/>
    <w:rsid w:val="00F574CB"/>
    <w:rsid w:val="00FC16B2"/>
    <w:rsid w:val="00FE3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E7BE9"/>
  <w15:chartTrackingRefBased/>
  <w15:docId w15:val="{6E10A537-DA71-4CE0-B7B1-6526E79F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B1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27E37"/>
    <w:pPr>
      <w:ind w:left="720"/>
      <w:contextualSpacing/>
    </w:pPr>
  </w:style>
  <w:style w:type="paragraph" w:styleId="Koptekst">
    <w:name w:val="header"/>
    <w:basedOn w:val="Standaard"/>
    <w:link w:val="KoptekstChar"/>
    <w:uiPriority w:val="99"/>
    <w:unhideWhenUsed/>
    <w:rsid w:val="00ED101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1011"/>
  </w:style>
  <w:style w:type="paragraph" w:styleId="Voettekst">
    <w:name w:val="footer"/>
    <w:basedOn w:val="Standaard"/>
    <w:link w:val="VoettekstChar"/>
    <w:uiPriority w:val="99"/>
    <w:unhideWhenUsed/>
    <w:rsid w:val="00ED101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1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werkblad.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werkblad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werkblad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[Grafiek in Microsoft Word]Blad2!Draaitabel1</c:name>
    <c:fmtId val="5"/>
  </c:pivotSource>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en-US" sz="900" b="1"/>
              <a:t>Verzuimpercentage per maand</a:t>
            </a:r>
          </a:p>
          <a:p>
            <a:pPr>
              <a:defRPr sz="900" b="1"/>
            </a:pPr>
            <a:r>
              <a:rPr lang="en-US" sz="900" b="1"/>
              <a:t>SWB groep</a:t>
            </a:r>
          </a:p>
        </c:rich>
      </c:tx>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endParaRPr lang="nl-NL"/>
        </a:p>
      </c:txPr>
    </c:title>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s>
    <c:plotArea>
      <c:layout/>
      <c:barChart>
        <c:barDir val="col"/>
        <c:grouping val="stacked"/>
        <c:varyColors val="0"/>
        <c:ser>
          <c:idx val="0"/>
          <c:order val="0"/>
          <c:tx>
            <c:strRef>
              <c:f>Blad2!$B$1</c:f>
              <c:strCache>
                <c:ptCount val="1"/>
                <c:pt idx="0">
                  <c:v>Totaal</c:v>
                </c:pt>
              </c:strCache>
            </c:strRef>
          </c:tx>
          <c:spPr>
            <a:solidFill>
              <a:schemeClr val="accent1"/>
            </a:solidFill>
            <a:ln>
              <a:noFill/>
            </a:ln>
            <a:effectLst/>
          </c:spPr>
          <c:invertIfNegative val="0"/>
          <c:cat>
            <c:strRef>
              <c:f>Blad2!$A$2:$A$27</c:f>
              <c:strCache>
                <c:ptCount val="25"/>
                <c:pt idx="0">
                  <c:v>2020-07</c:v>
                </c:pt>
                <c:pt idx="1">
                  <c:v>2020-08</c:v>
                </c:pt>
                <c:pt idx="2">
                  <c:v>2020-09</c:v>
                </c:pt>
                <c:pt idx="3">
                  <c:v>2020-10</c:v>
                </c:pt>
                <c:pt idx="4">
                  <c:v>2020-11</c:v>
                </c:pt>
                <c:pt idx="5">
                  <c:v>2020-12</c:v>
                </c:pt>
                <c:pt idx="6">
                  <c:v>2021-01</c:v>
                </c:pt>
                <c:pt idx="7">
                  <c:v>2021-02</c:v>
                </c:pt>
                <c:pt idx="8">
                  <c:v>2021-03</c:v>
                </c:pt>
                <c:pt idx="9">
                  <c:v>2021-04</c:v>
                </c:pt>
                <c:pt idx="10">
                  <c:v>2021-05</c:v>
                </c:pt>
                <c:pt idx="11">
                  <c:v>2021-06</c:v>
                </c:pt>
                <c:pt idx="12">
                  <c:v>2021-07</c:v>
                </c:pt>
                <c:pt idx="13">
                  <c:v>2021-08</c:v>
                </c:pt>
                <c:pt idx="14">
                  <c:v>2021-09</c:v>
                </c:pt>
                <c:pt idx="15">
                  <c:v>2021-10</c:v>
                </c:pt>
                <c:pt idx="16">
                  <c:v>2021-11</c:v>
                </c:pt>
                <c:pt idx="17">
                  <c:v>2021-12</c:v>
                </c:pt>
                <c:pt idx="18">
                  <c:v>2022-01</c:v>
                </c:pt>
                <c:pt idx="19">
                  <c:v>2022-02</c:v>
                </c:pt>
                <c:pt idx="20">
                  <c:v>2022-03</c:v>
                </c:pt>
                <c:pt idx="21">
                  <c:v>2022-04</c:v>
                </c:pt>
                <c:pt idx="22">
                  <c:v>2022-05</c:v>
                </c:pt>
                <c:pt idx="23">
                  <c:v>2022-06</c:v>
                </c:pt>
                <c:pt idx="24">
                  <c:v>2022-07</c:v>
                </c:pt>
              </c:strCache>
            </c:strRef>
          </c:cat>
          <c:val>
            <c:numRef>
              <c:f>Blad2!$B$2:$B$27</c:f>
              <c:numCache>
                <c:formatCode>General</c:formatCode>
                <c:ptCount val="25"/>
                <c:pt idx="0">
                  <c:v>7.8218059828859277</c:v>
                </c:pt>
                <c:pt idx="1">
                  <c:v>7.7129005233244854</c:v>
                </c:pt>
                <c:pt idx="2">
                  <c:v>9.1466366657114921</c:v>
                </c:pt>
                <c:pt idx="3">
                  <c:v>10.818078657995899</c:v>
                </c:pt>
                <c:pt idx="4">
                  <c:v>9.7964765383349466</c:v>
                </c:pt>
                <c:pt idx="5">
                  <c:v>8.9752218540337747</c:v>
                </c:pt>
                <c:pt idx="6">
                  <c:v>9.262475485904579</c:v>
                </c:pt>
                <c:pt idx="7">
                  <c:v>10.59869396834446</c:v>
                </c:pt>
                <c:pt idx="8">
                  <c:v>9.8102319339999173</c:v>
                </c:pt>
                <c:pt idx="9">
                  <c:v>8.7857772614755465</c:v>
                </c:pt>
                <c:pt idx="10">
                  <c:v>8.7289626633111173</c:v>
                </c:pt>
                <c:pt idx="11">
                  <c:v>9.4133421305103084</c:v>
                </c:pt>
                <c:pt idx="12">
                  <c:v>9.1931994818402671</c:v>
                </c:pt>
                <c:pt idx="13">
                  <c:v>8.7516497974661629</c:v>
                </c:pt>
                <c:pt idx="14">
                  <c:v>9.8337413229936299</c:v>
                </c:pt>
                <c:pt idx="15">
                  <c:v>11.54731027676586</c:v>
                </c:pt>
                <c:pt idx="16">
                  <c:v>11.201898786294731</c:v>
                </c:pt>
                <c:pt idx="17">
                  <c:v>10.14036638419444</c:v>
                </c:pt>
                <c:pt idx="18">
                  <c:v>11.24337145326645</c:v>
                </c:pt>
                <c:pt idx="19">
                  <c:v>12.436206418654839</c:v>
                </c:pt>
                <c:pt idx="20">
                  <c:v>13.035078677865471</c:v>
                </c:pt>
                <c:pt idx="21">
                  <c:v>11.53189472320553</c:v>
                </c:pt>
                <c:pt idx="22">
                  <c:v>10.31831996004564</c:v>
                </c:pt>
                <c:pt idx="23">
                  <c:v>10.34295314195618</c:v>
                </c:pt>
                <c:pt idx="24">
                  <c:v>12.01086480764635</c:v>
                </c:pt>
              </c:numCache>
            </c:numRef>
          </c:val>
          <c:extLst>
            <c:ext xmlns:c16="http://schemas.microsoft.com/office/drawing/2014/chart" uri="{C3380CC4-5D6E-409C-BE32-E72D297353CC}">
              <c16:uniqueId val="{00000000-14E0-45AC-8181-BC4B84ABEBB1}"/>
            </c:ext>
          </c:extLst>
        </c:ser>
        <c:dLbls>
          <c:showLegendKey val="0"/>
          <c:showVal val="0"/>
          <c:showCatName val="0"/>
          <c:showSerName val="0"/>
          <c:showPercent val="0"/>
          <c:showBubbleSize val="0"/>
        </c:dLbls>
        <c:gapWidth val="300"/>
        <c:overlap val="100"/>
        <c:serLines>
          <c:spPr>
            <a:ln w="9525" cap="flat" cmpd="sng" algn="ctr">
              <a:solidFill>
                <a:schemeClr val="tx1">
                  <a:lumMod val="35000"/>
                  <a:lumOff val="65000"/>
                </a:schemeClr>
              </a:solidFill>
              <a:round/>
            </a:ln>
            <a:effectLst/>
          </c:spPr>
        </c:serLines>
        <c:axId val="627606736"/>
        <c:axId val="627611656"/>
      </c:barChart>
      <c:catAx>
        <c:axId val="62760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crossAx val="627611656"/>
        <c:crosses val="autoZero"/>
        <c:auto val="1"/>
        <c:lblAlgn val="ctr"/>
        <c:lblOffset val="100"/>
        <c:tickLblSkip val="1"/>
        <c:noMultiLvlLbl val="0"/>
      </c:catAx>
      <c:valAx>
        <c:axId val="627611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crossAx val="62760673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[2022 07 09 Meldingsfrequentie per maand.xlsx]Blad1!Draaitabel2</c:name>
    <c:fmtId val="-1"/>
  </c:pivotSource>
  <c:chart>
    <c:title>
      <c:tx>
        <c:rich>
          <a:bodyPr rot="0" spcFirstLastPara="1" vertOverflow="ellipsis" vert="horz" wrap="square" anchor="ctr" anchorCtr="1"/>
          <a:lstStyle/>
          <a:p>
            <a:pPr>
              <a:defRPr sz="900" b="1" i="0" u="none" strike="noStrike" kern="1200" cap="none" spc="50" normalizeH="0" baseline="0">
                <a:solidFill>
                  <a:schemeClr val="tx1">
                    <a:lumMod val="65000"/>
                    <a:lumOff val="35000"/>
                  </a:schemeClr>
                </a:solidFill>
                <a:latin typeface="+mn-lt"/>
                <a:ea typeface="+mj-ea"/>
                <a:cs typeface="+mj-cs"/>
              </a:defRPr>
            </a:pPr>
            <a:r>
              <a:rPr lang="en-US" sz="900" b="1">
                <a:latin typeface="+mn-lt"/>
              </a:rPr>
              <a:t>Meldingsfrequentie per maand</a:t>
            </a:r>
          </a:p>
          <a:p>
            <a:pPr>
              <a:defRPr sz="900" b="1">
                <a:latin typeface="+mn-lt"/>
              </a:defRPr>
            </a:pPr>
            <a:r>
              <a:rPr lang="en-US" sz="900" b="1">
                <a:latin typeface="+mn-lt"/>
              </a:rPr>
              <a:t>SWB groep</a:t>
            </a:r>
          </a:p>
        </c:rich>
      </c:tx>
      <c:layout/>
      <c:overlay val="0"/>
      <c:spPr>
        <a:noFill/>
        <a:ln>
          <a:noFill/>
        </a:ln>
        <a:effectLst/>
      </c:spPr>
      <c:txPr>
        <a:bodyPr rot="0" spcFirstLastPara="1" vertOverflow="ellipsis" vert="horz" wrap="square" anchor="ctr" anchorCtr="1"/>
        <a:lstStyle/>
        <a:p>
          <a:pPr>
            <a:defRPr sz="900" b="1" i="0" u="none" strike="noStrike" kern="1200" cap="none" spc="50" normalizeH="0" baseline="0">
              <a:solidFill>
                <a:schemeClr val="tx1">
                  <a:lumMod val="65000"/>
                  <a:lumOff val="35000"/>
                </a:schemeClr>
              </a:solidFill>
              <a:latin typeface="+mn-lt"/>
              <a:ea typeface="+mj-ea"/>
              <a:cs typeface="+mj-cs"/>
            </a:defRPr>
          </a:pPr>
          <a:endParaRPr lang="nl-NL"/>
        </a:p>
      </c:txPr>
    </c:title>
    <c:autoTitleDeleted val="0"/>
    <c:pivotFmts>
      <c:pivotFmt>
        <c:idx val="0"/>
      </c:pivotFmt>
      <c:pivotFmt>
        <c:idx val="1"/>
      </c:pivotFmt>
      <c:pivotFmt>
        <c:idx val="2"/>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alpha val="70000"/>
            </a:schemeClr>
          </a:solidFill>
          <a:ln>
            <a:noFill/>
          </a:ln>
          <a:effectLst/>
        </c:spPr>
        <c:marker>
          <c:symbol val="none"/>
        </c:marker>
      </c:pivotFmt>
      <c:pivotFmt>
        <c:idx val="4"/>
        <c:spPr>
          <a:solidFill>
            <a:schemeClr val="accent1">
              <a:alpha val="70000"/>
            </a:schemeClr>
          </a:solidFill>
          <a:ln>
            <a:noFill/>
          </a:ln>
          <a:effectLst/>
        </c:spPr>
        <c:marker>
          <c:symbol val="none"/>
        </c:marker>
      </c:pivotFmt>
      <c:pivotFmt>
        <c:idx val="5"/>
        <c:spPr>
          <a:solidFill>
            <a:schemeClr val="accent1">
              <a:alpha val="70000"/>
            </a:schemeClr>
          </a:solidFill>
          <a:ln>
            <a:noFill/>
          </a:ln>
          <a:effectLst/>
        </c:spPr>
        <c:marker>
          <c:symbol val="none"/>
        </c:marker>
      </c:pivotFmt>
    </c:pivotFmts>
    <c:plotArea>
      <c:layout/>
      <c:barChart>
        <c:barDir val="col"/>
        <c:grouping val="clustered"/>
        <c:varyColors val="0"/>
        <c:ser>
          <c:idx val="0"/>
          <c:order val="0"/>
          <c:tx>
            <c:strRef>
              <c:f>Blad1!$B$1</c:f>
              <c:strCache>
                <c:ptCount val="1"/>
                <c:pt idx="0">
                  <c:v>Totaal</c:v>
                </c:pt>
              </c:strCache>
            </c:strRef>
          </c:tx>
          <c:spPr>
            <a:solidFill>
              <a:schemeClr val="accent1">
                <a:alpha val="70000"/>
              </a:schemeClr>
            </a:solidFill>
            <a:ln>
              <a:noFill/>
            </a:ln>
            <a:effectLst/>
          </c:spPr>
          <c:invertIfNegative val="0"/>
          <c:cat>
            <c:strRef>
              <c:f>Blad1!$A$2:$A$26</c:f>
              <c:strCache>
                <c:ptCount val="24"/>
                <c:pt idx="0">
                  <c:v>2020-07</c:v>
                </c:pt>
                <c:pt idx="1">
                  <c:v>2020-08</c:v>
                </c:pt>
                <c:pt idx="2">
                  <c:v>2020-09</c:v>
                </c:pt>
                <c:pt idx="3">
                  <c:v>2020-10</c:v>
                </c:pt>
                <c:pt idx="4">
                  <c:v>2020-11</c:v>
                </c:pt>
                <c:pt idx="5">
                  <c:v>2020-12</c:v>
                </c:pt>
                <c:pt idx="6">
                  <c:v>2021-01</c:v>
                </c:pt>
                <c:pt idx="7">
                  <c:v>2021-02</c:v>
                </c:pt>
                <c:pt idx="8">
                  <c:v>2021-03</c:v>
                </c:pt>
                <c:pt idx="9">
                  <c:v>2021-04</c:v>
                </c:pt>
                <c:pt idx="10">
                  <c:v>2021-05</c:v>
                </c:pt>
                <c:pt idx="11">
                  <c:v>2021-06</c:v>
                </c:pt>
                <c:pt idx="12">
                  <c:v>2021-07</c:v>
                </c:pt>
                <c:pt idx="13">
                  <c:v>2021-08</c:v>
                </c:pt>
                <c:pt idx="14">
                  <c:v>2021-09</c:v>
                </c:pt>
                <c:pt idx="15">
                  <c:v>2021-10</c:v>
                </c:pt>
                <c:pt idx="16">
                  <c:v>2021-11</c:v>
                </c:pt>
                <c:pt idx="17">
                  <c:v>2021-12</c:v>
                </c:pt>
                <c:pt idx="18">
                  <c:v>2022-01</c:v>
                </c:pt>
                <c:pt idx="19">
                  <c:v>2022-02</c:v>
                </c:pt>
                <c:pt idx="20">
                  <c:v>2022-03</c:v>
                </c:pt>
                <c:pt idx="21">
                  <c:v>2022-04</c:v>
                </c:pt>
                <c:pt idx="22">
                  <c:v>2022-05</c:v>
                </c:pt>
                <c:pt idx="23">
                  <c:v>2022-06</c:v>
                </c:pt>
              </c:strCache>
            </c:strRef>
          </c:cat>
          <c:val>
            <c:numRef>
              <c:f>Blad1!$B$2:$B$26</c:f>
              <c:numCache>
                <c:formatCode>General</c:formatCode>
                <c:ptCount val="24"/>
                <c:pt idx="0">
                  <c:v>0.89930492379937443</c:v>
                </c:pt>
                <c:pt idx="1">
                  <c:v>0.89448461714621819</c:v>
                </c:pt>
                <c:pt idx="2">
                  <c:v>1.32444106357492</c:v>
                </c:pt>
                <c:pt idx="3">
                  <c:v>1.278363896758665</c:v>
                </c:pt>
                <c:pt idx="4">
                  <c:v>1.3875704277966761</c:v>
                </c:pt>
                <c:pt idx="5">
                  <c:v>0.76877579600640622</c:v>
                </c:pt>
                <c:pt idx="6">
                  <c:v>1.109191908056298</c:v>
                </c:pt>
                <c:pt idx="7">
                  <c:v>1.205441259290676</c:v>
                </c:pt>
                <c:pt idx="8">
                  <c:v>1.3189207047321121</c:v>
                </c:pt>
                <c:pt idx="9">
                  <c:v>0.81827027301869049</c:v>
                </c:pt>
                <c:pt idx="10">
                  <c:v>1.016580115314164</c:v>
                </c:pt>
                <c:pt idx="11">
                  <c:v>0.97654659622037499</c:v>
                </c:pt>
                <c:pt idx="12">
                  <c:v>0.98902655858943267</c:v>
                </c:pt>
                <c:pt idx="13">
                  <c:v>0.83352907401607668</c:v>
                </c:pt>
                <c:pt idx="14">
                  <c:v>1.127089093483074</c:v>
                </c:pt>
                <c:pt idx="15">
                  <c:v>1.5455114697155921</c:v>
                </c:pt>
                <c:pt idx="16">
                  <c:v>1.594605627851347</c:v>
                </c:pt>
                <c:pt idx="17">
                  <c:v>0.92832907533197362</c:v>
                </c:pt>
                <c:pt idx="18">
                  <c:v>1.8722402247121741</c:v>
                </c:pt>
                <c:pt idx="19">
                  <c:v>1.801378446115288</c:v>
                </c:pt>
                <c:pt idx="20">
                  <c:v>2.6164480360176818</c:v>
                </c:pt>
                <c:pt idx="21">
                  <c:v>1.271056930122558</c:v>
                </c:pt>
                <c:pt idx="22">
                  <c:v>1.242640214074566</c:v>
                </c:pt>
                <c:pt idx="23">
                  <c:v>1.1268655592536261</c:v>
                </c:pt>
              </c:numCache>
            </c:numRef>
          </c:val>
          <c:extLst>
            <c:ext xmlns:c16="http://schemas.microsoft.com/office/drawing/2014/chart" uri="{C3380CC4-5D6E-409C-BE32-E72D297353CC}">
              <c16:uniqueId val="{00000000-64EB-48A4-A704-90BC6678D94E}"/>
            </c:ext>
          </c:extLst>
        </c:ser>
        <c:dLbls>
          <c:showLegendKey val="0"/>
          <c:showVal val="0"/>
          <c:showCatName val="0"/>
          <c:showSerName val="0"/>
          <c:showPercent val="0"/>
          <c:showBubbleSize val="0"/>
        </c:dLbls>
        <c:gapWidth val="150"/>
        <c:axId val="616359024"/>
        <c:axId val="616359352"/>
      </c:barChart>
      <c:catAx>
        <c:axId val="61635902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cap="none" spc="20" normalizeH="0" baseline="0">
                <a:solidFill>
                  <a:schemeClr val="tx1">
                    <a:lumMod val="65000"/>
                    <a:lumOff val="35000"/>
                  </a:schemeClr>
                </a:solidFill>
                <a:latin typeface="+mn-lt"/>
                <a:ea typeface="+mn-ea"/>
                <a:cs typeface="+mn-cs"/>
              </a:defRPr>
            </a:pPr>
            <a:endParaRPr lang="nl-NL"/>
          </a:p>
        </c:txPr>
        <c:crossAx val="616359352"/>
        <c:crosses val="autoZero"/>
        <c:auto val="1"/>
        <c:lblAlgn val="ctr"/>
        <c:lblOffset val="100"/>
        <c:noMultiLvlLbl val="0"/>
      </c:catAx>
      <c:valAx>
        <c:axId val="616359352"/>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nl-NL"/>
                  <a:t>Frequentie</a:t>
                </a:r>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spc="20" baseline="0">
                <a:solidFill>
                  <a:schemeClr val="tx1">
                    <a:lumMod val="65000"/>
                    <a:lumOff val="35000"/>
                  </a:schemeClr>
                </a:solidFill>
                <a:latin typeface="+mn-lt"/>
                <a:ea typeface="+mn-ea"/>
                <a:cs typeface="+mn-cs"/>
              </a:defRPr>
            </a:pPr>
            <a:endParaRPr lang="nl-NL"/>
          </a:p>
        </c:txPr>
        <c:crossAx val="616359024"/>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[2022 07 09 Verzuimduur per maand.xlsx]Blad1!Draaitabel1</c:name>
    <c:fmtId val="-1"/>
  </c:pivotSource>
  <c:chart>
    <c:title>
      <c:tx>
        <c:rich>
          <a:bodyPr rot="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j-lt"/>
                <a:ea typeface="+mj-ea"/>
                <a:cs typeface="+mj-cs"/>
              </a:defRPr>
            </a:pPr>
            <a:r>
              <a:rPr lang="en-US" sz="900" b="1"/>
              <a:t>Verzuimduur per maand</a:t>
            </a:r>
          </a:p>
          <a:p>
            <a:pPr>
              <a:defRPr sz="900" b="1"/>
            </a:pPr>
            <a:r>
              <a:rPr lang="en-US" sz="900" b="1"/>
              <a:t>SWB groep </a:t>
            </a:r>
          </a:p>
        </c:rich>
      </c:tx>
      <c:layout/>
      <c:overlay val="0"/>
      <c:spPr>
        <a:noFill/>
        <a:ln>
          <a:noFill/>
        </a:ln>
        <a:effectLst/>
      </c:spPr>
      <c:txPr>
        <a:bodyPr rot="0" spcFirstLastPara="1" vertOverflow="ellipsis" vert="horz" wrap="square" anchor="ctr" anchorCtr="1"/>
        <a:lstStyle/>
        <a:p>
          <a:pPr>
            <a:defRPr sz="900" b="1" i="0" u="none" strike="noStrike" kern="1200" cap="none" spc="0" normalizeH="0" baseline="0">
              <a:solidFill>
                <a:schemeClr val="tx1">
                  <a:lumMod val="65000"/>
                  <a:lumOff val="35000"/>
                </a:schemeClr>
              </a:solidFill>
              <a:latin typeface="+mj-lt"/>
              <a:ea typeface="+mj-ea"/>
              <a:cs typeface="+mj-cs"/>
            </a:defRPr>
          </a:pPr>
          <a:endParaRPr lang="nl-NL"/>
        </a:p>
      </c:txPr>
    </c:title>
    <c:autoTitleDeleted val="0"/>
    <c:pivotFmts>
      <c:pivotFmt>
        <c:idx val="0"/>
      </c:pivotFmt>
      <c:pivotFmt>
        <c:idx val="1"/>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spPr>
          <a:solidFill>
            <a:schemeClr val="accent1">
              <a:alpha val="70000"/>
            </a:schemeClr>
          </a:solidFill>
          <a:ln>
            <a:noFill/>
          </a:ln>
          <a:effectLst/>
        </c:spPr>
        <c:marker>
          <c:symbol val="circle"/>
          <c:size val="6"/>
          <c:spPr>
            <a:solidFill>
              <a:schemeClr val="accent1">
                <a:alpha val="70000"/>
              </a:schemeClr>
            </a:solidFill>
            <a:ln>
              <a:noFill/>
            </a:ln>
            <a:effectLst/>
          </c:spPr>
        </c:marker>
      </c:pivotFmt>
      <c:pivotFmt>
        <c:idx val="28"/>
        <c:spPr>
          <a:solidFill>
            <a:schemeClr val="accent1">
              <a:alpha val="70000"/>
            </a:schemeClr>
          </a:solidFill>
          <a:ln>
            <a:noFill/>
          </a:ln>
          <a:effectLst/>
        </c:spPr>
        <c:marker>
          <c:symbol val="none"/>
        </c:marker>
      </c:pivotFmt>
      <c:pivotFmt>
        <c:idx val="29"/>
        <c:spPr>
          <a:solidFill>
            <a:schemeClr val="accent1">
              <a:alpha val="70000"/>
            </a:schemeClr>
          </a:solidFill>
          <a:ln>
            <a:noFill/>
          </a:ln>
          <a:effectLst/>
        </c:spPr>
        <c:marker>
          <c:symbol val="none"/>
        </c:marker>
      </c:pivotFmt>
    </c:pivotFmts>
    <c:plotArea>
      <c:layout/>
      <c:barChart>
        <c:barDir val="col"/>
        <c:grouping val="clustered"/>
        <c:varyColors val="0"/>
        <c:ser>
          <c:idx val="0"/>
          <c:order val="0"/>
          <c:tx>
            <c:strRef>
              <c:f>Blad1!$B$1</c:f>
              <c:strCache>
                <c:ptCount val="1"/>
                <c:pt idx="0">
                  <c:v>Totaal</c:v>
                </c:pt>
              </c:strCache>
            </c:strRef>
          </c:tx>
          <c:spPr>
            <a:solidFill>
              <a:schemeClr val="accent1"/>
            </a:solidFill>
            <a:ln>
              <a:noFill/>
            </a:ln>
            <a:effectLst/>
          </c:spPr>
          <c:invertIfNegative val="0"/>
          <c:dLbls>
            <c:delete val="1"/>
          </c:dLbls>
          <c:cat>
            <c:strRef>
              <c:f>Blad1!$A$2:$A$26</c:f>
              <c:strCache>
                <c:ptCount val="24"/>
                <c:pt idx="0">
                  <c:v>2020-07</c:v>
                </c:pt>
                <c:pt idx="1">
                  <c:v>2020-08</c:v>
                </c:pt>
                <c:pt idx="2">
                  <c:v>2020-09</c:v>
                </c:pt>
                <c:pt idx="3">
                  <c:v>2020-10</c:v>
                </c:pt>
                <c:pt idx="4">
                  <c:v>2020-11</c:v>
                </c:pt>
                <c:pt idx="5">
                  <c:v>2020-12</c:v>
                </c:pt>
                <c:pt idx="6">
                  <c:v>2021-01</c:v>
                </c:pt>
                <c:pt idx="7">
                  <c:v>2021-02</c:v>
                </c:pt>
                <c:pt idx="8">
                  <c:v>2021-03</c:v>
                </c:pt>
                <c:pt idx="9">
                  <c:v>2021-04</c:v>
                </c:pt>
                <c:pt idx="10">
                  <c:v>2021-05</c:v>
                </c:pt>
                <c:pt idx="11">
                  <c:v>2021-06</c:v>
                </c:pt>
                <c:pt idx="12">
                  <c:v>2021-07</c:v>
                </c:pt>
                <c:pt idx="13">
                  <c:v>2021-08</c:v>
                </c:pt>
                <c:pt idx="14">
                  <c:v>2021-09</c:v>
                </c:pt>
                <c:pt idx="15">
                  <c:v>2021-10</c:v>
                </c:pt>
                <c:pt idx="16">
                  <c:v>2021-11</c:v>
                </c:pt>
                <c:pt idx="17">
                  <c:v>2021-12</c:v>
                </c:pt>
                <c:pt idx="18">
                  <c:v>2022-01</c:v>
                </c:pt>
                <c:pt idx="19">
                  <c:v>2022-02</c:v>
                </c:pt>
                <c:pt idx="20">
                  <c:v>2022-03</c:v>
                </c:pt>
                <c:pt idx="21">
                  <c:v>2022-04</c:v>
                </c:pt>
                <c:pt idx="22">
                  <c:v>2022-05</c:v>
                </c:pt>
                <c:pt idx="23">
                  <c:v>2022-06</c:v>
                </c:pt>
              </c:strCache>
            </c:strRef>
          </c:cat>
          <c:val>
            <c:numRef>
              <c:f>Blad1!$B$2:$B$26</c:f>
              <c:numCache>
                <c:formatCode>General</c:formatCode>
                <c:ptCount val="24"/>
                <c:pt idx="0">
                  <c:v>10.492020487804879</c:v>
                </c:pt>
                <c:pt idx="1">
                  <c:v>11.32991950207469</c:v>
                </c:pt>
                <c:pt idx="2">
                  <c:v>10.91632439024391</c:v>
                </c:pt>
                <c:pt idx="3">
                  <c:v>11.9869903125</c:v>
                </c:pt>
                <c:pt idx="4">
                  <c:v>9.9349455357142862</c:v>
                </c:pt>
                <c:pt idx="5">
                  <c:v>12.62851214574899</c:v>
                </c:pt>
                <c:pt idx="6">
                  <c:v>11.902546616541359</c:v>
                </c:pt>
                <c:pt idx="7">
                  <c:v>12.25737773584906</c:v>
                </c:pt>
                <c:pt idx="8">
                  <c:v>10.804641830065361</c:v>
                </c:pt>
                <c:pt idx="9">
                  <c:v>11.32359880952381</c:v>
                </c:pt>
                <c:pt idx="10">
                  <c:v>10.93052873134328</c:v>
                </c:pt>
                <c:pt idx="11">
                  <c:v>11.627339147286831</c:v>
                </c:pt>
                <c:pt idx="12">
                  <c:v>11.41289307692308</c:v>
                </c:pt>
                <c:pt idx="13">
                  <c:v>11.4811695473251</c:v>
                </c:pt>
                <c:pt idx="14">
                  <c:v>11.140934074074069</c:v>
                </c:pt>
                <c:pt idx="15">
                  <c:v>10.533535734870309</c:v>
                </c:pt>
                <c:pt idx="16">
                  <c:v>9.547929888268154</c:v>
                </c:pt>
                <c:pt idx="17">
                  <c:v>11.37905892857143</c:v>
                </c:pt>
                <c:pt idx="18">
                  <c:v>9.6930986149584513</c:v>
                </c:pt>
                <c:pt idx="19">
                  <c:v>9.6089234159779604</c:v>
                </c:pt>
                <c:pt idx="20">
                  <c:v>8.8431797802197742</c:v>
                </c:pt>
                <c:pt idx="21">
                  <c:v>10.06117807017543</c:v>
                </c:pt>
                <c:pt idx="22">
                  <c:v>10.566163666666659</c:v>
                </c:pt>
                <c:pt idx="23">
                  <c:v>10.49510924657533</c:v>
                </c:pt>
              </c:numCache>
            </c:numRef>
          </c:val>
          <c:extLst>
            <c:ext xmlns:c16="http://schemas.microsoft.com/office/drawing/2014/chart" uri="{C3380CC4-5D6E-409C-BE32-E72D297353CC}">
              <c16:uniqueId val="{00000000-3D22-41A7-BB30-F2ADD25EC879}"/>
            </c:ext>
          </c:extLst>
        </c:ser>
        <c:dLbls>
          <c:dLblPos val="outEnd"/>
          <c:showLegendKey val="0"/>
          <c:showVal val="1"/>
          <c:showCatName val="0"/>
          <c:showSerName val="0"/>
          <c:showPercent val="0"/>
          <c:showBubbleSize val="0"/>
        </c:dLbls>
        <c:gapWidth val="150"/>
        <c:axId val="592354888"/>
        <c:axId val="592361776"/>
      </c:barChart>
      <c:catAx>
        <c:axId val="592354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none" spc="0" normalizeH="0" baseline="0">
                <a:solidFill>
                  <a:schemeClr val="tx1">
                    <a:lumMod val="65000"/>
                    <a:lumOff val="35000"/>
                  </a:schemeClr>
                </a:solidFill>
                <a:latin typeface="+mn-lt"/>
                <a:ea typeface="+mn-ea"/>
                <a:cs typeface="+mn-cs"/>
              </a:defRPr>
            </a:pPr>
            <a:endParaRPr lang="nl-NL"/>
          </a:p>
        </c:txPr>
        <c:crossAx val="592361776"/>
        <c:crosses val="autoZero"/>
        <c:auto val="1"/>
        <c:lblAlgn val="ctr"/>
        <c:lblOffset val="100"/>
        <c:noMultiLvlLbl val="0"/>
      </c:catAx>
      <c:valAx>
        <c:axId val="59236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nl-NL"/>
                  <a:t>dUUR</a:t>
                </a:r>
              </a:p>
            </c:rich>
          </c:tx>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nl-NL"/>
          </a:p>
        </c:txPr>
        <c:crossAx val="592354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429EE-F576-49E8-B1E0-4726B95E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1606</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cctg</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 Els te</dc:creator>
  <cp:keywords/>
  <dc:description/>
  <cp:lastModifiedBy>Langedijk, Wouter</cp:lastModifiedBy>
  <cp:revision>2</cp:revision>
  <dcterms:created xsi:type="dcterms:W3CDTF">2022-07-13T11:01:00Z</dcterms:created>
  <dcterms:modified xsi:type="dcterms:W3CDTF">2022-07-13T11:01:00Z</dcterms:modified>
</cp:coreProperties>
</file>