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CB05F" w14:textId="77777777" w:rsidR="00966AE7" w:rsidRDefault="00966AE7"/>
    <w:p w14:paraId="3FD6FD96" w14:textId="48BD4E18" w:rsidR="00966AE7" w:rsidRPr="00894A3A" w:rsidRDefault="00894A3A">
      <w:pPr>
        <w:pStyle w:val="Kop2"/>
        <w:spacing w:before="199" w:after="199" w:line="240" w:lineRule="auto"/>
      </w:pPr>
      <w:r>
        <w:t xml:space="preserve">CONCEPTOVEREENKOMST </w:t>
      </w:r>
      <w:r w:rsidRPr="00894A3A">
        <w:rPr>
          <w:i/>
          <w:iCs/>
          <w:sz w:val="40"/>
          <w:szCs w:val="22"/>
        </w:rPr>
        <w:t xml:space="preserve">ten behoeve van de </w:t>
      </w:r>
      <w:r w:rsidR="00715240">
        <w:rPr>
          <w:i/>
          <w:iCs/>
          <w:sz w:val="40"/>
          <w:szCs w:val="22"/>
        </w:rPr>
        <w:t>r</w:t>
      </w:r>
      <w:r w:rsidRPr="00894A3A">
        <w:rPr>
          <w:i/>
          <w:iCs/>
          <w:sz w:val="40"/>
          <w:szCs w:val="22"/>
        </w:rPr>
        <w:t xml:space="preserve">egie-en </w:t>
      </w:r>
      <w:r w:rsidR="00715240">
        <w:rPr>
          <w:i/>
          <w:iCs/>
          <w:sz w:val="40"/>
          <w:szCs w:val="22"/>
        </w:rPr>
        <w:t>b</w:t>
      </w:r>
      <w:r w:rsidRPr="00894A3A">
        <w:rPr>
          <w:i/>
          <w:iCs/>
          <w:sz w:val="40"/>
          <w:szCs w:val="22"/>
        </w:rPr>
        <w:t>ackoffice-</w:t>
      </w:r>
      <w:r w:rsidR="00715240">
        <w:rPr>
          <w:i/>
          <w:iCs/>
          <w:sz w:val="40"/>
          <w:szCs w:val="22"/>
        </w:rPr>
        <w:t>a</w:t>
      </w:r>
      <w:r w:rsidRPr="00894A3A">
        <w:rPr>
          <w:i/>
          <w:iCs/>
          <w:sz w:val="40"/>
          <w:szCs w:val="22"/>
        </w:rPr>
        <w:t>pplicatie voor de ondersteuning van het Sociaal Domein</w:t>
      </w:r>
    </w:p>
    <w:p w14:paraId="4E509654" w14:textId="3C7EAD6D" w:rsidR="00966AE7" w:rsidRDefault="00894A3A">
      <w:pPr>
        <w:spacing w:before="239" w:after="239" w:line="240" w:lineRule="auto"/>
        <w:textAlignment w:val="top"/>
      </w:pPr>
      <w:r>
        <w:rPr>
          <w:rFonts w:eastAsia="Calibri" w:cs="Calibri"/>
          <w:b/>
          <w:bCs/>
        </w:rPr>
        <w:t>Ondergetekenden</w:t>
      </w:r>
    </w:p>
    <w:p w14:paraId="04A403A3" w14:textId="77777777" w:rsidR="00966AE7" w:rsidRDefault="00894A3A">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Onbekend</w:t>
      </w:r>
      <w:r>
        <w:rPr>
          <w:rFonts w:eastAsia="Calibri" w:cs="Calibri"/>
        </w:rPr>
        <w:t xml:space="preserve">, te dezen rechtsgeldig vertegenwoordigd door </w:t>
      </w:r>
      <w:r>
        <w:rPr>
          <w:rFonts w:eastAsia="Calibri" w:cs="Calibri"/>
          <w:i/>
          <w:iCs/>
        </w:rPr>
        <w:t>Naam</w:t>
      </w:r>
      <w:r>
        <w:rPr>
          <w:rFonts w:eastAsia="Calibri" w:cs="Calibri"/>
        </w:rPr>
        <w:t xml:space="preserve">, </w:t>
      </w:r>
      <w:r>
        <w:rPr>
          <w:rFonts w:eastAsia="Calibri" w:cs="Calibri"/>
          <w:i/>
          <w:iCs/>
        </w:rPr>
        <w:t>Functie</w:t>
      </w:r>
      <w:r>
        <w:rPr>
          <w:rFonts w:eastAsia="Calibri" w:cs="Calibri"/>
        </w:rPr>
        <w:t>, hierna te noemen "</w:t>
      </w:r>
      <w:r>
        <w:rPr>
          <w:rFonts w:eastAsia="Calibri" w:cs="Calibri"/>
          <w:b/>
          <w:bCs/>
        </w:rPr>
        <w:t>Opdrachtgever</w:t>
      </w:r>
      <w:r>
        <w:rPr>
          <w:rFonts w:eastAsia="Calibri" w:cs="Calibri"/>
        </w:rPr>
        <w:t>";</w:t>
      </w:r>
    </w:p>
    <w:p w14:paraId="232C4601" w14:textId="77777777" w:rsidR="00966AE7" w:rsidRDefault="00894A3A">
      <w:pPr>
        <w:spacing w:before="239" w:after="239" w:line="240" w:lineRule="auto"/>
        <w:textAlignment w:val="top"/>
      </w:pPr>
      <w:r>
        <w:rPr>
          <w:rFonts w:eastAsia="Calibri" w:cs="Calibri"/>
          <w:i/>
          <w:iCs/>
        </w:rPr>
        <w:t>en</w:t>
      </w:r>
    </w:p>
    <w:p w14:paraId="74865A45" w14:textId="77777777" w:rsidR="00966AE7" w:rsidRDefault="00894A3A">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6141F4F6" w14:textId="77777777" w:rsidR="00966AE7" w:rsidRDefault="00894A3A">
      <w:pPr>
        <w:spacing w:before="239" w:after="239" w:line="240" w:lineRule="auto"/>
        <w:textAlignment w:val="top"/>
      </w:pPr>
      <w:r>
        <w:rPr>
          <w:rFonts w:eastAsia="Calibri" w:cs="Calibri"/>
          <w:i/>
          <w:iCs/>
        </w:rPr>
        <w:t>tezamen hierna verder aan te duiden als "partijen" dan wel afzonderlijk als "partij",</w:t>
      </w:r>
    </w:p>
    <w:p w14:paraId="3A5F70C9" w14:textId="77777777" w:rsidR="00966AE7" w:rsidRDefault="00894A3A">
      <w:pPr>
        <w:spacing w:before="239" w:after="239" w:line="240" w:lineRule="auto"/>
        <w:textAlignment w:val="top"/>
      </w:pPr>
      <w:r>
        <w:rPr>
          <w:rFonts w:eastAsia="Calibri" w:cs="Calibri"/>
          <w:b/>
          <w:bCs/>
        </w:rPr>
        <w:t>overwegende dat:</w:t>
      </w:r>
    </w:p>
    <w:p w14:paraId="7A76ACAD" w14:textId="77777777" w:rsidR="00966AE7" w:rsidRDefault="00894A3A">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13F5421D" w14:textId="77777777" w:rsidR="00966AE7" w:rsidRDefault="00894A3A">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42F60004" w14:textId="77777777" w:rsidR="00966AE7" w:rsidRDefault="00894A3A">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726B7D1B" w14:textId="77777777" w:rsidR="00966AE7" w:rsidRDefault="00894A3A">
      <w:pPr>
        <w:spacing w:before="239" w:after="239" w:line="240" w:lineRule="auto"/>
        <w:textAlignment w:val="top"/>
      </w:pPr>
      <w:r>
        <w:rPr>
          <w:rFonts w:eastAsia="Calibri" w:cs="Calibri"/>
          <w:b/>
          <w:bCs/>
        </w:rPr>
        <w:t>zijn als volgt overeengekomen:</w:t>
      </w:r>
    </w:p>
    <w:p w14:paraId="20AB64FA" w14:textId="77777777" w:rsidR="00966AE7" w:rsidRDefault="00894A3A">
      <w:pPr>
        <w:spacing w:before="239" w:after="239" w:line="240" w:lineRule="auto"/>
        <w:textAlignment w:val="top"/>
      </w:pPr>
      <w:r>
        <w:rPr>
          <w:rFonts w:eastAsia="Calibri" w:cs="Calibri"/>
          <w:b/>
          <w:bCs/>
        </w:rPr>
        <w:t>1. Voorwerp van de Overeenkomst</w:t>
      </w:r>
      <w:r>
        <w:rPr>
          <w:rFonts w:eastAsia="Calibri" w:cs="Calibri"/>
        </w:rPr>
        <w:br/>
      </w:r>
      <w:commentRangeStart w:id="0"/>
      <w:r>
        <w:rPr>
          <w:rFonts w:eastAsia="Calibri" w:cs="Calibri"/>
        </w:rPr>
        <w:t>1.1. Leverancier verplicht zich tot het leveren van de ICT Prestatie zoals beschreven in:</w:t>
      </w:r>
      <w:commentRangeEnd w:id="0"/>
      <w:r>
        <w:rPr>
          <w:rStyle w:val="Verwijzingopmerking"/>
        </w:rPr>
        <w:commentReference w:id="0"/>
      </w:r>
    </w:p>
    <w:p w14:paraId="6A4DA183" w14:textId="77777777" w:rsidR="00966AE7" w:rsidRDefault="00894A3A">
      <w:pPr>
        <w:numPr>
          <w:ilvl w:val="0"/>
          <w:numId w:val="4"/>
        </w:numPr>
        <w:spacing w:line="240" w:lineRule="auto"/>
        <w:rPr>
          <w:rFonts w:ascii="Calibri" w:eastAsia="Calibri" w:hAnsi="Calibri" w:cs="Calibri"/>
        </w:rPr>
      </w:pPr>
      <w:r>
        <w:rPr>
          <w:rFonts w:eastAsia="Calibri" w:cs="Calibri"/>
          <w:color w:val="000000"/>
        </w:rPr>
        <w:t>GIBIT 2020;</w:t>
      </w:r>
    </w:p>
    <w:p w14:paraId="3F39FE80" w14:textId="77777777" w:rsidR="00966AE7" w:rsidRDefault="00894A3A">
      <w:pPr>
        <w:numPr>
          <w:ilvl w:val="0"/>
          <w:numId w:val="4"/>
        </w:numPr>
        <w:spacing w:line="240" w:lineRule="auto"/>
        <w:rPr>
          <w:rFonts w:ascii="Calibri" w:eastAsia="Calibri" w:hAnsi="Calibri" w:cs="Calibri"/>
        </w:rPr>
      </w:pPr>
      <w:r>
        <w:rPr>
          <w:rFonts w:eastAsia="Calibri" w:cs="Calibri"/>
          <w:color w:val="000000"/>
        </w:rPr>
        <w:t>De Nota van Inlichtingen;</w:t>
      </w:r>
    </w:p>
    <w:p w14:paraId="2EE53B29" w14:textId="77777777" w:rsidR="00966AE7" w:rsidRDefault="00894A3A">
      <w:pPr>
        <w:numPr>
          <w:ilvl w:val="0"/>
          <w:numId w:val="4"/>
        </w:numPr>
        <w:spacing w:line="240" w:lineRule="auto"/>
        <w:rPr>
          <w:rFonts w:ascii="Calibri" w:eastAsia="Calibri" w:hAnsi="Calibri" w:cs="Calibri"/>
        </w:rPr>
      </w:pPr>
      <w:r>
        <w:rPr>
          <w:rFonts w:eastAsia="Calibri" w:cs="Calibri"/>
          <w:color w:val="000000"/>
        </w:rPr>
        <w:t>Het Beschrijvend Document;</w:t>
      </w:r>
    </w:p>
    <w:p w14:paraId="2B1B5263" w14:textId="77777777" w:rsidR="00966AE7" w:rsidRDefault="00894A3A">
      <w:pPr>
        <w:numPr>
          <w:ilvl w:val="0"/>
          <w:numId w:val="4"/>
        </w:numPr>
        <w:spacing w:line="240" w:lineRule="auto"/>
        <w:rPr>
          <w:rFonts w:ascii="Calibri" w:eastAsia="Calibri" w:hAnsi="Calibri" w:cs="Calibri"/>
        </w:rPr>
      </w:pPr>
      <w:r>
        <w:rPr>
          <w:rFonts w:eastAsia="Calibri" w:cs="Calibri"/>
          <w:color w:val="000000"/>
        </w:rPr>
        <w:t>De Offerte van de Leverancier.</w:t>
      </w:r>
    </w:p>
    <w:p w14:paraId="5234662C" w14:textId="77777777" w:rsidR="00966AE7" w:rsidRDefault="00894A3A">
      <w:pPr>
        <w:spacing w:before="239" w:after="239" w:line="240" w:lineRule="auto"/>
        <w:textAlignment w:val="top"/>
      </w:pPr>
      <w:r>
        <w:rPr>
          <w:rFonts w:eastAsia="Calibri" w:cs="Calibri"/>
          <w:color w:val="000000"/>
          <w:shd w:val="clear" w:color="auto" w:fill="FFFFFF"/>
        </w:rPr>
        <w:t>1.2.</w:t>
      </w:r>
      <w:r>
        <w:rPr>
          <w:rFonts w:eastAsia="Calibri" w:cs="Calibri"/>
        </w:rPr>
        <w:t xml:space="preserve"> Bovengenoemde bijlagen zijn opgenomen als bijlage en reeds eerder verstrekt aan Leverancier (tijdens de aanbestedingsprocedure) en derhalve in diens bezit.</w:t>
      </w:r>
      <w:r>
        <w:rPr>
          <w:rFonts w:eastAsia="Calibri" w:cs="Calibri"/>
          <w:color w:val="000000"/>
          <w:shd w:val="clear" w:color="auto" w:fill="FFFFFF"/>
        </w:rPr>
        <w:br/>
        <w:t xml:space="preserve">1.3. De in het eerste lid bedoelde activiteiten zullen plaatsvinden onder de voorwaarden als </w:t>
      </w:r>
      <w:r>
        <w:rPr>
          <w:rFonts w:eastAsia="Calibri" w:cs="Calibri"/>
          <w:color w:val="000000"/>
          <w:shd w:val="clear" w:color="auto" w:fill="FFFFFF"/>
        </w:rPr>
        <w:lastRenderedPageBreak/>
        <w:t>beschreven in het onderhavige document en de hierin genoemde bijlagen (hierna gezamenlijk: "de Overeenkomst").</w:t>
      </w:r>
    </w:p>
    <w:p w14:paraId="3F408764" w14:textId="77777777" w:rsidR="00966AE7" w:rsidRDefault="00894A3A">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genoemde documenten.</w:t>
      </w:r>
    </w:p>
    <w:p w14:paraId="2996E644" w14:textId="77777777" w:rsidR="00966AE7" w:rsidRDefault="00894A3A">
      <w:pPr>
        <w:spacing w:before="239" w:after="239" w:line="240" w:lineRule="auto"/>
        <w:textAlignment w:val="top"/>
      </w:pPr>
      <w:r>
        <w:rPr>
          <w:rFonts w:eastAsia="Calibri" w:cs="Calibri"/>
          <w:b/>
          <w:bCs/>
        </w:rPr>
        <w:t>3. Gemeentelijke ICT-Kwaliteitsnormen, Interoperabiliteitseisen, normen en standaarden</w:t>
      </w:r>
      <w:r>
        <w:rPr>
          <w:rFonts w:eastAsia="Calibri" w:cs="Calibri"/>
        </w:rPr>
        <w:br/>
        <w:t>3.1.  De ICT-Prestatie zal gedurende de looptijd van de Overeenkomst voor de volgende ICT-kwaliteitsgebieden blijven voldoen aan de Gemeentelijke ICT-Kwaliteitsnormen:</w:t>
      </w:r>
    </w:p>
    <w:p w14:paraId="1D0C7780" w14:textId="77777777" w:rsidR="00966AE7" w:rsidRDefault="00894A3A">
      <w:pPr>
        <w:numPr>
          <w:ilvl w:val="0"/>
          <w:numId w:val="4"/>
        </w:numPr>
        <w:spacing w:line="240" w:lineRule="auto"/>
        <w:rPr>
          <w:rFonts w:ascii="Calibri" w:eastAsia="Calibri" w:hAnsi="Calibri" w:cs="Calibri"/>
        </w:rPr>
      </w:pPr>
      <w:r>
        <w:rPr>
          <w:rFonts w:eastAsia="Calibri" w:cs="Calibri"/>
        </w:rPr>
        <w:t>Architectuur;</w:t>
      </w:r>
    </w:p>
    <w:p w14:paraId="02513734" w14:textId="77777777" w:rsidR="00966AE7" w:rsidRDefault="00894A3A">
      <w:pPr>
        <w:numPr>
          <w:ilvl w:val="0"/>
          <w:numId w:val="4"/>
        </w:numPr>
        <w:spacing w:line="240" w:lineRule="auto"/>
        <w:rPr>
          <w:rFonts w:ascii="Calibri" w:eastAsia="Calibri" w:hAnsi="Calibri" w:cs="Calibri"/>
        </w:rPr>
      </w:pPr>
      <w:r>
        <w:rPr>
          <w:rFonts w:eastAsia="Calibri" w:cs="Calibri"/>
        </w:rPr>
        <w:t>Interoperabiliteit;</w:t>
      </w:r>
    </w:p>
    <w:p w14:paraId="00BF873B" w14:textId="77777777" w:rsidR="00966AE7" w:rsidRDefault="00894A3A">
      <w:pPr>
        <w:numPr>
          <w:ilvl w:val="0"/>
          <w:numId w:val="4"/>
        </w:numPr>
        <w:spacing w:line="240" w:lineRule="auto"/>
        <w:rPr>
          <w:rFonts w:ascii="Calibri" w:eastAsia="Calibri" w:hAnsi="Calibri" w:cs="Calibri"/>
        </w:rPr>
      </w:pPr>
      <w:r>
        <w:rPr>
          <w:rFonts w:eastAsia="Calibri" w:cs="Calibri"/>
        </w:rPr>
        <w:t>Informatiebeveiliging en privacy;</w:t>
      </w:r>
    </w:p>
    <w:p w14:paraId="4EB3A4E6" w14:textId="77777777" w:rsidR="00966AE7" w:rsidRDefault="00894A3A">
      <w:pPr>
        <w:numPr>
          <w:ilvl w:val="0"/>
          <w:numId w:val="4"/>
        </w:numPr>
        <w:spacing w:line="240" w:lineRule="auto"/>
        <w:rPr>
          <w:rFonts w:ascii="Calibri" w:eastAsia="Calibri" w:hAnsi="Calibri" w:cs="Calibri"/>
        </w:rPr>
      </w:pPr>
      <w:proofErr w:type="spellStart"/>
      <w:r>
        <w:rPr>
          <w:rFonts w:eastAsia="Calibri" w:cs="Calibri"/>
        </w:rPr>
        <w:t>Dataportabiliteit</w:t>
      </w:r>
      <w:proofErr w:type="spellEnd"/>
      <w:r>
        <w:rPr>
          <w:rFonts w:eastAsia="Calibri" w:cs="Calibri"/>
        </w:rPr>
        <w:t>;</w:t>
      </w:r>
    </w:p>
    <w:p w14:paraId="5CC9DA72" w14:textId="77777777" w:rsidR="00966AE7" w:rsidRDefault="00894A3A">
      <w:pPr>
        <w:numPr>
          <w:ilvl w:val="0"/>
          <w:numId w:val="4"/>
        </w:numPr>
        <w:spacing w:line="240" w:lineRule="auto"/>
        <w:rPr>
          <w:rFonts w:ascii="Calibri" w:eastAsia="Calibri" w:hAnsi="Calibri" w:cs="Calibri"/>
        </w:rPr>
      </w:pPr>
      <w:r>
        <w:rPr>
          <w:rFonts w:eastAsia="Calibri" w:cs="Calibri"/>
        </w:rPr>
        <w:t>Toegankelijkheid;</w:t>
      </w:r>
    </w:p>
    <w:p w14:paraId="46CE3EC6" w14:textId="77777777" w:rsidR="00966AE7" w:rsidRDefault="00894A3A">
      <w:pPr>
        <w:numPr>
          <w:ilvl w:val="0"/>
          <w:numId w:val="4"/>
        </w:numPr>
        <w:spacing w:line="240" w:lineRule="auto"/>
        <w:rPr>
          <w:rFonts w:ascii="Calibri" w:eastAsia="Calibri" w:hAnsi="Calibri" w:cs="Calibri"/>
        </w:rPr>
      </w:pPr>
      <w:r>
        <w:rPr>
          <w:rFonts w:eastAsia="Calibri" w:cs="Calibri"/>
        </w:rPr>
        <w:t>Archivering;</w:t>
      </w:r>
    </w:p>
    <w:p w14:paraId="714B1954" w14:textId="77777777" w:rsidR="00966AE7" w:rsidRDefault="00894A3A">
      <w:pPr>
        <w:numPr>
          <w:ilvl w:val="0"/>
          <w:numId w:val="4"/>
        </w:numPr>
        <w:spacing w:line="240" w:lineRule="auto"/>
        <w:rPr>
          <w:rFonts w:ascii="Calibri" w:eastAsia="Calibri" w:hAnsi="Calibri" w:cs="Calibri"/>
        </w:rPr>
      </w:pPr>
      <w:r>
        <w:rPr>
          <w:rFonts w:eastAsia="Calibri" w:cs="Calibri"/>
        </w:rPr>
        <w:t>Infrastructuur;</w:t>
      </w:r>
    </w:p>
    <w:p w14:paraId="69179ED4" w14:textId="77777777" w:rsidR="00966AE7" w:rsidRDefault="00894A3A">
      <w:pPr>
        <w:numPr>
          <w:ilvl w:val="0"/>
          <w:numId w:val="4"/>
        </w:numPr>
        <w:spacing w:line="240" w:lineRule="auto"/>
        <w:rPr>
          <w:rFonts w:ascii="Calibri" w:eastAsia="Calibri" w:hAnsi="Calibri" w:cs="Calibri"/>
        </w:rPr>
      </w:pPr>
      <w:r>
        <w:rPr>
          <w:rFonts w:eastAsia="Calibri" w:cs="Calibri"/>
        </w:rPr>
        <w:t>Documentatie;</w:t>
      </w:r>
    </w:p>
    <w:p w14:paraId="4A3519D6" w14:textId="77777777" w:rsidR="00966AE7" w:rsidRDefault="00894A3A">
      <w:pPr>
        <w:numPr>
          <w:ilvl w:val="0"/>
          <w:numId w:val="4"/>
        </w:numPr>
        <w:spacing w:line="240" w:lineRule="auto"/>
        <w:rPr>
          <w:rFonts w:ascii="Calibri" w:eastAsia="Calibri" w:hAnsi="Calibri" w:cs="Calibri"/>
        </w:rPr>
      </w:pPr>
      <w:r>
        <w:rPr>
          <w:rFonts w:eastAsia="Calibri" w:cs="Calibri"/>
        </w:rPr>
        <w:t>E-facturering.</w:t>
      </w:r>
    </w:p>
    <w:p w14:paraId="722CF304" w14:textId="77777777" w:rsidR="00966AE7" w:rsidRDefault="00894A3A">
      <w:pPr>
        <w:spacing w:before="239" w:after="239" w:line="240" w:lineRule="auto"/>
        <w:textAlignment w:val="top"/>
      </w:pPr>
      <w:r>
        <w:rPr>
          <w:rFonts w:eastAsia="Calibri" w:cs="Calibri"/>
          <w:b/>
          <w:bCs/>
        </w:rPr>
        <w:t>4. Looptijd</w:t>
      </w:r>
      <w:r>
        <w:rPr>
          <w:rFonts w:eastAsia="Calibri" w:cs="Calibri"/>
        </w:rPr>
        <w:br/>
        <w:t xml:space="preserve">4.1. De Overeenkomst treedt in werking op </w:t>
      </w:r>
      <w:r>
        <w:rPr>
          <w:rFonts w:eastAsia="Calibri" w:cs="Calibri"/>
          <w:i/>
          <w:iCs/>
        </w:rPr>
        <w:t>het moment waarop deze door beide partijen is ondertekend</w:t>
      </w:r>
      <w:r>
        <w:rPr>
          <w:rFonts w:eastAsia="Calibri" w:cs="Calibri"/>
        </w:rPr>
        <w:t>.</w:t>
      </w:r>
      <w:r>
        <w:rPr>
          <w:rFonts w:eastAsia="Calibri" w:cs="Calibri"/>
        </w:rPr>
        <w:br/>
        <w:t xml:space="preserve">4.2. </w:t>
      </w:r>
      <w:r>
        <w:rPr>
          <w:rFonts w:eastAsia="Calibri" w:cs="Calibri"/>
          <w:i/>
          <w:iCs/>
          <w:u w:val="single" w:color="000000"/>
        </w:rPr>
        <w:t>De Overeenkomst heeft een looptijd tot vier (4) jaar na inwerkingtreding overeenkomstig lid 1 van dit artikel</w:t>
      </w:r>
      <w:r>
        <w:rPr>
          <w:rFonts w:eastAsia="Calibri" w:cs="Calibri"/>
        </w:rPr>
        <w:t>.</w:t>
      </w:r>
      <w:r>
        <w:rPr>
          <w:rFonts w:eastAsia="Calibri" w:cs="Calibri"/>
        </w:rPr>
        <w:br/>
        <w:t xml:space="preserve">4.3. </w:t>
      </w: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zes (6) maanden</w:t>
      </w:r>
      <w:r>
        <w:rPr>
          <w:rFonts w:eastAsia="Calibri" w:cs="Calibri"/>
        </w:rPr>
        <w:t xml:space="preserve"> </w:t>
      </w:r>
      <w:r>
        <w:rPr>
          <w:rFonts w:eastAsia="Calibri" w:cs="Calibri"/>
          <w:i/>
          <w:iCs/>
        </w:rPr>
        <w:t xml:space="preserve">voor einde looptijd </w:t>
      </w:r>
      <w:r w:rsidRPr="00D83F3B">
        <w:rPr>
          <w:rFonts w:eastAsia="Calibri" w:cs="Calibri"/>
          <w:i/>
          <w:iCs/>
        </w:rPr>
        <w:t>aan de Overeenkomst te verlengen</w:t>
      </w:r>
      <w:r w:rsidRPr="00D83F3B">
        <w:rPr>
          <w:rFonts w:eastAsia="Calibri" w:cs="Calibri"/>
        </w:rPr>
        <w:t>. </w:t>
      </w:r>
      <w:r w:rsidRPr="00D83F3B">
        <w:rPr>
          <w:rFonts w:eastAsia="Calibri" w:cs="Calibri"/>
          <w:i/>
          <w:iCs/>
        </w:rPr>
        <w:br/>
        <w:t>4.4.</w:t>
      </w:r>
      <w:r w:rsidRPr="00D83F3B">
        <w:rPr>
          <w:rFonts w:eastAsia="Calibri" w:cs="Calibri"/>
        </w:rPr>
        <w:t xml:space="preserve"> </w:t>
      </w:r>
      <w:r w:rsidRPr="00D83F3B">
        <w:rPr>
          <w:rFonts w:eastAsia="Calibri" w:cs="Calibri"/>
          <w:i/>
          <w:iCs/>
        </w:rPr>
        <w:t>De Overeenkomst mag</w:t>
      </w:r>
      <w:r w:rsidRPr="00D83F3B">
        <w:rPr>
          <w:rFonts w:eastAsia="Calibri" w:cs="Calibri"/>
        </w:rPr>
        <w:t xml:space="preserve"> </w:t>
      </w:r>
      <w:r w:rsidRPr="00D83F3B">
        <w:rPr>
          <w:rFonts w:eastAsia="Calibri" w:cs="Calibri"/>
          <w:i/>
          <w:iCs/>
        </w:rPr>
        <w:t>maximaal tweemaal</w:t>
      </w:r>
      <w:r w:rsidRPr="00D83F3B">
        <w:rPr>
          <w:rFonts w:eastAsia="Calibri" w:cs="Calibri"/>
        </w:rPr>
        <w:t xml:space="preserve"> </w:t>
      </w:r>
      <w:r w:rsidRPr="00D83F3B">
        <w:rPr>
          <w:rFonts w:eastAsia="Calibri" w:cs="Calibri"/>
          <w:i/>
          <w:iCs/>
        </w:rPr>
        <w:t>worden verlengd.</w:t>
      </w:r>
      <w:r w:rsidRPr="00D83F3B">
        <w:rPr>
          <w:rFonts w:eastAsia="Calibri" w:cs="Calibri"/>
        </w:rPr>
        <w:t> </w:t>
      </w:r>
      <w:r w:rsidRPr="00D83F3B">
        <w:rPr>
          <w:rFonts w:eastAsia="Calibri" w:cs="Calibri"/>
          <w:i/>
          <w:iCs/>
        </w:rPr>
        <w:br/>
        <w:t>4.5. Bij verlenging wordt de Overeenkomst verlengd met een periode</w:t>
      </w:r>
      <w:r w:rsidRPr="00D83F3B">
        <w:rPr>
          <w:rFonts w:eastAsia="Calibri" w:cs="Calibri"/>
        </w:rPr>
        <w:t xml:space="preserve"> </w:t>
      </w:r>
      <w:r w:rsidRPr="00D83F3B">
        <w:rPr>
          <w:rFonts w:eastAsia="Calibri" w:cs="Calibri"/>
          <w:i/>
          <w:iCs/>
        </w:rPr>
        <w:t>van twee (2) jaar</w:t>
      </w:r>
      <w:r w:rsidRPr="00D83F3B">
        <w:rPr>
          <w:rFonts w:eastAsia="Calibri" w:cs="Calibri"/>
        </w:rPr>
        <w:t>.</w:t>
      </w:r>
      <w:r>
        <w:rPr>
          <w:rFonts w:eastAsia="Calibri" w:cs="Calibri"/>
          <w:i/>
          <w:iCs/>
        </w:rPr>
        <w:br/>
        <w:t>4.6. De looptijd van de Gebruiksrechten is</w:t>
      </w:r>
      <w:r>
        <w:rPr>
          <w:rFonts w:eastAsia="Calibri" w:cs="Calibri"/>
        </w:rPr>
        <w:t xml:space="preserve"> </w:t>
      </w:r>
      <w:r>
        <w:rPr>
          <w:rFonts w:eastAsia="Calibri" w:cs="Calibri"/>
          <w:i/>
          <w:iCs/>
        </w:rPr>
        <w:t>gelijk aan artikel 17.3 GIBIT 2020</w:t>
      </w:r>
      <w:r>
        <w:rPr>
          <w:rFonts w:eastAsia="Calibri" w:cs="Calibri"/>
        </w:rPr>
        <w:t>.</w:t>
      </w:r>
      <w:r>
        <w:rPr>
          <w:rFonts w:eastAsia="Calibri" w:cs="Calibri"/>
          <w:i/>
          <w:iCs/>
        </w:rPr>
        <w:br/>
        <w:t>4.7. De looptijd van de Hosting-diensten is</w:t>
      </w:r>
      <w:r>
        <w:rPr>
          <w:rFonts w:eastAsia="Calibri" w:cs="Calibri"/>
        </w:rPr>
        <w:t xml:space="preserve"> </w:t>
      </w:r>
      <w:r>
        <w:rPr>
          <w:rFonts w:eastAsia="Calibri" w:cs="Calibri"/>
          <w:i/>
          <w:iCs/>
        </w:rPr>
        <w:t>gelijk aan de looptijd van de Overeenkomst</w:t>
      </w:r>
      <w:r>
        <w:rPr>
          <w:rFonts w:eastAsia="Calibri" w:cs="Calibri"/>
        </w:rPr>
        <w:t>.</w:t>
      </w:r>
    </w:p>
    <w:p w14:paraId="4173DD35" w14:textId="77777777" w:rsidR="00966AE7" w:rsidRDefault="00894A3A">
      <w:pPr>
        <w:spacing w:before="239" w:after="239" w:line="240" w:lineRule="auto"/>
        <w:textAlignment w:val="top"/>
      </w:pPr>
      <w:r>
        <w:rPr>
          <w:rFonts w:eastAsia="Calibri" w:cs="Calibri"/>
        </w:rPr>
        <w:t>4.8. De volgende onderdelen van de ICT Prestatie worden voor wat betreft looptijd in ieder geval als afzonderlijke Overeenkomsten beschouwd in de zin van artikel 20.3 GIBIT 2020:</w:t>
      </w:r>
    </w:p>
    <w:p w14:paraId="14FA24BB" w14:textId="77777777" w:rsidR="00966AE7" w:rsidRDefault="00894A3A">
      <w:pPr>
        <w:numPr>
          <w:ilvl w:val="0"/>
          <w:numId w:val="4"/>
        </w:numPr>
        <w:spacing w:line="240" w:lineRule="auto"/>
        <w:rPr>
          <w:rFonts w:ascii="Calibri" w:eastAsia="Calibri" w:hAnsi="Calibri" w:cs="Calibri"/>
        </w:rPr>
      </w:pPr>
      <w:r>
        <w:rPr>
          <w:rFonts w:eastAsia="Calibri" w:cs="Calibri"/>
        </w:rPr>
        <w:t>Verwerkersovereenkomst.</w:t>
      </w:r>
    </w:p>
    <w:p w14:paraId="5B5FD1AE" w14:textId="77777777" w:rsidR="00966AE7" w:rsidRDefault="00894A3A">
      <w:pPr>
        <w:spacing w:before="239" w:after="239" w:line="240" w:lineRule="auto"/>
        <w:textAlignment w:val="top"/>
      </w:pPr>
      <w:r>
        <w:rPr>
          <w:rFonts w:eastAsia="Calibri" w:cs="Calibri"/>
          <w:b/>
          <w:bCs/>
        </w:rPr>
        <w:t>5. Implementatie</w:t>
      </w:r>
      <w:r>
        <w:rPr>
          <w:rFonts w:eastAsia="Calibri" w:cs="Calibri"/>
        </w:rPr>
        <w:br/>
        <w:t xml:space="preserve">5.1. </w:t>
      </w:r>
      <w:r>
        <w:rPr>
          <w:rFonts w:eastAsia="Calibri" w:cs="Calibri"/>
          <w:i/>
          <w:iCs/>
        </w:rPr>
        <w:t>De Implementatie geschiedt volgens een in nader overleg vast te stellen Implementatieplan</w:t>
      </w:r>
      <w:r>
        <w:rPr>
          <w:rFonts w:eastAsia="Calibri" w:cs="Calibri"/>
        </w:rPr>
        <w:t>.</w:t>
      </w:r>
      <w:r>
        <w:rPr>
          <w:rFonts w:eastAsia="Calibri" w:cs="Calibri"/>
        </w:rPr>
        <w:br/>
        <w:t xml:space="preserve">5.2. </w:t>
      </w:r>
      <w:r>
        <w:rPr>
          <w:rFonts w:eastAsia="Calibri" w:cs="Calibri"/>
          <w:i/>
          <w:iCs/>
        </w:rPr>
        <w:t>De Implementatie dient uiterlijk</w:t>
      </w:r>
      <w:r>
        <w:rPr>
          <w:rFonts w:eastAsia="Calibri" w:cs="Calibri"/>
        </w:rPr>
        <w:t xml:space="preserve"> </w:t>
      </w:r>
      <w:r>
        <w:rPr>
          <w:rFonts w:eastAsia="Calibri" w:cs="Calibri"/>
          <w:i/>
          <w:iCs/>
        </w:rPr>
        <w:t>op 30-12-2022 te zijn voltooid</w:t>
      </w:r>
      <w:r>
        <w:rPr>
          <w:rFonts w:eastAsia="Calibri" w:cs="Calibri"/>
        </w:rPr>
        <w:t>.</w:t>
      </w:r>
    </w:p>
    <w:p w14:paraId="05FBDF73" w14:textId="77777777" w:rsidR="00966AE7" w:rsidRDefault="00894A3A">
      <w:pPr>
        <w:spacing w:before="239" w:after="239" w:line="240" w:lineRule="auto"/>
        <w:textAlignment w:val="top"/>
      </w:pPr>
      <w:r>
        <w:rPr>
          <w:rFonts w:eastAsia="Calibri" w:cs="Calibri"/>
          <w:b/>
          <w:bCs/>
          <w:i/>
          <w:iCs/>
        </w:rPr>
        <w:t>6. Acceptatie</w:t>
      </w:r>
      <w:r>
        <w:rPr>
          <w:rFonts w:eastAsia="Calibri" w:cs="Calibri"/>
        </w:rPr>
        <w:br/>
        <w:t>6.1. De Acceptatieprocedure verloopt conform het opgestelde testprotocol in het Implementatieplan. </w:t>
      </w:r>
    </w:p>
    <w:p w14:paraId="2AB7ED16" w14:textId="77777777" w:rsidR="00966AE7" w:rsidRDefault="00894A3A">
      <w:pPr>
        <w:spacing w:before="239" w:after="239" w:line="240" w:lineRule="auto"/>
        <w:textAlignment w:val="top"/>
      </w:pPr>
      <w:r>
        <w:rPr>
          <w:rFonts w:eastAsia="Calibri" w:cs="Calibri"/>
          <w:b/>
          <w:bCs/>
        </w:rPr>
        <w:lastRenderedPageBreak/>
        <w:t>7. Onderhoud</w:t>
      </w:r>
      <w:r>
        <w:rPr>
          <w:rFonts w:eastAsia="Calibri" w:cs="Calibri"/>
        </w:rPr>
        <w:br/>
        <w:t>7.1. Het Onderhoud wordt verricht overeenkomstig:</w:t>
      </w:r>
    </w:p>
    <w:p w14:paraId="6D0F2235" w14:textId="77777777" w:rsidR="00966AE7" w:rsidRDefault="00894A3A">
      <w:pPr>
        <w:numPr>
          <w:ilvl w:val="0"/>
          <w:numId w:val="4"/>
        </w:numPr>
        <w:spacing w:line="240" w:lineRule="auto"/>
        <w:rPr>
          <w:rFonts w:ascii="Calibri" w:eastAsia="Calibri" w:hAnsi="Calibri" w:cs="Calibri"/>
        </w:rPr>
      </w:pPr>
      <w:r>
        <w:rPr>
          <w:rFonts w:eastAsia="Calibri" w:cs="Calibri"/>
          <w:i/>
          <w:iCs/>
        </w:rPr>
        <w:t>In een nader op te stellen service level agreement en een nader op te stellen onderhoudsovereenkomst. Artikel 8 GIBIT vormt voor onvoorziene omstandigheden het vangnet.</w:t>
      </w:r>
    </w:p>
    <w:p w14:paraId="78A03473" w14:textId="77777777" w:rsidR="00966AE7" w:rsidRDefault="00894A3A">
      <w:pPr>
        <w:spacing w:before="239" w:after="239" w:line="240" w:lineRule="auto"/>
        <w:textAlignment w:val="top"/>
      </w:pPr>
      <w:r>
        <w:rPr>
          <w:rFonts w:eastAsia="Calibri" w:cs="Calibri"/>
        </w:rPr>
        <w:t xml:space="preserve">7.2. </w:t>
      </w: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r>
        <w:rPr>
          <w:rFonts w:eastAsia="Calibri" w:cs="Calibri"/>
        </w:rPr>
        <w:t>.</w:t>
      </w:r>
    </w:p>
    <w:p w14:paraId="350920E1" w14:textId="77777777" w:rsidR="00966AE7" w:rsidRDefault="00894A3A">
      <w:pPr>
        <w:spacing w:before="239" w:after="239" w:line="240" w:lineRule="auto"/>
        <w:textAlignment w:val="top"/>
      </w:pPr>
      <w:r>
        <w:rPr>
          <w:rFonts w:eastAsia="Calibri" w:cs="Calibri"/>
          <w:b/>
          <w:bCs/>
        </w:rPr>
        <w:t>8. Gebruiksrechten</w:t>
      </w:r>
      <w:r>
        <w:rPr>
          <w:rFonts w:eastAsia="Calibri" w:cs="Calibri"/>
        </w:rPr>
        <w:br/>
        <w:t>8.1. Leverancier levert Gebruiksrechten zoals gespecificeerd in de in artikel 1.1. genoemde documenten.</w:t>
      </w:r>
      <w:r>
        <w:rPr>
          <w:rFonts w:eastAsia="Calibri" w:cs="Calibri"/>
          <w:i/>
          <w:iCs/>
        </w:rPr>
        <w:br/>
        <w:t xml:space="preserve">8.2. De ICT Prestatie maakt gebruik van </w:t>
      </w:r>
      <w:proofErr w:type="spellStart"/>
      <w:r>
        <w:rPr>
          <w:rFonts w:eastAsia="Calibri" w:cs="Calibri"/>
          <w:i/>
          <w:iCs/>
        </w:rPr>
        <w:t>Derdenprogrammatuur</w:t>
      </w:r>
      <w:proofErr w:type="spellEnd"/>
      <w:r>
        <w:rPr>
          <w:rFonts w:eastAsia="Calibri" w:cs="Calibri"/>
          <w:i/>
          <w:iCs/>
        </w:rPr>
        <w:t xml:space="preserve"> welke bij Leverancier betrokken wordt, zoals nader gespecificeerd</w:t>
      </w:r>
      <w:r>
        <w:rPr>
          <w:rFonts w:eastAsia="Calibri" w:cs="Calibri"/>
        </w:rPr>
        <w:t xml:space="preserve"> </w:t>
      </w:r>
      <w:r>
        <w:rPr>
          <w:rFonts w:eastAsia="Calibri" w:cs="Calibri"/>
          <w:i/>
          <w:iCs/>
          <w:u w:val="single" w:color="000000"/>
        </w:rPr>
        <w:t>in de offerte van Leverancier</w:t>
      </w:r>
      <w:r>
        <w:rPr>
          <w:rFonts w:eastAsia="Calibri" w:cs="Calibri"/>
        </w:rPr>
        <w:t>.</w:t>
      </w:r>
    </w:p>
    <w:p w14:paraId="3A3F3061" w14:textId="77777777" w:rsidR="00966AE7" w:rsidRDefault="00894A3A">
      <w:pPr>
        <w:spacing w:before="239" w:after="239" w:line="240" w:lineRule="auto"/>
        <w:textAlignment w:val="top"/>
      </w:pPr>
      <w:r>
        <w:rPr>
          <w:rFonts w:eastAsia="Calibri" w:cs="Calibri"/>
          <w:b/>
          <w:bCs/>
        </w:rPr>
        <w:t>9. Hosting</w:t>
      </w:r>
      <w:r>
        <w:rPr>
          <w:rFonts w:eastAsia="Calibri" w:cs="Calibri"/>
          <w:i/>
          <w:iCs/>
        </w:rPr>
        <w:br/>
        <w:t>9.1. Op de Hosting-diensten zijn de Service Levels van toepassing zoals omschreven in een service level agreement.</w:t>
      </w:r>
      <w:r>
        <w:rPr>
          <w:rFonts w:eastAsia="Calibri" w:cs="Calibri"/>
          <w:i/>
          <w:iCs/>
        </w:rPr>
        <w:br/>
        <w:t>9.2. 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14:paraId="252FCE82" w14:textId="77777777" w:rsidR="00966AE7" w:rsidRDefault="00894A3A">
      <w:pPr>
        <w:spacing w:before="239" w:after="239" w:line="240" w:lineRule="auto"/>
        <w:textAlignment w:val="top"/>
      </w:pPr>
      <w:r>
        <w:rPr>
          <w:rFonts w:eastAsia="Calibri" w:cs="Calibri"/>
          <w:b/>
          <w:bCs/>
        </w:rPr>
        <w:t>10. Exit-plan</w:t>
      </w:r>
      <w:r>
        <w:rPr>
          <w:rFonts w:eastAsia="Calibri" w:cs="Calibri"/>
        </w:rPr>
        <w:br/>
        <w:t xml:space="preserve">10.1. Leverancier verplicht zich reeds nu </w:t>
      </w:r>
      <w:r>
        <w:rPr>
          <w:rFonts w:eastAsia="Calibri" w:cs="Calibri"/>
          <w:b/>
          <w:bCs/>
        </w:rPr>
        <w:t>uiterlijk vóór 5 december 2022</w:t>
      </w:r>
      <w:r>
        <w:rPr>
          <w:rFonts w:eastAsia="Calibri" w:cs="Calibri"/>
        </w:rPr>
        <w:t xml:space="preserve"> een exit-plan als bedoeld in artikel 22 GIBIT 2020 op te stellen. </w:t>
      </w:r>
      <w:r>
        <w:rPr>
          <w:rFonts w:eastAsia="Calibri" w:cs="Calibri"/>
          <w:i/>
          <w:iCs/>
        </w:rPr>
        <w:t>Het exit-plan wordt nader uitgewerkt in</w:t>
      </w:r>
      <w:r>
        <w:rPr>
          <w:rFonts w:eastAsia="Calibri" w:cs="Calibri"/>
        </w:rPr>
        <w:t xml:space="preserve"> </w:t>
      </w:r>
      <w:r>
        <w:rPr>
          <w:rFonts w:eastAsia="Calibri" w:cs="Calibri"/>
          <w:i/>
          <w:iCs/>
        </w:rPr>
        <w:t>een na overleg op te stellen bijlage</w:t>
      </w:r>
      <w:r>
        <w:rPr>
          <w:rFonts w:eastAsia="Calibri" w:cs="Calibri"/>
        </w:rPr>
        <w:t>.</w:t>
      </w:r>
    </w:p>
    <w:p w14:paraId="36121FD4" w14:textId="77777777" w:rsidR="00966AE7" w:rsidRDefault="00894A3A">
      <w:pPr>
        <w:spacing w:before="239" w:after="239" w:line="240" w:lineRule="auto"/>
        <w:textAlignment w:val="top"/>
      </w:pPr>
      <w:r>
        <w:rPr>
          <w:rFonts w:eastAsia="Calibri" w:cs="Calibri"/>
          <w:b/>
          <w:bCs/>
        </w:rPr>
        <w:t>11. Verwerking van persoonsgegevens</w:t>
      </w:r>
      <w:r>
        <w:rPr>
          <w:rFonts w:eastAsia="Calibri" w:cs="Calibri"/>
        </w:rPr>
        <w:br/>
        <w:t>11.1. Leverancier handelt als verwerker in de zin van de Algemene verordening gegevensbescherming.</w:t>
      </w:r>
      <w:r>
        <w:rPr>
          <w:rFonts w:eastAsia="Calibri" w:cs="Calibri"/>
        </w:rPr>
        <w:br/>
        <w:t>11.2. De standaard Verwerkersovereenkomst is opgenomen in bijlage Verwerkersovereenkomst.</w:t>
      </w:r>
      <w:r>
        <w:rPr>
          <w:rFonts w:eastAsia="Calibri" w:cs="Calibri"/>
        </w:rPr>
        <w:br/>
        <w:t xml:space="preserve">11.3. 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proofErr w:type="spellStart"/>
      <w:r>
        <w:rPr>
          <w:rFonts w:eastAsia="Calibri" w:cs="Calibri"/>
        </w:rPr>
        <w:t>danwel</w:t>
      </w:r>
      <w:proofErr w:type="spellEnd"/>
      <w:r>
        <w:rPr>
          <w:rFonts w:eastAsia="Calibri" w:cs="Calibri"/>
        </w:rPr>
        <w:t xml:space="preserve"> vernietigen op de wijze als door de Opdrachtgever bepaald. De vernietiging moet, binnen nader overeen te komen termijn, uitgevoerd worden en hiervan wordt een verslag gemaakt. </w:t>
      </w:r>
      <w:r>
        <w:rPr>
          <w:rFonts w:eastAsia="Calibri" w:cs="Calibri"/>
        </w:rPr>
        <w:br/>
        <w:t xml:space="preserve">11.4. 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w:t>
      </w:r>
      <w:proofErr w:type="spellStart"/>
      <w:r>
        <w:rPr>
          <w:rFonts w:eastAsia="Calibri" w:cs="Calibri"/>
        </w:rPr>
        <w:t>danwel</w:t>
      </w:r>
      <w:proofErr w:type="spellEnd"/>
      <w:r>
        <w:rPr>
          <w:rFonts w:eastAsia="Calibri" w:cs="Calibri"/>
        </w:rPr>
        <w:t xml:space="preserve"> (laten) vernietigen, zoals in het vorige lid bepaald.</w:t>
      </w:r>
    </w:p>
    <w:p w14:paraId="705BD03E" w14:textId="77777777" w:rsidR="00966AE7" w:rsidRDefault="00894A3A">
      <w:pPr>
        <w:spacing w:before="239" w:after="239" w:line="240" w:lineRule="auto"/>
        <w:textAlignment w:val="top"/>
      </w:pPr>
      <w:r>
        <w:rPr>
          <w:rFonts w:eastAsia="Calibri" w:cs="Calibri"/>
          <w:b/>
          <w:bCs/>
        </w:rPr>
        <w:br/>
        <w:t>12. Vergoedingen</w:t>
      </w:r>
      <w:r>
        <w:rPr>
          <w:rFonts w:eastAsia="Calibri" w:cs="Calibri"/>
          <w:i/>
          <w:iCs/>
        </w:rPr>
        <w:br/>
        <w:t>12.1. 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12.2. De vergoeding voor de Gebruiksrechten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r>
      <w:r>
        <w:rPr>
          <w:rFonts w:eastAsia="Calibri" w:cs="Calibri"/>
          <w:i/>
          <w:iCs/>
        </w:rPr>
        <w:lastRenderedPageBreak/>
        <w:t>12.3. Na ingebruikname voor productieve doeleinden wordt</w:t>
      </w:r>
      <w:r>
        <w:rPr>
          <w:rFonts w:eastAsia="Calibri" w:cs="Calibri"/>
        </w:rPr>
        <w:t xml:space="preserve"> </w:t>
      </w:r>
      <w:r>
        <w:rPr>
          <w:rFonts w:eastAsia="Calibri" w:cs="Calibri"/>
          <w:i/>
          <w:iCs/>
        </w:rPr>
        <w:t>van de vergoeding voor de Gebruiksrechten opeisbaar.</w:t>
      </w:r>
      <w:r>
        <w:rPr>
          <w:rFonts w:eastAsia="Calibri" w:cs="Calibri"/>
          <w:i/>
          <w:iCs/>
        </w:rPr>
        <w:br/>
        <w:t>12.4. De vergoeding voor de Hosting-diensten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12.5. De vergoeding voor de exit-plan is nader gespecificeerd in</w:t>
      </w:r>
      <w:r>
        <w:rPr>
          <w:rFonts w:eastAsia="Calibri" w:cs="Calibri"/>
        </w:rPr>
        <w:t xml:space="preserve"> </w:t>
      </w:r>
      <w:r>
        <w:rPr>
          <w:rFonts w:eastAsia="Calibri" w:cs="Calibri"/>
          <w:i/>
          <w:iCs/>
        </w:rPr>
        <w:t>de offerte van Leverancier.</w:t>
      </w:r>
      <w:r>
        <w:rPr>
          <w:rFonts w:eastAsia="Calibri" w:cs="Calibri"/>
          <w:i/>
          <w:iCs/>
        </w:rPr>
        <w:br/>
        <w:t>12.6. De vergoeding voor de Implementatie is nader gespecificeerd in</w:t>
      </w:r>
      <w:r>
        <w:rPr>
          <w:rFonts w:eastAsia="Calibri" w:cs="Calibri"/>
        </w:rPr>
        <w:t xml:space="preserve"> </w:t>
      </w:r>
      <w:r>
        <w:rPr>
          <w:rFonts w:eastAsia="Calibri" w:cs="Calibri"/>
          <w:i/>
          <w:iCs/>
          <w:u w:val="single" w:color="000000"/>
        </w:rPr>
        <w:t>de offerte van Leverancier</w:t>
      </w:r>
      <w:r>
        <w:rPr>
          <w:rFonts w:eastAsia="Calibri" w:cs="Calibri"/>
        </w:rPr>
        <w:t>.</w:t>
      </w:r>
      <w:r>
        <w:rPr>
          <w:rFonts w:eastAsia="Calibri" w:cs="Calibri"/>
          <w:i/>
          <w:iCs/>
        </w:rPr>
        <w:br/>
        <w:t>12.7.</w:t>
      </w:r>
      <w:r>
        <w:rPr>
          <w:rFonts w:eastAsia="Calibri" w:cs="Calibri"/>
        </w:rPr>
        <w:t xml:space="preserve"> </w:t>
      </w:r>
      <w:r>
        <w:rPr>
          <w:rFonts w:eastAsia="Calibri" w:cs="Calibri"/>
          <w:i/>
          <w:iCs/>
        </w:rPr>
        <w:t>V</w:t>
      </w:r>
      <w:r>
        <w:rPr>
          <w:rFonts w:eastAsia="Calibri" w:cs="Calibri"/>
          <w:i/>
          <w:iCs/>
          <w:color w:val="333333"/>
          <w:shd w:val="clear" w:color="auto" w:fill="FFFFFF"/>
        </w:rPr>
        <w:t>an de totale Ve</w:t>
      </w:r>
      <w:r>
        <w:rPr>
          <w:rFonts w:eastAsia="Calibri" w:cs="Calibri"/>
          <w:i/>
          <w:iCs/>
        </w:rPr>
        <w:t>rgoeding is</w:t>
      </w:r>
      <w:r>
        <w:rPr>
          <w:rFonts w:eastAsia="Calibri" w:cs="Calibri"/>
        </w:rPr>
        <w:t xml:space="preserve"> </w:t>
      </w:r>
      <w:r>
        <w:rPr>
          <w:rFonts w:eastAsia="Calibri" w:cs="Calibri"/>
          <w:i/>
          <w:iCs/>
          <w:u w:val="single" w:color="000000"/>
        </w:rPr>
        <w:t>dertig (30) %</w:t>
      </w:r>
      <w:r>
        <w:rPr>
          <w:rFonts w:eastAsia="Calibri" w:cs="Calibri"/>
        </w:rPr>
        <w:t xml:space="preserve"> </w:t>
      </w:r>
      <w:r>
        <w:rPr>
          <w:rFonts w:eastAsia="Calibri" w:cs="Calibri"/>
          <w:i/>
          <w:iCs/>
        </w:rPr>
        <w:t>eerst opeisbaar na integrale Acceptatie</w:t>
      </w:r>
      <w:r>
        <w:rPr>
          <w:rFonts w:eastAsia="Calibri" w:cs="Calibri"/>
        </w:rPr>
        <w:t>.</w:t>
      </w:r>
      <w:r>
        <w:rPr>
          <w:rFonts w:eastAsia="Calibri" w:cs="Calibri"/>
          <w:i/>
          <w:iCs/>
        </w:rPr>
        <w:br/>
        <w:t>12.8. Leverancier verzendt de</w:t>
      </w:r>
      <w:r>
        <w:rPr>
          <w:rFonts w:eastAsia="Calibri" w:cs="Calibri"/>
        </w:rPr>
        <w:t xml:space="preserve"> </w:t>
      </w:r>
      <w:r>
        <w:rPr>
          <w:rFonts w:eastAsia="Calibri" w:cs="Calibri"/>
          <w:i/>
          <w:iCs/>
        </w:rPr>
        <w:t xml:space="preserve">factuur (met routenummer: </w:t>
      </w:r>
      <w:proofErr w:type="spellStart"/>
      <w:r>
        <w:rPr>
          <w:rFonts w:eastAsia="Calibri" w:cs="Calibri"/>
          <w:i/>
          <w:iCs/>
        </w:rPr>
        <w:t>Nnb</w:t>
      </w:r>
      <w:proofErr w:type="spellEnd"/>
      <w:r>
        <w:rPr>
          <w:rFonts w:eastAsia="Calibri" w:cs="Calibri"/>
          <w:i/>
          <w:iCs/>
        </w:rPr>
        <w:t>) aan Opdrachtgever</w:t>
      </w:r>
      <w:r>
        <w:rPr>
          <w:rFonts w:eastAsia="Calibri" w:cs="Calibri"/>
        </w:rPr>
        <w:t xml:space="preserve"> </w:t>
      </w:r>
      <w:r>
        <w:rPr>
          <w:rFonts w:eastAsia="Calibri" w:cs="Calibri"/>
          <w:i/>
          <w:iCs/>
        </w:rPr>
        <w:t xml:space="preserve">elektronisch als </w:t>
      </w:r>
      <w:proofErr w:type="spellStart"/>
      <w:r>
        <w:rPr>
          <w:rFonts w:eastAsia="Calibri" w:cs="Calibri"/>
          <w:i/>
          <w:iCs/>
        </w:rPr>
        <w:t>PDF-bestand</w:t>
      </w:r>
      <w:proofErr w:type="spellEnd"/>
      <w:r>
        <w:rPr>
          <w:rFonts w:eastAsia="Calibri" w:cs="Calibri"/>
          <w:i/>
          <w:iCs/>
        </w:rPr>
        <w:t xml:space="preserve"> naar </w:t>
      </w:r>
      <w:proofErr w:type="spellStart"/>
      <w:r>
        <w:rPr>
          <w:rFonts w:eastAsia="Calibri" w:cs="Calibri"/>
          <w:i/>
          <w:iCs/>
        </w:rPr>
        <w:t>Nnb</w:t>
      </w:r>
      <w:proofErr w:type="spellEnd"/>
      <w:r>
        <w:rPr>
          <w:rFonts w:eastAsia="Calibri" w:cs="Calibri"/>
        </w:rPr>
        <w:t>.</w:t>
      </w:r>
      <w:r>
        <w:rPr>
          <w:rFonts w:eastAsia="Calibri" w:cs="Calibri"/>
          <w:i/>
          <w:iCs/>
        </w:rPr>
        <w:br/>
        <w:t>12.9. De in GIBIT 2020 artikel 9.8 benoemde index J62, althans sectie J, conform CPA 2008, van het Centraal Bureau voor de Statistiek, wordt logisch opgevolgd door index J 6202.</w:t>
      </w:r>
    </w:p>
    <w:p w14:paraId="0D50DEA0" w14:textId="77777777" w:rsidR="00966AE7" w:rsidRDefault="00894A3A">
      <w:pPr>
        <w:spacing w:before="239" w:after="239" w:line="240" w:lineRule="auto"/>
        <w:textAlignment w:val="top"/>
      </w:pPr>
      <w:r>
        <w:rPr>
          <w:rFonts w:eastAsia="Calibri" w:cs="Calibri"/>
          <w:b/>
          <w:bCs/>
        </w:rPr>
        <w:t>13. Contactpersonen en bevoegdheden</w:t>
      </w:r>
      <w:r>
        <w:rPr>
          <w:rFonts w:eastAsia="Calibri" w:cs="Calibri"/>
        </w:rPr>
        <w:br/>
        <w:t>13.1. Partijen wijzen de in een bijlage gespecificeerde personen aan als contactpersoon namens hun organisatie gedurende de looptijd van de Overeenkomst.</w:t>
      </w:r>
      <w:r>
        <w:rPr>
          <w:rFonts w:eastAsia="Calibri" w:cs="Calibri"/>
        </w:rPr>
        <w:br/>
        <w:t>13.2.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13.3. Een partij mag haar contactpersonen wijzigen middels schriftelijke mededeling aan de andere partij. De wijziging zal minimaal een week van tevoren worden gemeld, behoudens in spoedgevallen.</w:t>
      </w:r>
    </w:p>
    <w:p w14:paraId="72795C97" w14:textId="77777777" w:rsidR="00966AE7" w:rsidRDefault="00894A3A">
      <w:pPr>
        <w:spacing w:before="239" w:after="239" w:line="240" w:lineRule="auto"/>
        <w:textAlignment w:val="top"/>
      </w:pPr>
      <w:r>
        <w:rPr>
          <w:rFonts w:eastAsia="Calibri" w:cs="Calibri"/>
          <w:b/>
          <w:bCs/>
        </w:rPr>
        <w:t>14. Verzekering</w:t>
      </w:r>
      <w:r>
        <w:rPr>
          <w:rFonts w:eastAsia="Calibri" w:cs="Calibri"/>
        </w:rPr>
        <w:br/>
        <w:t>14.1. Leverancier heeft zich op een naar verkeersnormen passende en gebruikelijke wijze verzekerd en houdt zich zodanig verzekerd tegen alle aansprakelijkheid voortvloeiende uit de Overeenkomst en de onderhavige voorwaarden, waaronder in ieder geval begrepen beroeps- en bedrijfsaansprakelijkheid, althans biedt anderszins aantoonbaar voldoende waarborgen ter dekking van eventuele aansprakelijkheid.</w:t>
      </w:r>
      <w:r>
        <w:rPr>
          <w:rFonts w:eastAsia="Calibri" w:cs="Calibri"/>
        </w:rPr>
        <w:br/>
        <w:t>14.2. De in het vorige lid bedoelde verzekering/waarborg biedt dekking voor ten minste de totale maximale aansprakelijkheid per jaar.</w:t>
      </w:r>
    </w:p>
    <w:p w14:paraId="079585AF" w14:textId="41FA758C" w:rsidR="00966AE7" w:rsidRPr="00A21644" w:rsidRDefault="00894A3A">
      <w:pPr>
        <w:spacing w:before="239" w:after="239" w:line="240" w:lineRule="auto"/>
        <w:textAlignment w:val="top"/>
        <w:rPr>
          <w:rFonts w:eastAsia="Calibri" w:cs="Calibri"/>
          <w:b/>
          <w:bCs/>
        </w:rPr>
      </w:pPr>
      <w:r>
        <w:rPr>
          <w:rFonts w:eastAsia="Calibri" w:cs="Calibri"/>
          <w:b/>
          <w:bCs/>
        </w:rPr>
        <w:t>15. Evaluatie </w:t>
      </w:r>
      <w:r>
        <w:rPr>
          <w:rFonts w:eastAsia="Calibri" w:cs="Calibri"/>
        </w:rPr>
        <w:br/>
        <w:t>15.1. Opdrachtgever evalueert minimaal één (1) maal per jaar de uitvoering van de opdracht en het resultaat van de ICT Prestatie. De onderwerpen van evaluatie omvatten in ieder geval en indien van toepassing:</w:t>
      </w:r>
      <w:r>
        <w:rPr>
          <w:rFonts w:eastAsia="Calibri" w:cs="Calibri"/>
        </w:rPr>
        <w:br/>
        <w:t>(i) de kwaliteit;</w:t>
      </w:r>
      <w:r>
        <w:rPr>
          <w:rFonts w:eastAsia="Calibri" w:cs="Calibri"/>
        </w:rPr>
        <w:br/>
        <w:t>(ii) de prijs;</w:t>
      </w:r>
      <w:r>
        <w:rPr>
          <w:rFonts w:eastAsia="Calibri" w:cs="Calibri"/>
        </w:rPr>
        <w:br/>
        <w:t>(iii) oplevering en levertijd;</w:t>
      </w:r>
      <w:r>
        <w:rPr>
          <w:rFonts w:eastAsia="Calibri" w:cs="Calibri"/>
        </w:rPr>
        <w:br/>
        <w:t>(iv) service, nazorg onderhoudstermijnen en garantie;</w:t>
      </w:r>
      <w:r>
        <w:rPr>
          <w:rFonts w:eastAsia="Calibri" w:cs="Calibri"/>
        </w:rPr>
        <w:br/>
        <w:t>(v) algemene ervaringen met Leverancier.</w:t>
      </w:r>
      <w:r>
        <w:rPr>
          <w:rFonts w:eastAsia="Calibri" w:cs="Calibri"/>
        </w:rPr>
        <w:br/>
        <w:t xml:space="preserve">15.2. Verder worden de tussen Partijen gesloten contractbijlagen minimaal één (1) maal per jaar, of op verzoek van de Partijen, geëvalueerd. 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w:t>
      </w:r>
      <w:r>
        <w:rPr>
          <w:rFonts w:eastAsia="Calibri" w:cs="Calibri"/>
        </w:rPr>
        <w:lastRenderedPageBreak/>
        <w:t>en hun functie, scope van de dienstverlening of de lopende procedures. Indien nodig, kunnen additionele onderwerpen voor de evaluatie uiterlijk twee (2) weken voor het evaluatieoverleg ingediend worden.</w:t>
      </w:r>
      <w:r w:rsidR="00A21644">
        <w:rPr>
          <w:rFonts w:eastAsia="Calibri" w:cs="Calibri"/>
        </w:rPr>
        <w:br/>
      </w:r>
      <w:r w:rsidR="00A21644">
        <w:rPr>
          <w:rFonts w:eastAsia="Calibri" w:cs="Calibri"/>
        </w:rPr>
        <w:br/>
      </w:r>
      <w:r>
        <w:rPr>
          <w:rFonts w:eastAsia="Calibri" w:cs="Calibri"/>
          <w:b/>
          <w:bCs/>
        </w:rPr>
        <w:t>16. Voorwaarden en overige afspraken</w:t>
      </w:r>
      <w:r>
        <w:rPr>
          <w:rFonts w:eastAsia="Calibri" w:cs="Calibri"/>
        </w:rPr>
        <w:br/>
        <w:t>16.1. Op deze Overeenkomst is de GIBIT 2020 van toepassing, zoals bijgesloten als bijlage. Leverancier verklaart een exemplaar van de GIBIT 2020 te hebben ontvangen.</w:t>
      </w:r>
      <w:r>
        <w:rPr>
          <w:rFonts w:eastAsia="Calibri" w:cs="Calibri"/>
        </w:rPr>
        <w:br/>
        <w:t>16.2. Eventuele leveringsvoorwaarden van Leverancier zijn uitdrukkelijk niet van toepassing.</w:t>
      </w:r>
      <w:r>
        <w:rPr>
          <w:rFonts w:eastAsia="Calibri" w:cs="Calibri"/>
        </w:rPr>
        <w:br/>
        <w:t>16.3. De navolgende stukken vormen gezamenlijk de Overeenkomst. Voor zover deze stukken met elkaar in tegenspraak zijn, prevaleert het eerder genoemde stuk boven het later genoemde:</w:t>
      </w:r>
    </w:p>
    <w:p w14:paraId="0E364D7D" w14:textId="77777777" w:rsidR="00966AE7" w:rsidRDefault="00894A3A">
      <w:pPr>
        <w:numPr>
          <w:ilvl w:val="0"/>
          <w:numId w:val="4"/>
        </w:numPr>
        <w:spacing w:line="240" w:lineRule="auto"/>
        <w:rPr>
          <w:rFonts w:ascii="Calibri" w:eastAsia="Calibri" w:hAnsi="Calibri" w:cs="Calibri"/>
        </w:rPr>
      </w:pPr>
      <w:r>
        <w:rPr>
          <w:rFonts w:eastAsia="Calibri" w:cs="Calibri"/>
        </w:rPr>
        <w:t>Het onderhavige document;</w:t>
      </w:r>
    </w:p>
    <w:p w14:paraId="54476FC1" w14:textId="77777777" w:rsidR="00966AE7" w:rsidRDefault="00894A3A">
      <w:pPr>
        <w:numPr>
          <w:ilvl w:val="0"/>
          <w:numId w:val="4"/>
        </w:numPr>
        <w:spacing w:line="240" w:lineRule="auto"/>
        <w:rPr>
          <w:rFonts w:ascii="Calibri" w:eastAsia="Calibri" w:hAnsi="Calibri" w:cs="Calibri"/>
        </w:rPr>
      </w:pPr>
      <w:r>
        <w:rPr>
          <w:rFonts w:eastAsia="Calibri" w:cs="Calibri"/>
        </w:rPr>
        <w:t>De verwerkersovereenkomst;</w:t>
      </w:r>
    </w:p>
    <w:p w14:paraId="5397138E" w14:textId="77777777" w:rsidR="00966AE7" w:rsidRDefault="00894A3A">
      <w:pPr>
        <w:numPr>
          <w:ilvl w:val="0"/>
          <w:numId w:val="4"/>
        </w:numPr>
        <w:spacing w:line="240" w:lineRule="auto"/>
        <w:rPr>
          <w:rFonts w:ascii="Calibri" w:eastAsia="Calibri" w:hAnsi="Calibri" w:cs="Calibri"/>
        </w:rPr>
      </w:pPr>
      <w:r>
        <w:rPr>
          <w:rFonts w:eastAsia="Calibri" w:cs="Calibri"/>
        </w:rPr>
        <w:t>De in artikel 1.1. genoemde documenten (in de daar genoemde volgorde).</w:t>
      </w:r>
    </w:p>
    <w:p w14:paraId="65D6239F" w14:textId="77777777" w:rsidR="00966AE7" w:rsidRDefault="00894A3A">
      <w:pPr>
        <w:spacing w:before="239" w:after="239" w:line="240" w:lineRule="auto"/>
        <w:textAlignment w:val="top"/>
      </w:pPr>
      <w:r>
        <w:rPr>
          <w:rFonts w:eastAsia="Calibri" w:cs="Calibri"/>
        </w:rPr>
        <w:t>16.4. In de Overeenkomst wordt een aantal begrippen met een beginhoofdletter gebruikt. Aan deze begrippen komt de betekenis toe die hieraan is gegeven in de GIBIT 2020.</w:t>
      </w:r>
    </w:p>
    <w:p w14:paraId="63218053" w14:textId="77777777" w:rsidR="00966AE7" w:rsidRDefault="00894A3A">
      <w:pPr>
        <w:spacing w:before="239" w:after="239" w:line="240" w:lineRule="auto"/>
        <w:textAlignment w:val="top"/>
      </w:pPr>
      <w:r>
        <w:rPr>
          <w:rFonts w:eastAsia="Calibri" w:cs="Calibri"/>
          <w:i/>
          <w:iCs/>
        </w:rPr>
        <w:t>Aangezien dit een conceptovereenkomst betreft kan deze derhalve niet ondertekend worden.</w:t>
      </w:r>
    </w:p>
    <w:p w14:paraId="44FD4755" w14:textId="39CCD45C" w:rsidR="00966AE7" w:rsidRDefault="00894A3A" w:rsidP="00C055D8">
      <w:pPr>
        <w:spacing w:before="239" w:after="239" w:line="240" w:lineRule="auto"/>
        <w:textAlignment w:val="top"/>
      </w:pPr>
      <w:r>
        <w:rPr>
          <w:rFonts w:eastAsia="Calibri" w:cs="Calibri"/>
        </w:rPr>
        <w:t> </w:t>
      </w:r>
    </w:p>
    <w:p w14:paraId="43A66DA2" w14:textId="77777777" w:rsidR="00966AE7" w:rsidRDefault="00894A3A">
      <w:pPr>
        <w:pStyle w:val="Kop2"/>
        <w:spacing w:before="199" w:after="199" w:line="240" w:lineRule="auto"/>
      </w:pPr>
      <w:r>
        <w:t>OVERZICHT BIJLAGEN</w:t>
      </w:r>
    </w:p>
    <w:p w14:paraId="62C8ACF3" w14:textId="77777777" w:rsidR="00966AE7" w:rsidRDefault="00894A3A">
      <w:pPr>
        <w:numPr>
          <w:ilvl w:val="0"/>
          <w:numId w:val="4"/>
        </w:numPr>
        <w:spacing w:line="240" w:lineRule="auto"/>
        <w:rPr>
          <w:rFonts w:ascii="Calibri" w:eastAsia="Calibri" w:hAnsi="Calibri" w:cs="Calibri"/>
        </w:rPr>
      </w:pPr>
      <w:r>
        <w:rPr>
          <w:rFonts w:eastAsia="Calibri" w:cs="Calibri"/>
        </w:rPr>
        <w:t>GIBIT 2020;</w:t>
      </w:r>
    </w:p>
    <w:p w14:paraId="479FE2F5" w14:textId="77777777" w:rsidR="00966AE7" w:rsidRDefault="00894A3A">
      <w:pPr>
        <w:numPr>
          <w:ilvl w:val="0"/>
          <w:numId w:val="4"/>
        </w:numPr>
        <w:spacing w:line="240" w:lineRule="auto"/>
        <w:rPr>
          <w:rFonts w:ascii="Calibri" w:eastAsia="Calibri" w:hAnsi="Calibri" w:cs="Calibri"/>
        </w:rPr>
      </w:pPr>
      <w:r>
        <w:rPr>
          <w:rFonts w:eastAsia="Calibri" w:cs="Calibri"/>
        </w:rPr>
        <w:t>De Nota van Inlichtingen;</w:t>
      </w:r>
    </w:p>
    <w:p w14:paraId="5BD2B46F" w14:textId="77777777" w:rsidR="00966AE7" w:rsidRDefault="00894A3A">
      <w:pPr>
        <w:numPr>
          <w:ilvl w:val="0"/>
          <w:numId w:val="4"/>
        </w:numPr>
        <w:spacing w:line="240" w:lineRule="auto"/>
        <w:rPr>
          <w:rFonts w:ascii="Calibri" w:eastAsia="Calibri" w:hAnsi="Calibri" w:cs="Calibri"/>
        </w:rPr>
      </w:pPr>
      <w:r>
        <w:rPr>
          <w:rFonts w:eastAsia="Calibri" w:cs="Calibri"/>
        </w:rPr>
        <w:t>Het Beschrijvend Document;</w:t>
      </w:r>
    </w:p>
    <w:p w14:paraId="3D60E196" w14:textId="77777777" w:rsidR="00966AE7" w:rsidRDefault="00894A3A">
      <w:pPr>
        <w:numPr>
          <w:ilvl w:val="0"/>
          <w:numId w:val="4"/>
        </w:numPr>
        <w:spacing w:line="240" w:lineRule="auto"/>
        <w:rPr>
          <w:rFonts w:ascii="Calibri" w:eastAsia="Calibri" w:hAnsi="Calibri" w:cs="Calibri"/>
        </w:rPr>
      </w:pPr>
      <w:r>
        <w:rPr>
          <w:rFonts w:eastAsia="Calibri" w:cs="Calibri"/>
        </w:rPr>
        <w:t>De Offerte van de Leverancier;</w:t>
      </w:r>
    </w:p>
    <w:p w14:paraId="48BB1A79" w14:textId="77777777" w:rsidR="00966AE7" w:rsidRDefault="00894A3A">
      <w:pPr>
        <w:numPr>
          <w:ilvl w:val="0"/>
          <w:numId w:val="4"/>
        </w:numPr>
        <w:spacing w:line="240" w:lineRule="auto"/>
        <w:rPr>
          <w:rFonts w:ascii="Calibri" w:eastAsia="Calibri" w:hAnsi="Calibri" w:cs="Calibri"/>
        </w:rPr>
      </w:pPr>
      <w:r>
        <w:rPr>
          <w:rFonts w:eastAsia="Calibri" w:cs="Calibri"/>
        </w:rPr>
        <w:t>Contactpersonen Opdrachtgever;</w:t>
      </w:r>
    </w:p>
    <w:p w14:paraId="4CF36BC6" w14:textId="77777777" w:rsidR="00966AE7" w:rsidRDefault="00894A3A">
      <w:pPr>
        <w:numPr>
          <w:ilvl w:val="0"/>
          <w:numId w:val="4"/>
        </w:numPr>
        <w:spacing w:line="240" w:lineRule="auto"/>
        <w:rPr>
          <w:rFonts w:ascii="Calibri" w:eastAsia="Calibri" w:hAnsi="Calibri" w:cs="Calibri"/>
        </w:rPr>
      </w:pPr>
      <w:r>
        <w:rPr>
          <w:rFonts w:eastAsia="Calibri" w:cs="Calibri"/>
        </w:rPr>
        <w:t>Contactpersonen Leverancier.</w:t>
      </w:r>
    </w:p>
    <w:sectPr w:rsidR="00966AE7">
      <w:footerReference w:type="default" r:id="rId11"/>
      <w:pgSz w:w="11906" w:h="16838"/>
      <w:pgMar w:top="1440" w:right="1440" w:bottom="1440" w:left="1440" w:header="0" w:footer="708"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oep van Tulder" w:date="2022-02-20T16:18:00Z" w:initials="JvT">
    <w:p w14:paraId="7B943140" w14:textId="25D24F8B" w:rsidR="00894A3A" w:rsidRPr="00894A3A" w:rsidRDefault="00894A3A">
      <w:pPr>
        <w:pStyle w:val="Tekstopmerking"/>
      </w:pPr>
      <w:r>
        <w:rPr>
          <w:rStyle w:val="Verwijzingopmerking"/>
        </w:rPr>
        <w:annotationRef/>
      </w:r>
      <w:r>
        <w:t>Volgorde in beschrijvend document is anders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94314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CE870" w16cex:dateUtc="2022-02-20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943140" w16cid:durableId="25BCE8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7C44E" w14:textId="77777777" w:rsidR="00A1301B" w:rsidRDefault="00A1301B">
      <w:pPr>
        <w:spacing w:line="240" w:lineRule="auto"/>
      </w:pPr>
      <w:r>
        <w:separator/>
      </w:r>
    </w:p>
  </w:endnote>
  <w:endnote w:type="continuationSeparator" w:id="0">
    <w:p w14:paraId="5C43C4E0" w14:textId="77777777" w:rsidR="00A1301B" w:rsidRDefault="00A130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D0BB" w14:textId="77777777" w:rsidR="00966AE7" w:rsidRDefault="00894A3A">
    <w:pPr>
      <w:pStyle w:val="Voettekst"/>
      <w:tabs>
        <w:tab w:val="clear" w:pos="9026"/>
        <w:tab w:val="right" w:pos="9020"/>
      </w:tabs>
    </w:pPr>
    <w:r>
      <w:tab/>
    </w:r>
    <w:r>
      <w:tab/>
      <w:t xml:space="preserve">Pagina </w:t>
    </w:r>
    <w:r>
      <w:fldChar w:fldCharType="begin"/>
    </w:r>
    <w:r>
      <w:instrText>PAGE \* ARABIC</w:instrText>
    </w:r>
    <w:r>
      <w:fldChar w:fldCharType="separate"/>
    </w:r>
    <w:r>
      <w:t>6</w:t>
    </w:r>
    <w:r>
      <w:fldChar w:fldCharType="end"/>
    </w:r>
    <w:r>
      <w:t xml:space="preserve"> van </w:t>
    </w:r>
    <w:r>
      <w:fldChar w:fldCharType="begin"/>
    </w:r>
    <w:r>
      <w:instrText>NUMPAGES \* ARABIC</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BD06F" w14:textId="77777777" w:rsidR="00A1301B" w:rsidRDefault="00A1301B">
      <w:pPr>
        <w:spacing w:line="240" w:lineRule="auto"/>
      </w:pPr>
      <w:r>
        <w:separator/>
      </w:r>
    </w:p>
  </w:footnote>
  <w:footnote w:type="continuationSeparator" w:id="0">
    <w:p w14:paraId="7984BA2A" w14:textId="77777777" w:rsidR="00A1301B" w:rsidRDefault="00A1301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864"/>
    <w:multiLevelType w:val="hybridMultilevel"/>
    <w:tmpl w:val="65DE4DDC"/>
    <w:lvl w:ilvl="0" w:tplc="705097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66210F5"/>
    <w:multiLevelType w:val="multilevel"/>
    <w:tmpl w:val="7988E9D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3E1E4098"/>
    <w:multiLevelType w:val="multilevel"/>
    <w:tmpl w:val="8332B9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C83041D"/>
    <w:multiLevelType w:val="multilevel"/>
    <w:tmpl w:val="EADC9A82"/>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1E504B0"/>
    <w:multiLevelType w:val="hybridMultilevel"/>
    <w:tmpl w:val="FB6035CC"/>
    <w:lvl w:ilvl="0" w:tplc="69930672">
      <w:start w:val="1"/>
      <w:numFmt w:val="decimal"/>
      <w:lvlText w:val="%1."/>
      <w:lvlJc w:val="left"/>
      <w:pPr>
        <w:ind w:left="720" w:hanging="360"/>
      </w:pPr>
    </w:lvl>
    <w:lvl w:ilvl="1" w:tplc="69930672" w:tentative="1">
      <w:start w:val="1"/>
      <w:numFmt w:val="lowerLetter"/>
      <w:lvlText w:val="%2."/>
      <w:lvlJc w:val="left"/>
      <w:pPr>
        <w:ind w:left="1440" w:hanging="360"/>
      </w:pPr>
    </w:lvl>
    <w:lvl w:ilvl="2" w:tplc="69930672" w:tentative="1">
      <w:start w:val="1"/>
      <w:numFmt w:val="lowerRoman"/>
      <w:lvlText w:val="%3."/>
      <w:lvlJc w:val="right"/>
      <w:pPr>
        <w:ind w:left="2160" w:hanging="180"/>
      </w:pPr>
    </w:lvl>
    <w:lvl w:ilvl="3" w:tplc="69930672" w:tentative="1">
      <w:start w:val="1"/>
      <w:numFmt w:val="decimal"/>
      <w:lvlText w:val="%4."/>
      <w:lvlJc w:val="left"/>
      <w:pPr>
        <w:ind w:left="2880" w:hanging="360"/>
      </w:pPr>
    </w:lvl>
    <w:lvl w:ilvl="4" w:tplc="69930672" w:tentative="1">
      <w:start w:val="1"/>
      <w:numFmt w:val="lowerLetter"/>
      <w:lvlText w:val="%5."/>
      <w:lvlJc w:val="left"/>
      <w:pPr>
        <w:ind w:left="3600" w:hanging="360"/>
      </w:pPr>
    </w:lvl>
    <w:lvl w:ilvl="5" w:tplc="69930672" w:tentative="1">
      <w:start w:val="1"/>
      <w:numFmt w:val="lowerRoman"/>
      <w:lvlText w:val="%6."/>
      <w:lvlJc w:val="right"/>
      <w:pPr>
        <w:ind w:left="4320" w:hanging="180"/>
      </w:pPr>
    </w:lvl>
    <w:lvl w:ilvl="6" w:tplc="69930672" w:tentative="1">
      <w:start w:val="1"/>
      <w:numFmt w:val="decimal"/>
      <w:lvlText w:val="%7."/>
      <w:lvlJc w:val="left"/>
      <w:pPr>
        <w:ind w:left="5040" w:hanging="360"/>
      </w:pPr>
    </w:lvl>
    <w:lvl w:ilvl="7" w:tplc="69930672" w:tentative="1">
      <w:start w:val="1"/>
      <w:numFmt w:val="lowerLetter"/>
      <w:lvlText w:val="%8."/>
      <w:lvlJc w:val="left"/>
      <w:pPr>
        <w:ind w:left="5760" w:hanging="360"/>
      </w:pPr>
    </w:lvl>
    <w:lvl w:ilvl="8" w:tplc="69930672" w:tentative="1">
      <w:start w:val="1"/>
      <w:numFmt w:val="lowerRoman"/>
      <w:lvlText w:val="%9."/>
      <w:lvlJc w:val="right"/>
      <w:pPr>
        <w:ind w:left="6480" w:hanging="180"/>
      </w:pPr>
    </w:lvl>
  </w:abstractNum>
  <w:abstractNum w:abstractNumId="5" w15:restartNumberingAfterBreak="0">
    <w:nsid w:val="74344869"/>
    <w:multiLevelType w:val="multilevel"/>
    <w:tmpl w:val="470E4918"/>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74C209D6"/>
    <w:multiLevelType w:val="multilevel"/>
    <w:tmpl w:val="2F58A4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1"/>
  </w:num>
  <w:num w:numId="3">
    <w:abstractNumId w:val="3"/>
  </w:num>
  <w:num w:numId="4">
    <w:abstractNumId w:val="6"/>
  </w:num>
  <w:num w:numId="5">
    <w:abstractNumId w:val="2"/>
  </w:num>
  <w:num w:numId="6">
    <w:abstractNumId w:val="0"/>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ep van Tulder">
    <w15:presenceInfo w15:providerId="AD" w15:userId="S::joepvantulder@ncod.nl::31bf6243-aed5-4cc1-8556-9e08a70e46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AE7"/>
    <w:rsid w:val="001E29A3"/>
    <w:rsid w:val="002603B8"/>
    <w:rsid w:val="002823BF"/>
    <w:rsid w:val="00446859"/>
    <w:rsid w:val="00715240"/>
    <w:rsid w:val="00894A3A"/>
    <w:rsid w:val="00966AE7"/>
    <w:rsid w:val="00A1301B"/>
    <w:rsid w:val="00A21644"/>
    <w:rsid w:val="00AE44AC"/>
    <w:rsid w:val="00C055D8"/>
    <w:rsid w:val="00D07AB6"/>
    <w:rsid w:val="00D83F3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9109"/>
  <w15:docId w15:val="{976D59AB-377D-4A0B-BF97-AC9F0EE2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0">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894A3A"/>
    <w:rPr>
      <w:sz w:val="16"/>
      <w:szCs w:val="16"/>
    </w:rPr>
  </w:style>
  <w:style w:type="paragraph" w:styleId="Tekstopmerking">
    <w:name w:val="annotation text"/>
    <w:basedOn w:val="Standaard"/>
    <w:link w:val="TekstopmerkingChar"/>
    <w:uiPriority w:val="99"/>
    <w:semiHidden/>
    <w:unhideWhenUsed/>
    <w:rsid w:val="00894A3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94A3A"/>
    <w:rPr>
      <w:sz w:val="20"/>
      <w:szCs w:val="20"/>
    </w:rPr>
  </w:style>
  <w:style w:type="paragraph" w:styleId="Onderwerpvanopmerking">
    <w:name w:val="annotation subject"/>
    <w:basedOn w:val="Tekstopmerking"/>
    <w:next w:val="Tekstopmerking"/>
    <w:link w:val="OnderwerpvanopmerkingChar"/>
    <w:uiPriority w:val="99"/>
    <w:semiHidden/>
    <w:unhideWhenUsed/>
    <w:rsid w:val="00894A3A"/>
    <w:rPr>
      <w:b/>
      <w:bCs/>
    </w:rPr>
  </w:style>
  <w:style w:type="character" w:customStyle="1" w:styleId="OnderwerpvanopmerkingChar">
    <w:name w:val="Onderwerp van opmerking Char"/>
    <w:basedOn w:val="TekstopmerkingChar"/>
    <w:link w:val="Onderwerpvanopmerking"/>
    <w:uiPriority w:val="99"/>
    <w:semiHidden/>
    <w:rsid w:val="00894A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1590</Words>
  <Characters>8748</Characters>
  <Application>Microsoft Office Word</Application>
  <DocSecurity>0</DocSecurity>
  <Lines>72</Lines>
  <Paragraphs>20</Paragraphs>
  <ScaleCrop>false</ScaleCrop>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[202]</dc:title>
  <dc:subject/>
  <dc:creator>Joep van Tulder</dc:creator>
  <dc:description/>
  <cp:lastModifiedBy>Joep van Tulder</cp:lastModifiedBy>
  <cp:revision>3</cp:revision>
  <dcterms:created xsi:type="dcterms:W3CDTF">2022-03-07T08:26:00Z</dcterms:created>
  <dcterms:modified xsi:type="dcterms:W3CDTF">2022-03-07T10:52:00Z</dcterms:modified>
  <dc:language>en-US</dc:language>
</cp:coreProperties>
</file>