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4D0" w:rsidRDefault="003514D0" w:rsidP="003514D0">
      <w:pPr>
        <w:jc w:val="center"/>
        <w:rPr>
          <w:b/>
          <w:sz w:val="44"/>
          <w:szCs w:val="32"/>
        </w:rPr>
      </w:pPr>
      <w:bookmarkStart w:id="0" w:name="_GoBack"/>
      <w:bookmarkEnd w:id="0"/>
    </w:p>
    <w:p w:rsidR="003514D0" w:rsidRDefault="003514D0" w:rsidP="003514D0">
      <w:pPr>
        <w:jc w:val="center"/>
        <w:rPr>
          <w:b/>
          <w:sz w:val="44"/>
          <w:szCs w:val="32"/>
        </w:rPr>
      </w:pPr>
    </w:p>
    <w:p w:rsidR="003514D0" w:rsidRDefault="003514D0" w:rsidP="003514D0">
      <w:pPr>
        <w:jc w:val="center"/>
        <w:rPr>
          <w:b/>
          <w:sz w:val="44"/>
          <w:szCs w:val="32"/>
        </w:rPr>
      </w:pPr>
      <w:r>
        <w:rPr>
          <w:b/>
          <w:sz w:val="44"/>
          <w:szCs w:val="32"/>
        </w:rPr>
        <w:t>(concept)</w:t>
      </w:r>
    </w:p>
    <w:p w:rsidR="003514D0" w:rsidRPr="00597F5B" w:rsidRDefault="003514D0" w:rsidP="003514D0">
      <w:pPr>
        <w:jc w:val="center"/>
        <w:rPr>
          <w:b/>
          <w:sz w:val="44"/>
          <w:szCs w:val="32"/>
        </w:rPr>
      </w:pPr>
      <w:r w:rsidRPr="00597F5B">
        <w:rPr>
          <w:b/>
          <w:sz w:val="44"/>
          <w:szCs w:val="32"/>
        </w:rPr>
        <w:t>Raamovereenkomst</w:t>
      </w:r>
    </w:p>
    <w:p w:rsidR="003514D0" w:rsidRDefault="003514D0" w:rsidP="003514D0">
      <w:pPr>
        <w:jc w:val="center"/>
        <w:rPr>
          <w:b/>
          <w:sz w:val="44"/>
          <w:szCs w:val="32"/>
        </w:rPr>
      </w:pPr>
    </w:p>
    <w:p w:rsidR="003514D0" w:rsidRDefault="003514D0" w:rsidP="003514D0">
      <w:pPr>
        <w:jc w:val="center"/>
        <w:rPr>
          <w:b/>
          <w:sz w:val="44"/>
          <w:szCs w:val="32"/>
        </w:rPr>
      </w:pPr>
    </w:p>
    <w:p w:rsidR="003514D0" w:rsidRDefault="007568CA" w:rsidP="003514D0">
      <w:pPr>
        <w:jc w:val="center"/>
        <w:rPr>
          <w:b/>
          <w:sz w:val="44"/>
          <w:szCs w:val="32"/>
        </w:rPr>
      </w:pPr>
      <w:r>
        <w:rPr>
          <w:b/>
          <w:sz w:val="44"/>
          <w:szCs w:val="32"/>
        </w:rPr>
        <w:t>V</w:t>
      </w:r>
      <w:r w:rsidR="003514D0" w:rsidRPr="00597F5B">
        <w:rPr>
          <w:b/>
          <w:sz w:val="44"/>
          <w:szCs w:val="32"/>
        </w:rPr>
        <w:t>oor het leveren van</w:t>
      </w:r>
      <w:r>
        <w:rPr>
          <w:b/>
          <w:sz w:val="44"/>
          <w:szCs w:val="32"/>
        </w:rPr>
        <w:t>:</w:t>
      </w:r>
    </w:p>
    <w:p w:rsidR="007568CA" w:rsidRPr="00597F5B" w:rsidRDefault="007568CA" w:rsidP="003514D0">
      <w:pPr>
        <w:jc w:val="center"/>
        <w:rPr>
          <w:b/>
          <w:sz w:val="44"/>
          <w:szCs w:val="32"/>
        </w:rPr>
      </w:pPr>
    </w:p>
    <w:p w:rsidR="003514D0" w:rsidRPr="00597F5B" w:rsidRDefault="00080874" w:rsidP="003514D0">
      <w:pPr>
        <w:jc w:val="center"/>
        <w:rPr>
          <w:b/>
          <w:sz w:val="44"/>
          <w:szCs w:val="32"/>
        </w:rPr>
      </w:pPr>
      <w:r>
        <w:rPr>
          <w:b/>
          <w:sz w:val="44"/>
          <w:szCs w:val="32"/>
        </w:rPr>
        <w:t>WAN</w:t>
      </w:r>
      <w:r w:rsidR="00C468FD">
        <w:rPr>
          <w:b/>
          <w:sz w:val="44"/>
          <w:szCs w:val="32"/>
        </w:rPr>
        <w:t>-dienstverlening</w:t>
      </w:r>
      <w:r w:rsidR="003514D0">
        <w:rPr>
          <w:b/>
          <w:sz w:val="44"/>
          <w:szCs w:val="32"/>
        </w:rPr>
        <w:t xml:space="preserve"> </w:t>
      </w:r>
    </w:p>
    <w:p w:rsidR="003514D0" w:rsidRPr="00597F5B" w:rsidRDefault="003514D0" w:rsidP="003514D0">
      <w:pPr>
        <w:jc w:val="center"/>
        <w:rPr>
          <w:b/>
          <w:sz w:val="44"/>
          <w:szCs w:val="32"/>
        </w:rPr>
      </w:pPr>
      <w:r w:rsidRPr="00597F5B">
        <w:rPr>
          <w:b/>
          <w:sz w:val="44"/>
          <w:szCs w:val="32"/>
        </w:rPr>
        <w:t>Tussen</w:t>
      </w:r>
    </w:p>
    <w:p w:rsidR="003514D0" w:rsidRPr="00597F5B" w:rsidRDefault="003514D0" w:rsidP="003514D0">
      <w:pPr>
        <w:jc w:val="center"/>
        <w:rPr>
          <w:b/>
          <w:sz w:val="44"/>
          <w:szCs w:val="32"/>
        </w:rPr>
      </w:pPr>
    </w:p>
    <w:p w:rsidR="003514D0" w:rsidRPr="00597F5B" w:rsidRDefault="007568CA" w:rsidP="003514D0">
      <w:pPr>
        <w:jc w:val="center"/>
        <w:rPr>
          <w:b/>
          <w:sz w:val="44"/>
          <w:szCs w:val="22"/>
        </w:rPr>
      </w:pPr>
      <w:r>
        <w:rPr>
          <w:b/>
          <w:sz w:val="44"/>
          <w:szCs w:val="22"/>
        </w:rPr>
        <w:t>ROC ID College</w:t>
      </w:r>
    </w:p>
    <w:p w:rsidR="003514D0" w:rsidRPr="00597F5B" w:rsidRDefault="003514D0" w:rsidP="003514D0">
      <w:pPr>
        <w:jc w:val="center"/>
        <w:rPr>
          <w:b/>
          <w:sz w:val="36"/>
          <w:szCs w:val="22"/>
        </w:rPr>
      </w:pPr>
    </w:p>
    <w:p w:rsidR="003514D0" w:rsidRPr="00597F5B" w:rsidRDefault="003514D0" w:rsidP="003514D0">
      <w:pPr>
        <w:jc w:val="center"/>
        <w:rPr>
          <w:b/>
          <w:sz w:val="36"/>
          <w:szCs w:val="22"/>
        </w:rPr>
      </w:pPr>
      <w:r>
        <w:rPr>
          <w:b/>
          <w:sz w:val="36"/>
          <w:szCs w:val="22"/>
        </w:rPr>
        <w:t>e</w:t>
      </w:r>
      <w:r w:rsidRPr="00597F5B">
        <w:rPr>
          <w:b/>
          <w:sz w:val="36"/>
          <w:szCs w:val="22"/>
        </w:rPr>
        <w:t>n</w:t>
      </w:r>
    </w:p>
    <w:p w:rsidR="003514D0" w:rsidRPr="00597F5B" w:rsidRDefault="003514D0" w:rsidP="003514D0">
      <w:pPr>
        <w:jc w:val="center"/>
        <w:rPr>
          <w:b/>
          <w:sz w:val="36"/>
          <w:szCs w:val="22"/>
        </w:rPr>
      </w:pPr>
    </w:p>
    <w:p w:rsidR="003514D0" w:rsidRPr="00597F5B" w:rsidRDefault="003514D0" w:rsidP="003514D0">
      <w:pPr>
        <w:jc w:val="center"/>
        <w:rPr>
          <w:b/>
          <w:sz w:val="36"/>
          <w:szCs w:val="22"/>
        </w:rPr>
      </w:pPr>
    </w:p>
    <w:p w:rsidR="003514D0" w:rsidRDefault="003514D0" w:rsidP="003514D0">
      <w:pPr>
        <w:jc w:val="center"/>
        <w:rPr>
          <w:b/>
          <w:iCs/>
          <w:sz w:val="36"/>
          <w:szCs w:val="22"/>
        </w:rPr>
      </w:pPr>
      <w:r>
        <w:rPr>
          <w:b/>
          <w:iCs/>
          <w:sz w:val="36"/>
          <w:szCs w:val="22"/>
        </w:rPr>
        <w:t>xxx</w:t>
      </w:r>
    </w:p>
    <w:p w:rsidR="003514D0" w:rsidRDefault="003514D0" w:rsidP="003514D0">
      <w:pPr>
        <w:jc w:val="center"/>
        <w:rPr>
          <w:b/>
          <w:iCs/>
          <w:sz w:val="36"/>
          <w:szCs w:val="22"/>
        </w:rPr>
      </w:pPr>
    </w:p>
    <w:p w:rsidR="003514D0" w:rsidRPr="00E41357" w:rsidRDefault="00080874" w:rsidP="003514D0">
      <w:pPr>
        <w:jc w:val="center"/>
        <w:rPr>
          <w:b/>
          <w:iCs/>
          <w:sz w:val="36"/>
          <w:szCs w:val="22"/>
        </w:rPr>
      </w:pPr>
      <w:r>
        <w:rPr>
          <w:b/>
          <w:iCs/>
          <w:sz w:val="36"/>
          <w:szCs w:val="22"/>
        </w:rPr>
        <w:t>d.d. xx-xx-2014</w:t>
      </w:r>
    </w:p>
    <w:p w:rsidR="003514D0" w:rsidRPr="00597F5B" w:rsidRDefault="003514D0" w:rsidP="003514D0">
      <w:pPr>
        <w:ind w:left="2800"/>
        <w:jc w:val="center"/>
        <w:rPr>
          <w:b/>
          <w:i/>
          <w:iCs/>
          <w:szCs w:val="22"/>
        </w:rPr>
      </w:pPr>
    </w:p>
    <w:p w:rsidR="003514D0" w:rsidRPr="00597F5B" w:rsidRDefault="003514D0" w:rsidP="003514D0">
      <w:pPr>
        <w:ind w:left="2800"/>
        <w:jc w:val="center"/>
        <w:rPr>
          <w:b/>
          <w:i/>
          <w:iCs/>
          <w:szCs w:val="22"/>
        </w:rPr>
      </w:pPr>
    </w:p>
    <w:p w:rsidR="003514D0" w:rsidRPr="00597F5B" w:rsidRDefault="003514D0" w:rsidP="003514D0">
      <w:pPr>
        <w:ind w:left="2800"/>
        <w:jc w:val="center"/>
        <w:rPr>
          <w:b/>
          <w:szCs w:val="22"/>
        </w:rPr>
      </w:pPr>
    </w:p>
    <w:p w:rsidR="003514D0" w:rsidRPr="00597F5B" w:rsidRDefault="003514D0" w:rsidP="003514D0">
      <w:pPr>
        <w:ind w:left="2800"/>
        <w:jc w:val="center"/>
        <w:rPr>
          <w:b/>
          <w:szCs w:val="22"/>
        </w:rPr>
      </w:pPr>
    </w:p>
    <w:p w:rsidR="003514D0" w:rsidRDefault="003514D0" w:rsidP="003514D0">
      <w:pPr>
        <w:spacing w:after="200" w:line="276" w:lineRule="auto"/>
        <w:jc w:val="center"/>
        <w:rPr>
          <w:sz w:val="22"/>
          <w:szCs w:val="22"/>
        </w:rPr>
      </w:pPr>
      <w:r>
        <w:rPr>
          <w:sz w:val="22"/>
          <w:szCs w:val="22"/>
        </w:rPr>
        <w:br w:type="page"/>
      </w:r>
    </w:p>
    <w:p w:rsidR="00000550" w:rsidRPr="00B73515" w:rsidRDefault="003514D0" w:rsidP="00000550">
      <w:r>
        <w:lastRenderedPageBreak/>
        <w:t>De ondergetekenden:</w:t>
      </w:r>
    </w:p>
    <w:p w:rsidR="00000550" w:rsidRPr="00B73515" w:rsidRDefault="00000550" w:rsidP="00000550"/>
    <w:p w:rsidR="003514D0" w:rsidRPr="00080874" w:rsidRDefault="007568CA" w:rsidP="003514D0">
      <w:r w:rsidRPr="00080874">
        <w:t>ROC ID College</w:t>
      </w:r>
      <w:r w:rsidR="003514D0" w:rsidRPr="00080874">
        <w:rPr>
          <w:spacing w:val="-2"/>
        </w:rPr>
        <w:t xml:space="preserve">, statutair gevestigd te Gouda, kantoorhoudende aan Groen van Prinsterersingel 52, te Gouda, ten deze rechtsgeldig vertegenwoordigd door de heer O. de Jong, lid van het College van Bestuur, </w:t>
      </w:r>
      <w:r w:rsidR="003514D0" w:rsidRPr="00080874">
        <w:t>aangeduid als “Opdrachtgever”</w:t>
      </w:r>
    </w:p>
    <w:p w:rsidR="00000550" w:rsidRPr="00080874" w:rsidRDefault="00000550" w:rsidP="00000550"/>
    <w:p w:rsidR="00000550" w:rsidRPr="00080874" w:rsidRDefault="00000550" w:rsidP="00000550">
      <w:r w:rsidRPr="00080874">
        <w:t>en</w:t>
      </w:r>
    </w:p>
    <w:p w:rsidR="00000550" w:rsidRPr="00080874" w:rsidRDefault="00000550" w:rsidP="00000550"/>
    <w:p w:rsidR="003514D0" w:rsidRPr="00080874" w:rsidRDefault="003514D0" w:rsidP="003514D0">
      <w:r w:rsidRPr="00080874">
        <w:t>………., statutair gevestigd te ………,</w:t>
      </w:r>
      <w:r w:rsidRPr="00080874">
        <w:rPr>
          <w:color w:val="FF0000"/>
        </w:rPr>
        <w:t xml:space="preserve"> </w:t>
      </w:r>
      <w:r w:rsidRPr="00080874">
        <w:t>ten deze rechtsgeldig vertegenwoordigd door de heer/mevrouw ……….., [functie], hierna te noemen: “Opdrachtnemer”</w:t>
      </w:r>
    </w:p>
    <w:p w:rsidR="00000550" w:rsidRPr="00080874" w:rsidRDefault="00000550" w:rsidP="00000550"/>
    <w:p w:rsidR="00000550" w:rsidRPr="00080874" w:rsidRDefault="00000550" w:rsidP="00000550"/>
    <w:p w:rsidR="003514D0" w:rsidRPr="00080874" w:rsidRDefault="003514D0" w:rsidP="003514D0">
      <w:pPr>
        <w:jc w:val="both"/>
        <w:rPr>
          <w:spacing w:val="-2"/>
        </w:rPr>
      </w:pPr>
      <w:r w:rsidRPr="00080874">
        <w:rPr>
          <w:spacing w:val="-2"/>
        </w:rPr>
        <w:t>gezamenlijk te noemen: “Partijen”</w:t>
      </w:r>
    </w:p>
    <w:p w:rsidR="003514D0" w:rsidRDefault="003514D0" w:rsidP="00000550"/>
    <w:p w:rsidR="003514D0" w:rsidRPr="00B73515" w:rsidRDefault="003514D0" w:rsidP="00000550"/>
    <w:p w:rsidR="00000550" w:rsidRPr="00B73515" w:rsidRDefault="00000550" w:rsidP="00000550">
      <w:r w:rsidRPr="00B73515">
        <w:t>OVERWEGENDE DAT:</w:t>
      </w:r>
    </w:p>
    <w:p w:rsidR="00000550" w:rsidRPr="00B73515" w:rsidRDefault="00000550" w:rsidP="00000550"/>
    <w:p w:rsidR="00000550" w:rsidRPr="00B73515" w:rsidRDefault="007568CA" w:rsidP="00000550">
      <w:pPr>
        <w:numPr>
          <w:ilvl w:val="0"/>
          <w:numId w:val="2"/>
        </w:numPr>
      </w:pPr>
      <w:r>
        <w:t>Opdrachtgever</w:t>
      </w:r>
      <w:r w:rsidR="00000550" w:rsidRPr="00B73515">
        <w:t xml:space="preserve"> een meerjarige raamovereenkomst </w:t>
      </w:r>
      <w:r w:rsidRPr="00B73515">
        <w:t xml:space="preserve">wenst af te sluiten </w:t>
      </w:r>
      <w:r w:rsidR="00000550" w:rsidRPr="00B73515">
        <w:t>voor ‘</w:t>
      </w:r>
      <w:r w:rsidR="00080874">
        <w:t>WAN</w:t>
      </w:r>
      <w:r w:rsidR="00C468FD">
        <w:t>-</w:t>
      </w:r>
      <w:r w:rsidR="00AD45C5">
        <w:t>dienstverlening</w:t>
      </w:r>
      <w:r w:rsidR="00000550" w:rsidRPr="00B73515">
        <w:t>’;</w:t>
      </w:r>
    </w:p>
    <w:p w:rsidR="00000550" w:rsidRPr="00B73515" w:rsidRDefault="007568CA" w:rsidP="00000550">
      <w:pPr>
        <w:numPr>
          <w:ilvl w:val="0"/>
          <w:numId w:val="2"/>
        </w:numPr>
      </w:pPr>
      <w:r>
        <w:t>Opdrachtgever</w:t>
      </w:r>
      <w:r w:rsidR="00000550" w:rsidRPr="00B73515">
        <w:t xml:space="preserve"> hiertoe een aanbesteding heeft uitgeschreven conform de ‘openbare procedure’ volgens</w:t>
      </w:r>
      <w:r w:rsidR="00080874">
        <w:t xml:space="preserve"> de Aanbestedingswet 2012 (van kracht sinds 1 </w:t>
      </w:r>
      <w:r w:rsidR="00C468FD">
        <w:t>april</w:t>
      </w:r>
      <w:r w:rsidR="00080874">
        <w:t xml:space="preserve"> 2013)</w:t>
      </w:r>
      <w:r w:rsidR="00000550" w:rsidRPr="00B73515">
        <w:t xml:space="preserve">, </w:t>
      </w:r>
    </w:p>
    <w:p w:rsidR="00000550" w:rsidRPr="00B73515" w:rsidRDefault="00000550" w:rsidP="00000550">
      <w:pPr>
        <w:numPr>
          <w:ilvl w:val="0"/>
          <w:numId w:val="2"/>
        </w:numPr>
      </w:pPr>
      <w:r w:rsidRPr="00B73515">
        <w:t xml:space="preserve">(………) door </w:t>
      </w:r>
      <w:r w:rsidR="007568CA">
        <w:t>Opdrachtgever</w:t>
      </w:r>
      <w:r w:rsidRPr="00B73515">
        <w:t xml:space="preserve"> is geselecteerd en de economisch meest voordelige inschrijving heeft gedaan voor de </w:t>
      </w:r>
      <w:r w:rsidR="00080874">
        <w:t xml:space="preserve">levering </w:t>
      </w:r>
      <w:r w:rsidRPr="00B73515">
        <w:t xml:space="preserve">van het </w:t>
      </w:r>
      <w:r w:rsidR="00080874">
        <w:t>WAN</w:t>
      </w:r>
      <w:r w:rsidR="007568CA">
        <w:t xml:space="preserve"> </w:t>
      </w:r>
      <w:r w:rsidRPr="00B73515">
        <w:t xml:space="preserve">op de locaties van </w:t>
      </w:r>
      <w:r w:rsidR="007568CA">
        <w:t>Opdrachtgever</w:t>
      </w:r>
      <w:r w:rsidRPr="00B73515">
        <w:t>;</w:t>
      </w:r>
    </w:p>
    <w:p w:rsidR="00000550" w:rsidRPr="00B73515" w:rsidRDefault="007568CA" w:rsidP="00000550">
      <w:pPr>
        <w:numPr>
          <w:ilvl w:val="0"/>
          <w:numId w:val="2"/>
        </w:numPr>
      </w:pPr>
      <w:r>
        <w:t>P</w:t>
      </w:r>
      <w:r w:rsidR="00000550" w:rsidRPr="00B73515">
        <w:t>artijen ter uitvoering van het bovenstaande hun onderlinge afspraken wensen vast te leggen</w:t>
      </w:r>
      <w:r>
        <w:t>;</w:t>
      </w:r>
    </w:p>
    <w:p w:rsidR="00000550" w:rsidRDefault="00000550" w:rsidP="00000550"/>
    <w:p w:rsidR="003514D0" w:rsidRPr="00B73515" w:rsidRDefault="003514D0" w:rsidP="00000550"/>
    <w:p w:rsidR="00000550" w:rsidRPr="00B73515" w:rsidRDefault="00000550" w:rsidP="00000550">
      <w:r w:rsidRPr="00B73515">
        <w:t>VERKLAREN TE ZIJN OVEREENGEKOMEN ALS VOLGT:</w:t>
      </w:r>
    </w:p>
    <w:p w:rsidR="00000550" w:rsidRDefault="00000550" w:rsidP="00000550">
      <w:pPr>
        <w:keepNext/>
        <w:outlineLvl w:val="3"/>
        <w:rPr>
          <w:b/>
          <w:iCs/>
          <w:u w:val="single"/>
        </w:rPr>
      </w:pPr>
    </w:p>
    <w:p w:rsidR="00181481" w:rsidRPr="00B73515" w:rsidRDefault="00181481" w:rsidP="00000550">
      <w:pPr>
        <w:keepNext/>
        <w:outlineLvl w:val="3"/>
        <w:rPr>
          <w:b/>
          <w:iCs/>
          <w:u w:val="single"/>
        </w:rPr>
      </w:pPr>
    </w:p>
    <w:p w:rsidR="00000550" w:rsidRDefault="00000550" w:rsidP="00000550">
      <w:pPr>
        <w:keepNext/>
        <w:outlineLvl w:val="3"/>
        <w:rPr>
          <w:b/>
          <w:iCs/>
          <w:u w:val="single"/>
        </w:rPr>
      </w:pPr>
      <w:r w:rsidRPr="00B73515">
        <w:rPr>
          <w:b/>
          <w:iCs/>
          <w:u w:val="single"/>
        </w:rPr>
        <w:t>Artikel 1</w:t>
      </w:r>
      <w:r w:rsidRPr="00B73515">
        <w:rPr>
          <w:b/>
          <w:iCs/>
          <w:u w:val="single"/>
        </w:rPr>
        <w:tab/>
        <w:t>Definities</w:t>
      </w:r>
    </w:p>
    <w:p w:rsidR="007568CA" w:rsidRPr="00B73515" w:rsidRDefault="007568CA" w:rsidP="00000550">
      <w:pPr>
        <w:keepNext/>
        <w:outlineLvl w:val="3"/>
        <w:rPr>
          <w:b/>
          <w:iCs/>
          <w:u w:val="single"/>
        </w:rPr>
      </w:pPr>
    </w:p>
    <w:tbl>
      <w:tblPr>
        <w:tblW w:w="9096" w:type="dxa"/>
        <w:tblInd w:w="1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48"/>
        <w:gridCol w:w="6448"/>
      </w:tblGrid>
      <w:tr w:rsidR="006E0143" w:rsidRPr="00855273" w:rsidTr="007A151E">
        <w:tc>
          <w:tcPr>
            <w:tcW w:w="2648" w:type="dxa"/>
            <w:shd w:val="clear" w:color="auto" w:fill="95B3D7"/>
          </w:tcPr>
          <w:p w:rsidR="006E0143" w:rsidRPr="00440129" w:rsidRDefault="006E0143" w:rsidP="007A151E">
            <w:pPr>
              <w:rPr>
                <w:b/>
              </w:rPr>
            </w:pPr>
            <w:r w:rsidRPr="00440129">
              <w:rPr>
                <w:b/>
              </w:rPr>
              <w:t>Afkorting</w:t>
            </w:r>
          </w:p>
        </w:tc>
        <w:tc>
          <w:tcPr>
            <w:tcW w:w="6448" w:type="dxa"/>
            <w:shd w:val="clear" w:color="auto" w:fill="95B3D7"/>
          </w:tcPr>
          <w:p w:rsidR="006E0143" w:rsidRPr="00440129" w:rsidRDefault="006E0143" w:rsidP="007A151E">
            <w:pPr>
              <w:rPr>
                <w:b/>
              </w:rPr>
            </w:pPr>
            <w:r w:rsidRPr="00440129">
              <w:rPr>
                <w:b/>
              </w:rPr>
              <w:t>Verklaring</w:t>
            </w:r>
          </w:p>
        </w:tc>
      </w:tr>
      <w:tr w:rsidR="006E0143" w:rsidRPr="003549AA" w:rsidTr="007A151E">
        <w:trPr>
          <w:trHeight w:val="229"/>
        </w:trPr>
        <w:tc>
          <w:tcPr>
            <w:tcW w:w="2648" w:type="dxa"/>
            <w:tcBorders>
              <w:top w:val="single" w:sz="4" w:space="0" w:color="808080"/>
              <w:left w:val="single" w:sz="4" w:space="0" w:color="808080"/>
              <w:bottom w:val="single" w:sz="4" w:space="0" w:color="808080"/>
              <w:right w:val="single" w:sz="4" w:space="0" w:color="808080"/>
            </w:tcBorders>
          </w:tcPr>
          <w:p w:rsidR="006E0143" w:rsidRPr="00440129" w:rsidRDefault="006E0143" w:rsidP="007A151E">
            <w:r w:rsidRPr="00440129">
              <w:t>Acceptatietest</w:t>
            </w:r>
          </w:p>
        </w:tc>
        <w:tc>
          <w:tcPr>
            <w:tcW w:w="6448" w:type="dxa"/>
            <w:tcBorders>
              <w:top w:val="single" w:sz="4" w:space="0" w:color="808080"/>
              <w:left w:val="single" w:sz="4" w:space="0" w:color="808080"/>
              <w:bottom w:val="single" w:sz="4" w:space="0" w:color="808080"/>
              <w:right w:val="single" w:sz="4" w:space="0" w:color="808080"/>
            </w:tcBorders>
          </w:tcPr>
          <w:p w:rsidR="006E0143" w:rsidRPr="00440129" w:rsidRDefault="006E0143" w:rsidP="007A151E">
            <w:r w:rsidRPr="00440129">
              <w:t>De test(procedure) waarmee IDC kan vaststellen of de WAN geschikt is voor Acceptatie.</w:t>
            </w:r>
          </w:p>
        </w:tc>
      </w:tr>
      <w:tr w:rsidR="006E0143" w:rsidRPr="003549AA" w:rsidTr="007A151E">
        <w:trPr>
          <w:trHeight w:val="229"/>
        </w:trPr>
        <w:tc>
          <w:tcPr>
            <w:tcW w:w="2648" w:type="dxa"/>
            <w:tcBorders>
              <w:top w:val="single" w:sz="4" w:space="0" w:color="808080"/>
              <w:left w:val="single" w:sz="4" w:space="0" w:color="808080"/>
              <w:bottom w:val="single" w:sz="4" w:space="0" w:color="808080"/>
              <w:right w:val="single" w:sz="4" w:space="0" w:color="808080"/>
            </w:tcBorders>
          </w:tcPr>
          <w:p w:rsidR="006E0143" w:rsidRPr="00440129" w:rsidRDefault="006E0143" w:rsidP="007A151E">
            <w:r w:rsidRPr="00440129">
              <w:t>Acceptatie</w:t>
            </w:r>
          </w:p>
        </w:tc>
        <w:tc>
          <w:tcPr>
            <w:tcW w:w="6448" w:type="dxa"/>
            <w:tcBorders>
              <w:top w:val="single" w:sz="4" w:space="0" w:color="808080"/>
              <w:left w:val="single" w:sz="4" w:space="0" w:color="808080"/>
              <w:bottom w:val="single" w:sz="4" w:space="0" w:color="808080"/>
              <w:right w:val="single" w:sz="4" w:space="0" w:color="808080"/>
            </w:tcBorders>
          </w:tcPr>
          <w:p w:rsidR="006E0143" w:rsidRPr="00440129" w:rsidRDefault="006E0143" w:rsidP="007A151E">
            <w:r w:rsidRPr="00440129">
              <w:t>De constatering van IDC dat de WAN, in samenhang met de omgeving, aan de overeengekomen specificaties zoals vastgelegd in het PvE voldoet en dienovereenkomstig functioneert en dat alle overige verplichtingen conform dit PvE nagekomen zijn.</w:t>
            </w:r>
          </w:p>
        </w:tc>
      </w:tr>
      <w:tr w:rsidR="006E0143" w:rsidRPr="003549AA" w:rsidTr="007A151E">
        <w:trPr>
          <w:trHeight w:val="229"/>
        </w:trPr>
        <w:tc>
          <w:tcPr>
            <w:tcW w:w="2648" w:type="dxa"/>
            <w:tcBorders>
              <w:top w:val="single" w:sz="4" w:space="0" w:color="808080"/>
              <w:left w:val="single" w:sz="4" w:space="0" w:color="808080"/>
              <w:bottom w:val="single" w:sz="4" w:space="0" w:color="808080"/>
              <w:right w:val="single" w:sz="4" w:space="0" w:color="808080"/>
            </w:tcBorders>
          </w:tcPr>
          <w:p w:rsidR="006E0143" w:rsidRPr="00440129" w:rsidRDefault="006E0143" w:rsidP="007A151E">
            <w:r w:rsidRPr="00440129">
              <w:t>Correctief onderhoud</w:t>
            </w:r>
          </w:p>
        </w:tc>
        <w:tc>
          <w:tcPr>
            <w:tcW w:w="6448" w:type="dxa"/>
            <w:tcBorders>
              <w:top w:val="single" w:sz="4" w:space="0" w:color="808080"/>
              <w:left w:val="single" w:sz="4" w:space="0" w:color="808080"/>
              <w:bottom w:val="single" w:sz="4" w:space="0" w:color="808080"/>
              <w:right w:val="single" w:sz="4" w:space="0" w:color="808080"/>
            </w:tcBorders>
          </w:tcPr>
          <w:p w:rsidR="006E0143" w:rsidRPr="00440129" w:rsidRDefault="006E0143" w:rsidP="007A151E">
            <w:r w:rsidRPr="00440129">
              <w:t>Onder correctief onderhoud wordt verstaan het opsporen en herstellen van gebreken in de WAN, het beheer- en managementsysteem en documentatie, nadat deze door systemen en/of Opdrachtgever zijn gemeld.</w:t>
            </w:r>
          </w:p>
        </w:tc>
      </w:tr>
      <w:tr w:rsidR="00445974" w:rsidRPr="003549AA" w:rsidTr="007A151E">
        <w:trPr>
          <w:trHeight w:val="229"/>
        </w:trPr>
        <w:tc>
          <w:tcPr>
            <w:tcW w:w="2648" w:type="dxa"/>
            <w:tcBorders>
              <w:top w:val="single" w:sz="4" w:space="0" w:color="808080"/>
              <w:left w:val="single" w:sz="4" w:space="0" w:color="808080"/>
              <w:bottom w:val="single" w:sz="4" w:space="0" w:color="808080"/>
              <w:right w:val="single" w:sz="4" w:space="0" w:color="808080"/>
            </w:tcBorders>
          </w:tcPr>
          <w:p w:rsidR="00445974" w:rsidRPr="00440129" w:rsidRDefault="00445974" w:rsidP="007A151E">
            <w:r w:rsidRPr="00440129">
              <w:t>Gereedmelding</w:t>
            </w:r>
          </w:p>
        </w:tc>
        <w:tc>
          <w:tcPr>
            <w:tcW w:w="6448" w:type="dxa"/>
            <w:tcBorders>
              <w:top w:val="single" w:sz="4" w:space="0" w:color="808080"/>
              <w:left w:val="single" w:sz="4" w:space="0" w:color="808080"/>
              <w:bottom w:val="single" w:sz="4" w:space="0" w:color="808080"/>
              <w:right w:val="single" w:sz="4" w:space="0" w:color="808080"/>
            </w:tcBorders>
          </w:tcPr>
          <w:p w:rsidR="00445974" w:rsidRPr="00440129" w:rsidRDefault="00445974" w:rsidP="007A151E">
            <w:r w:rsidRPr="00440129">
              <w:t>de schriftelijke mededeling van Opdrachtnemer aan Opdrachtgever dat een overeengekomen voorwerp van acceptatie aan een Acceptatietest onderworpen kan worden.</w:t>
            </w:r>
          </w:p>
        </w:tc>
      </w:tr>
      <w:tr w:rsidR="006E0143" w:rsidRPr="003549AA" w:rsidTr="007A151E">
        <w:trPr>
          <w:trHeight w:val="229"/>
        </w:trPr>
        <w:tc>
          <w:tcPr>
            <w:tcW w:w="2648" w:type="dxa"/>
            <w:tcBorders>
              <w:top w:val="single" w:sz="4" w:space="0" w:color="808080"/>
              <w:left w:val="single" w:sz="4" w:space="0" w:color="808080"/>
              <w:bottom w:val="single" w:sz="4" w:space="0" w:color="808080"/>
              <w:right w:val="single" w:sz="4" w:space="0" w:color="808080"/>
            </w:tcBorders>
          </w:tcPr>
          <w:p w:rsidR="006E0143" w:rsidRPr="00440129" w:rsidRDefault="00CB294D" w:rsidP="007A151E">
            <w:r w:rsidRPr="00440129">
              <w:t>Migratie</w:t>
            </w:r>
          </w:p>
        </w:tc>
        <w:tc>
          <w:tcPr>
            <w:tcW w:w="6448" w:type="dxa"/>
            <w:tcBorders>
              <w:top w:val="single" w:sz="4" w:space="0" w:color="808080"/>
              <w:left w:val="single" w:sz="4" w:space="0" w:color="808080"/>
              <w:bottom w:val="single" w:sz="4" w:space="0" w:color="808080"/>
              <w:right w:val="single" w:sz="4" w:space="0" w:color="808080"/>
            </w:tcBorders>
          </w:tcPr>
          <w:p w:rsidR="006E0143" w:rsidRPr="00440129" w:rsidRDefault="00BB1C7F" w:rsidP="007A151E">
            <w:r w:rsidRPr="00440129">
              <w:t>De activiteiten en leveringen die nodig zijn om de Dienstverlening te Implementeren bij Opdrachtgever door Dienstverlener.</w:t>
            </w:r>
          </w:p>
        </w:tc>
      </w:tr>
      <w:tr w:rsidR="006E0143" w:rsidRPr="003549AA" w:rsidTr="007A151E">
        <w:trPr>
          <w:trHeight w:val="229"/>
        </w:trPr>
        <w:tc>
          <w:tcPr>
            <w:tcW w:w="2648" w:type="dxa"/>
            <w:tcBorders>
              <w:top w:val="single" w:sz="4" w:space="0" w:color="808080"/>
              <w:left w:val="single" w:sz="4" w:space="0" w:color="808080"/>
              <w:bottom w:val="single" w:sz="4" w:space="0" w:color="808080"/>
              <w:right w:val="single" w:sz="4" w:space="0" w:color="808080"/>
            </w:tcBorders>
          </w:tcPr>
          <w:p w:rsidR="006E0143" w:rsidRPr="00440129" w:rsidRDefault="006E0143" w:rsidP="007A151E">
            <w:r w:rsidRPr="00440129">
              <w:t xml:space="preserve">Netwerkinfrastructuur </w:t>
            </w:r>
          </w:p>
        </w:tc>
        <w:tc>
          <w:tcPr>
            <w:tcW w:w="6448" w:type="dxa"/>
            <w:tcBorders>
              <w:top w:val="single" w:sz="4" w:space="0" w:color="808080"/>
              <w:left w:val="single" w:sz="4" w:space="0" w:color="808080"/>
              <w:bottom w:val="single" w:sz="4" w:space="0" w:color="808080"/>
              <w:right w:val="single" w:sz="4" w:space="0" w:color="808080"/>
            </w:tcBorders>
          </w:tcPr>
          <w:p w:rsidR="006E0143" w:rsidRPr="00440129" w:rsidRDefault="006E0143" w:rsidP="007A151E">
            <w:r w:rsidRPr="00440129">
              <w:t>Een netwerkinfrastructuur is een serie van punten of nodes onderling verbonden door communicatie paden. Netwerken kunnen verbonden worden met andere netwerken en kunnen onderverdeeld zijn in subnetwerken.</w:t>
            </w:r>
          </w:p>
        </w:tc>
      </w:tr>
      <w:tr w:rsidR="006E0143" w:rsidRPr="003549AA" w:rsidTr="007A151E">
        <w:trPr>
          <w:trHeight w:val="229"/>
        </w:trPr>
        <w:tc>
          <w:tcPr>
            <w:tcW w:w="2648" w:type="dxa"/>
            <w:tcBorders>
              <w:top w:val="single" w:sz="4" w:space="0" w:color="808080"/>
              <w:left w:val="single" w:sz="4" w:space="0" w:color="808080"/>
              <w:bottom w:val="single" w:sz="4" w:space="0" w:color="808080"/>
              <w:right w:val="single" w:sz="4" w:space="0" w:color="808080"/>
            </w:tcBorders>
          </w:tcPr>
          <w:p w:rsidR="006E0143" w:rsidRPr="00440129" w:rsidRDefault="006E0143" w:rsidP="007A151E">
            <w:r w:rsidRPr="00440129">
              <w:t xml:space="preserve">Netwerk component </w:t>
            </w:r>
          </w:p>
        </w:tc>
        <w:tc>
          <w:tcPr>
            <w:tcW w:w="6448" w:type="dxa"/>
            <w:tcBorders>
              <w:top w:val="single" w:sz="4" w:space="0" w:color="808080"/>
              <w:left w:val="single" w:sz="4" w:space="0" w:color="808080"/>
              <w:bottom w:val="single" w:sz="4" w:space="0" w:color="808080"/>
              <w:right w:val="single" w:sz="4" w:space="0" w:color="808080"/>
            </w:tcBorders>
          </w:tcPr>
          <w:p w:rsidR="006E0143" w:rsidRPr="00440129" w:rsidRDefault="006E0143" w:rsidP="007A151E">
            <w:r w:rsidRPr="00440129">
              <w:t xml:space="preserve">Een netwerk component is een apparaat dat werkplekken, servers, printers en IP telefoons met elkaar verbindt en een gedeelde infrastructuur realiseert. Netwerk componenten kunnen onderling weer gekoppeld worden door communicatiepaden. </w:t>
            </w:r>
          </w:p>
          <w:p w:rsidR="006E0143" w:rsidRPr="00440129" w:rsidRDefault="006E0143" w:rsidP="007A151E"/>
          <w:p w:rsidR="006E0143" w:rsidRPr="00440129" w:rsidRDefault="006E0143" w:rsidP="007A151E">
            <w:r w:rsidRPr="00440129">
              <w:t>Voorbeelden van netwerk componenten zijn een router, switch of een wireless accesspoint.</w:t>
            </w:r>
          </w:p>
        </w:tc>
      </w:tr>
      <w:tr w:rsidR="006E0143" w:rsidRPr="003549AA" w:rsidTr="007A151E">
        <w:trPr>
          <w:trHeight w:val="229"/>
        </w:trPr>
        <w:tc>
          <w:tcPr>
            <w:tcW w:w="2648" w:type="dxa"/>
            <w:tcBorders>
              <w:top w:val="single" w:sz="4" w:space="0" w:color="808080"/>
              <w:left w:val="single" w:sz="4" w:space="0" w:color="808080"/>
              <w:bottom w:val="single" w:sz="4" w:space="0" w:color="808080"/>
              <w:right w:val="single" w:sz="4" w:space="0" w:color="808080"/>
            </w:tcBorders>
          </w:tcPr>
          <w:p w:rsidR="006E0143" w:rsidRPr="00440129" w:rsidRDefault="006E0143" w:rsidP="007A151E">
            <w:r w:rsidRPr="00440129">
              <w:lastRenderedPageBreak/>
              <w:t>Preventief onderhoud</w:t>
            </w:r>
          </w:p>
        </w:tc>
        <w:tc>
          <w:tcPr>
            <w:tcW w:w="6448" w:type="dxa"/>
            <w:tcBorders>
              <w:top w:val="single" w:sz="4" w:space="0" w:color="808080"/>
              <w:left w:val="single" w:sz="4" w:space="0" w:color="808080"/>
              <w:bottom w:val="single" w:sz="4" w:space="0" w:color="808080"/>
              <w:right w:val="single" w:sz="4" w:space="0" w:color="808080"/>
            </w:tcBorders>
          </w:tcPr>
          <w:p w:rsidR="006E0143" w:rsidRPr="00440129" w:rsidRDefault="006E0143" w:rsidP="007A151E">
            <w:r w:rsidRPr="00440129">
              <w:t>Werkzaamheden die gericht zijn op het in stand houden van de WAN incl. de beheer- en managementtool(s), dat wil zeggen door het nemen van geëigende preventieve maatregelen bevorderen dat de WAN voor de duur van de onderhoudsovereenkomst conform dit PvE zal functioneren.</w:t>
            </w:r>
          </w:p>
        </w:tc>
      </w:tr>
      <w:tr w:rsidR="006E0143" w:rsidRPr="003549AA" w:rsidTr="007A151E">
        <w:trPr>
          <w:trHeight w:val="229"/>
        </w:trPr>
        <w:tc>
          <w:tcPr>
            <w:tcW w:w="2648" w:type="dxa"/>
            <w:tcBorders>
              <w:top w:val="single" w:sz="4" w:space="0" w:color="808080"/>
              <w:left w:val="single" w:sz="4" w:space="0" w:color="808080"/>
              <w:bottom w:val="single" w:sz="4" w:space="0" w:color="808080"/>
              <w:right w:val="single" w:sz="4" w:space="0" w:color="808080"/>
            </w:tcBorders>
          </w:tcPr>
          <w:p w:rsidR="006E0143" w:rsidRPr="00440129" w:rsidRDefault="006E0143" w:rsidP="007A151E">
            <w:r w:rsidRPr="00440129">
              <w:t>Update</w:t>
            </w:r>
          </w:p>
        </w:tc>
        <w:tc>
          <w:tcPr>
            <w:tcW w:w="6448" w:type="dxa"/>
            <w:tcBorders>
              <w:top w:val="single" w:sz="4" w:space="0" w:color="808080"/>
              <w:left w:val="single" w:sz="4" w:space="0" w:color="808080"/>
              <w:bottom w:val="single" w:sz="4" w:space="0" w:color="808080"/>
              <w:right w:val="single" w:sz="4" w:space="0" w:color="808080"/>
            </w:tcBorders>
          </w:tcPr>
          <w:p w:rsidR="006E0143" w:rsidRPr="00440129" w:rsidRDefault="006E0143" w:rsidP="007A151E">
            <w:r w:rsidRPr="00440129">
              <w:t>Vernieuwde versie van een programma of besturingssysteem, waarin bepaalde problemen zijn verholpen.</w:t>
            </w:r>
          </w:p>
        </w:tc>
      </w:tr>
      <w:tr w:rsidR="006E0143" w:rsidRPr="003549AA" w:rsidTr="007A151E">
        <w:trPr>
          <w:trHeight w:val="229"/>
        </w:trPr>
        <w:tc>
          <w:tcPr>
            <w:tcW w:w="2648" w:type="dxa"/>
            <w:tcBorders>
              <w:top w:val="single" w:sz="4" w:space="0" w:color="808080"/>
              <w:left w:val="single" w:sz="4" w:space="0" w:color="808080"/>
              <w:bottom w:val="single" w:sz="4" w:space="0" w:color="808080"/>
              <w:right w:val="single" w:sz="4" w:space="0" w:color="808080"/>
            </w:tcBorders>
          </w:tcPr>
          <w:p w:rsidR="006E0143" w:rsidRPr="00440129" w:rsidRDefault="006E0143" w:rsidP="007A151E">
            <w:r w:rsidRPr="00440129">
              <w:t>Upgrade</w:t>
            </w:r>
          </w:p>
        </w:tc>
        <w:tc>
          <w:tcPr>
            <w:tcW w:w="6448" w:type="dxa"/>
            <w:tcBorders>
              <w:top w:val="single" w:sz="4" w:space="0" w:color="808080"/>
              <w:left w:val="single" w:sz="4" w:space="0" w:color="808080"/>
              <w:bottom w:val="single" w:sz="4" w:space="0" w:color="808080"/>
              <w:right w:val="single" w:sz="4" w:space="0" w:color="808080"/>
            </w:tcBorders>
          </w:tcPr>
          <w:p w:rsidR="006E0143" w:rsidRPr="00440129" w:rsidRDefault="006E0143" w:rsidP="007A151E">
            <w:r w:rsidRPr="00440129">
              <w:t>Vernieuwde versie van een programma of besturingssysteem, nieuwe mogelijkheden worden toegevoegd.</w:t>
            </w:r>
          </w:p>
        </w:tc>
      </w:tr>
      <w:tr w:rsidR="00CB294D" w:rsidRPr="003549AA" w:rsidTr="007A151E">
        <w:trPr>
          <w:trHeight w:val="229"/>
        </w:trPr>
        <w:tc>
          <w:tcPr>
            <w:tcW w:w="2648" w:type="dxa"/>
            <w:tcBorders>
              <w:top w:val="single" w:sz="4" w:space="0" w:color="808080"/>
              <w:left w:val="single" w:sz="4" w:space="0" w:color="808080"/>
              <w:bottom w:val="single" w:sz="4" w:space="0" w:color="808080"/>
              <w:right w:val="single" w:sz="4" w:space="0" w:color="808080"/>
            </w:tcBorders>
          </w:tcPr>
          <w:p w:rsidR="00CB294D" w:rsidRPr="00440129" w:rsidRDefault="00CB294D" w:rsidP="007A151E">
            <w:r w:rsidRPr="00440129">
              <w:t>Werkdagen</w:t>
            </w:r>
          </w:p>
        </w:tc>
        <w:tc>
          <w:tcPr>
            <w:tcW w:w="6448" w:type="dxa"/>
            <w:tcBorders>
              <w:top w:val="single" w:sz="4" w:space="0" w:color="808080"/>
              <w:left w:val="single" w:sz="4" w:space="0" w:color="808080"/>
              <w:bottom w:val="single" w:sz="4" w:space="0" w:color="808080"/>
              <w:right w:val="single" w:sz="4" w:space="0" w:color="808080"/>
            </w:tcBorders>
          </w:tcPr>
          <w:p w:rsidR="00CB294D" w:rsidRPr="00440129" w:rsidRDefault="00CB294D" w:rsidP="00660205">
            <w:r w:rsidRPr="00440129">
              <w:t>Van maandag t/m vrijdag, met uitzondering van erkende feestdagen.</w:t>
            </w:r>
          </w:p>
        </w:tc>
      </w:tr>
      <w:tr w:rsidR="00CB294D" w:rsidRPr="003549AA" w:rsidTr="007A151E">
        <w:trPr>
          <w:trHeight w:val="229"/>
        </w:trPr>
        <w:tc>
          <w:tcPr>
            <w:tcW w:w="2648" w:type="dxa"/>
            <w:tcBorders>
              <w:top w:val="single" w:sz="4" w:space="0" w:color="808080"/>
              <w:left w:val="single" w:sz="4" w:space="0" w:color="808080"/>
              <w:bottom w:val="single" w:sz="4" w:space="0" w:color="808080"/>
              <w:right w:val="single" w:sz="4" w:space="0" w:color="808080"/>
            </w:tcBorders>
          </w:tcPr>
          <w:p w:rsidR="00CB294D" w:rsidRPr="00440129" w:rsidRDefault="00CB294D" w:rsidP="007A151E">
            <w:r w:rsidRPr="00440129">
              <w:t>Wide Area Network (WAN)</w:t>
            </w:r>
          </w:p>
        </w:tc>
        <w:tc>
          <w:tcPr>
            <w:tcW w:w="6448" w:type="dxa"/>
            <w:tcBorders>
              <w:top w:val="single" w:sz="4" w:space="0" w:color="808080"/>
              <w:left w:val="single" w:sz="4" w:space="0" w:color="808080"/>
              <w:bottom w:val="single" w:sz="4" w:space="0" w:color="808080"/>
              <w:right w:val="single" w:sz="4" w:space="0" w:color="808080"/>
            </w:tcBorders>
          </w:tcPr>
          <w:p w:rsidR="00CB294D" w:rsidRPr="00440129" w:rsidRDefault="00CB294D" w:rsidP="007A151E">
            <w:r w:rsidRPr="00440129">
              <w:t xml:space="preserve">Een Wide Area Network of WAN is een netwerk waarmee de LANs van </w:t>
            </w:r>
            <w:r w:rsidR="00FA5D04" w:rsidRPr="00440129">
              <w:t>locaties</w:t>
            </w:r>
            <w:r w:rsidRPr="00440129">
              <w:t xml:space="preserve"> van IDC aan elkaar worden gekoppeld.</w:t>
            </w:r>
          </w:p>
        </w:tc>
      </w:tr>
    </w:tbl>
    <w:p w:rsidR="00000550" w:rsidRPr="00B73515" w:rsidRDefault="00000550" w:rsidP="00000550">
      <w:pPr>
        <w:keepNext/>
        <w:outlineLvl w:val="3"/>
        <w:rPr>
          <w:b/>
          <w:iCs/>
          <w:u w:val="single"/>
        </w:rPr>
      </w:pPr>
    </w:p>
    <w:p w:rsidR="00000550" w:rsidRPr="00B73515" w:rsidRDefault="00000550" w:rsidP="00000550">
      <w:pPr>
        <w:keepNext/>
        <w:outlineLvl w:val="3"/>
        <w:rPr>
          <w:b/>
          <w:iCs/>
          <w:u w:val="single"/>
        </w:rPr>
      </w:pPr>
    </w:p>
    <w:p w:rsidR="00000550" w:rsidRPr="00B73515" w:rsidRDefault="00000550" w:rsidP="00000550">
      <w:pPr>
        <w:rPr>
          <w:b/>
          <w:u w:val="single"/>
        </w:rPr>
      </w:pPr>
      <w:r w:rsidRPr="00B73515">
        <w:rPr>
          <w:b/>
          <w:u w:val="single"/>
        </w:rPr>
        <w:t>Artikel 2</w:t>
      </w:r>
      <w:r w:rsidRPr="00B73515">
        <w:rPr>
          <w:b/>
          <w:u w:val="single"/>
        </w:rPr>
        <w:tab/>
        <w:t>Algemeen</w:t>
      </w:r>
    </w:p>
    <w:p w:rsidR="002A706D" w:rsidRPr="00B73515" w:rsidRDefault="002A706D" w:rsidP="002A706D">
      <w:pPr>
        <w:ind w:left="426" w:hanging="426"/>
      </w:pPr>
      <w:r>
        <w:t xml:space="preserve">1. </w:t>
      </w:r>
      <w:r>
        <w:tab/>
      </w:r>
      <w:r w:rsidR="00C76372">
        <w:t xml:space="preserve">Op deze </w:t>
      </w:r>
      <w:r w:rsidR="0018763C">
        <w:t>raam</w:t>
      </w:r>
      <w:r w:rsidR="00C76372">
        <w:t>overeenkomst</w:t>
      </w:r>
      <w:r w:rsidR="00000550" w:rsidRPr="00B73515">
        <w:t xml:space="preserve"> zijn de Algemene Inkoopvoorwaarden van </w:t>
      </w:r>
      <w:r w:rsidR="007568CA">
        <w:t>Opdrachtgever</w:t>
      </w:r>
      <w:r>
        <w:t xml:space="preserve"> van toepassing</w:t>
      </w:r>
      <w:r w:rsidR="00000550" w:rsidRPr="00B73515">
        <w:t xml:space="preserve">. Tevens zijn van toepassing de geldende voorwaarden genoemd in het aanbestedingsdocument. De toepasselijkheid van algemene voorwaarden van </w:t>
      </w:r>
      <w:r>
        <w:t xml:space="preserve">Opdrachtnemer </w:t>
      </w:r>
      <w:r w:rsidR="00000550" w:rsidRPr="00B73515">
        <w:t>wordt uitdrukke</w:t>
      </w:r>
      <w:r>
        <w:t>lijk van de hand gewezen.</w:t>
      </w:r>
    </w:p>
    <w:p w:rsidR="00000550" w:rsidRDefault="00000550" w:rsidP="00000550">
      <w:pPr>
        <w:keepNext/>
        <w:outlineLvl w:val="3"/>
        <w:rPr>
          <w:b/>
          <w:iCs/>
          <w:u w:val="single"/>
        </w:rPr>
      </w:pPr>
    </w:p>
    <w:p w:rsidR="001B58DB" w:rsidRPr="00B73515" w:rsidRDefault="001B58DB" w:rsidP="00000550">
      <w:pPr>
        <w:keepNext/>
        <w:outlineLvl w:val="3"/>
        <w:rPr>
          <w:b/>
          <w:iCs/>
          <w:u w:val="single"/>
        </w:rPr>
      </w:pPr>
    </w:p>
    <w:p w:rsidR="00000550" w:rsidRPr="00B73515" w:rsidRDefault="00000550" w:rsidP="00000550">
      <w:pPr>
        <w:keepNext/>
        <w:outlineLvl w:val="3"/>
        <w:rPr>
          <w:b/>
          <w:iCs/>
          <w:u w:val="single"/>
        </w:rPr>
      </w:pPr>
      <w:r w:rsidRPr="00B73515">
        <w:rPr>
          <w:b/>
          <w:iCs/>
          <w:u w:val="single"/>
        </w:rPr>
        <w:t>Artikel 3</w:t>
      </w:r>
      <w:r w:rsidRPr="00B73515">
        <w:rPr>
          <w:b/>
          <w:iCs/>
          <w:u w:val="single"/>
        </w:rPr>
        <w:tab/>
        <w:t>Onderwerp van de raamovereenkomst</w:t>
      </w:r>
    </w:p>
    <w:p w:rsidR="00000550" w:rsidRPr="00B73515" w:rsidRDefault="002A706D" w:rsidP="007B4D5D">
      <w:pPr>
        <w:pStyle w:val="Lijstalinea"/>
        <w:numPr>
          <w:ilvl w:val="0"/>
          <w:numId w:val="17"/>
        </w:numPr>
      </w:pPr>
      <w:r>
        <w:t xml:space="preserve">Opdrachtnemer </w:t>
      </w:r>
      <w:r w:rsidR="00000550" w:rsidRPr="00B73515">
        <w:t xml:space="preserve">verbindt zich gedurende de looptijd van deze raamovereenkomst voor </w:t>
      </w:r>
      <w:r w:rsidR="007568CA">
        <w:t>Opdrachtgever</w:t>
      </w:r>
      <w:r w:rsidR="00000550" w:rsidRPr="00B73515">
        <w:t xml:space="preserve"> op basis van de door </w:t>
      </w:r>
      <w:r>
        <w:t xml:space="preserve">Opdrachtnemer </w:t>
      </w:r>
      <w:r w:rsidR="00000550" w:rsidRPr="00B73515">
        <w:t xml:space="preserve">gedane </w:t>
      </w:r>
      <w:r>
        <w:t>inschrijving</w:t>
      </w:r>
      <w:r w:rsidR="00000550" w:rsidRPr="00B73515">
        <w:t xml:space="preserve"> d.d. </w:t>
      </w:r>
      <w:r w:rsidR="00000550" w:rsidRPr="007B4D5D">
        <w:rPr>
          <w:highlight w:val="yellow"/>
        </w:rPr>
        <w:t>(…………)</w:t>
      </w:r>
      <w:r w:rsidR="00000550" w:rsidRPr="00B73515">
        <w:t xml:space="preserve">  met kenmerk </w:t>
      </w:r>
      <w:r w:rsidR="00000550" w:rsidRPr="007B4D5D">
        <w:rPr>
          <w:highlight w:val="yellow"/>
        </w:rPr>
        <w:t>(……)</w:t>
      </w:r>
      <w:r w:rsidR="00000550" w:rsidRPr="00B73515">
        <w:t xml:space="preserve"> welke als bijlage bij deze raamovereenkomst is bijgevoegd de werkzaamheden als genoemd in lid 2</w:t>
      </w:r>
      <w:r>
        <w:t xml:space="preserve"> van dit artikel te verrichten.</w:t>
      </w:r>
    </w:p>
    <w:p w:rsidR="007B4D5D" w:rsidRPr="00B73515" w:rsidRDefault="00000550" w:rsidP="007B4D5D">
      <w:pPr>
        <w:ind w:left="708"/>
      </w:pPr>
      <w:r w:rsidRPr="00B73515">
        <w:t>Bijlagen maken onderdeel uit van deze raamovereenkomst. In geval van tegenstrijdigheden tussen de verschillende bijlagen geldt de rangorde van artik</w:t>
      </w:r>
      <w:r w:rsidR="00831FA7">
        <w:t xml:space="preserve">el </w:t>
      </w:r>
      <w:r w:rsidR="00831FA7" w:rsidRPr="00FD1BE8">
        <w:rPr>
          <w:highlight w:val="yellow"/>
        </w:rPr>
        <w:t>13</w:t>
      </w:r>
      <w:r w:rsidR="00831FA7">
        <w:t xml:space="preserve"> van deze raamovereenkomst.</w:t>
      </w:r>
    </w:p>
    <w:p w:rsidR="00000550" w:rsidRPr="00B73515" w:rsidRDefault="00000550" w:rsidP="002A706D">
      <w:pPr>
        <w:ind w:left="426" w:hanging="426"/>
      </w:pPr>
    </w:p>
    <w:p w:rsidR="00000550" w:rsidRDefault="00000550" w:rsidP="007B4D5D">
      <w:pPr>
        <w:pStyle w:val="Lijstalinea"/>
        <w:numPr>
          <w:ilvl w:val="0"/>
          <w:numId w:val="17"/>
        </w:numPr>
      </w:pPr>
      <w:r w:rsidRPr="00B73515">
        <w:t xml:space="preserve">De werkzaamheden bestaan uit het </w:t>
      </w:r>
      <w:r w:rsidR="00874B75">
        <w:t xml:space="preserve">beschikbaar maken en houden van </w:t>
      </w:r>
      <w:r w:rsidR="003C0554">
        <w:t xml:space="preserve">het </w:t>
      </w:r>
      <w:r w:rsidR="00874B75">
        <w:t>WAN</w:t>
      </w:r>
      <w:r w:rsidR="003C0554">
        <w:t>, zoals omschreven in Offerteaanvraag. Opdrachtnemer heeft zich voldoende op de hoogte gesteld van de doelstellingen van Opdrachtgever</w:t>
      </w:r>
      <w:r w:rsidR="00E256C2">
        <w:t>.</w:t>
      </w:r>
    </w:p>
    <w:p w:rsidR="007B4D5D" w:rsidRDefault="007B4D5D" w:rsidP="007B4D5D">
      <w:pPr>
        <w:pStyle w:val="Lijstalinea"/>
      </w:pPr>
    </w:p>
    <w:p w:rsidR="003C0554" w:rsidRDefault="003C0554" w:rsidP="007B4D5D">
      <w:pPr>
        <w:pStyle w:val="Lijstalinea"/>
        <w:numPr>
          <w:ilvl w:val="0"/>
          <w:numId w:val="17"/>
        </w:numPr>
      </w:pPr>
      <w:r>
        <w:t xml:space="preserve">Gedurende de looptijd heeft de Opdrachtgever het recht om de WAN-dienstverlening af te nemen. Opdrachtgever is niet verplicht tot </w:t>
      </w:r>
      <w:r w:rsidR="00E27EC4">
        <w:t xml:space="preserve">een minimale </w:t>
      </w:r>
      <w:r>
        <w:t xml:space="preserve">afname en kan evenmin een minimale omzet garanderen. </w:t>
      </w:r>
    </w:p>
    <w:p w:rsidR="007B4D5D" w:rsidRDefault="007B4D5D" w:rsidP="007B4D5D">
      <w:pPr>
        <w:pStyle w:val="Lijstalinea"/>
      </w:pPr>
    </w:p>
    <w:p w:rsidR="00E27EC4" w:rsidRDefault="00E27EC4" w:rsidP="007B4D5D">
      <w:pPr>
        <w:pStyle w:val="Lijstalinea"/>
        <w:numPr>
          <w:ilvl w:val="0"/>
          <w:numId w:val="17"/>
        </w:numPr>
      </w:pPr>
      <w:r>
        <w:t xml:space="preserve">Opdrachtgever houdt de mogelijkheid open om nieuwe locaties aan te sluiten op het WAN, inclusief locaties welke nog gebouwd moeten worden. Tevens bestaat de mogelijkheid dat het aantal locaties afneemt, bijvoorbeeld wegens het samenvoegen van regio’s. Partijen treden alsdan in overleg over de aan- en af te sluiten locaties en de (financiële) gevolgen. </w:t>
      </w:r>
    </w:p>
    <w:p w:rsidR="007B4D5D" w:rsidRDefault="007B4D5D" w:rsidP="007B4D5D">
      <w:pPr>
        <w:pStyle w:val="Lijstalinea"/>
      </w:pPr>
    </w:p>
    <w:p w:rsidR="00E27EC4" w:rsidRPr="007B4D5D" w:rsidRDefault="00E27EC4" w:rsidP="007B4D5D">
      <w:pPr>
        <w:pStyle w:val="Lijstalinea"/>
        <w:numPr>
          <w:ilvl w:val="0"/>
          <w:numId w:val="17"/>
        </w:numPr>
      </w:pPr>
      <w:r w:rsidRPr="007B4D5D">
        <w:rPr>
          <w:szCs w:val="18"/>
        </w:rPr>
        <w:t>Opdrachtnemer erkent en is zich er van bewust dat de continuïteit en de kwaliteit van de Dienstverlening voor Opdrachtgever van essentieel belang is en dat onderbreking van de Dienstverlening of onvoldoende kwaliteit van de Dienstverlening voor Opdrachtgever schade met zich mee kan brengen.</w:t>
      </w:r>
    </w:p>
    <w:p w:rsidR="00E27EC4" w:rsidRDefault="00E27EC4" w:rsidP="002A706D">
      <w:pPr>
        <w:ind w:left="426" w:hanging="426"/>
      </w:pPr>
    </w:p>
    <w:p w:rsidR="009F1164" w:rsidRPr="00494DAB" w:rsidRDefault="00D7469C" w:rsidP="009F1164">
      <w:pPr>
        <w:keepNext/>
        <w:outlineLvl w:val="3"/>
        <w:rPr>
          <w:b/>
          <w:iCs/>
          <w:u w:val="single"/>
        </w:rPr>
      </w:pPr>
      <w:r>
        <w:rPr>
          <w:b/>
          <w:iCs/>
          <w:u w:val="single"/>
        </w:rPr>
        <w:t>Artikel 4</w:t>
      </w:r>
      <w:r w:rsidR="009F1164" w:rsidRPr="00494DAB">
        <w:rPr>
          <w:b/>
          <w:iCs/>
          <w:u w:val="single"/>
        </w:rPr>
        <w:t xml:space="preserve"> </w:t>
      </w:r>
      <w:r w:rsidR="009F1164" w:rsidRPr="00494DAB">
        <w:rPr>
          <w:b/>
          <w:iCs/>
          <w:u w:val="single"/>
        </w:rPr>
        <w:tab/>
        <w:t>Levering van aansluiting</w:t>
      </w:r>
    </w:p>
    <w:p w:rsidR="009F1164" w:rsidRPr="007B4D5D" w:rsidRDefault="00D7469C" w:rsidP="007B4D5D">
      <w:pPr>
        <w:pStyle w:val="Lijstalinea"/>
        <w:numPr>
          <w:ilvl w:val="0"/>
          <w:numId w:val="18"/>
        </w:numPr>
        <w:rPr>
          <w:bCs/>
          <w:iCs/>
          <w:color w:val="FF0000"/>
        </w:rPr>
      </w:pPr>
      <w:bookmarkStart w:id="1" w:name="_Toc120628579"/>
      <w:r w:rsidRPr="007B4D5D">
        <w:rPr>
          <w:szCs w:val="18"/>
        </w:rPr>
        <w:t>Tenzij anders overeengekomen wordt een overeengekomen Aansluiting zo spoedig mogelijk en uiterlijk binnen tachtig  (80) Werkdagen</w:t>
      </w:r>
      <w:r w:rsidRPr="007B4D5D">
        <w:rPr>
          <w:szCs w:val="18"/>
          <w:highlight w:val="cyan"/>
        </w:rPr>
        <w:t>, bij normale vergunning verstrekking</w:t>
      </w:r>
      <w:r w:rsidRPr="007B4D5D">
        <w:rPr>
          <w:szCs w:val="18"/>
        </w:rPr>
        <w:t>, na inwerkingtreding van de daartoe strekkende Nadere overeenkomst in dienst gesteld, Indien en voor zover in een Nadere overeenkomst overeengekomen wordt dat Dienstverlener Apparatuur zal leveren welke bedoeld is om de afnemer in staat te stellen daadwerkelijk van de te realiseren Aansluitingen gebruik te doen maken, zal de Aansluiting niet als gerealiseerd beschouwd worden voor de duur dat de afnemer hier geen gebruik van kan maken als gevolg van het vertraagd leveren van de daarbij behorende Apparatuur.</w:t>
      </w:r>
      <w:bookmarkStart w:id="2" w:name="_Toc120628578"/>
      <w:r>
        <w:t xml:space="preserve"> </w:t>
      </w:r>
      <w:r w:rsidR="00D15F0E">
        <w:t xml:space="preserve">Opdrachtnemer </w:t>
      </w:r>
      <w:r w:rsidRPr="007B4D5D">
        <w:rPr>
          <w:szCs w:val="18"/>
        </w:rPr>
        <w:t xml:space="preserve">garandeert </w:t>
      </w:r>
      <w:r w:rsidRPr="007B4D5D">
        <w:rPr>
          <w:szCs w:val="18"/>
        </w:rPr>
        <w:lastRenderedPageBreak/>
        <w:t>een levertijd per verbinding van maximaal tachtig (80) Werkdagen, behoudens onvoorziene omstandigheden, bij normale vergunning verstrekking en het niet van toepassing zijn van door gemeenten afgekondigde graaf- en/of breekverboden indien graaf- en/of breekwerkzaamheden van toepassing zijn.</w:t>
      </w:r>
      <w:bookmarkEnd w:id="2"/>
    </w:p>
    <w:p w:rsidR="00475369" w:rsidRDefault="00475369" w:rsidP="009F1164">
      <w:pPr>
        <w:ind w:left="426" w:hanging="426"/>
        <w:rPr>
          <w:bCs/>
          <w:iCs/>
        </w:rPr>
      </w:pPr>
    </w:p>
    <w:p w:rsidR="00475369" w:rsidRPr="00475369" w:rsidRDefault="00E90B9A" w:rsidP="00475369">
      <w:pPr>
        <w:rPr>
          <w:b/>
          <w:u w:val="single"/>
        </w:rPr>
      </w:pPr>
      <w:r>
        <w:rPr>
          <w:b/>
          <w:u w:val="single"/>
        </w:rPr>
        <w:t>Artikel 5</w:t>
      </w:r>
      <w:r w:rsidR="00475369">
        <w:rPr>
          <w:b/>
          <w:u w:val="single"/>
        </w:rPr>
        <w:tab/>
        <w:t>Migratie</w:t>
      </w:r>
    </w:p>
    <w:p w:rsidR="007B05A1" w:rsidRDefault="007B05A1" w:rsidP="007B05A1"/>
    <w:p w:rsidR="00475369" w:rsidRPr="006619BC" w:rsidRDefault="00475369" w:rsidP="007B05A1">
      <w:pPr>
        <w:rPr>
          <w:bCs/>
          <w:iCs/>
          <w:szCs w:val="18"/>
          <w:lang w:eastAsia="en-GB"/>
        </w:rPr>
      </w:pPr>
    </w:p>
    <w:p w:rsidR="007B05A1" w:rsidRDefault="007B05A1" w:rsidP="007B05A1">
      <w:pPr>
        <w:pStyle w:val="Lijstalinea"/>
        <w:numPr>
          <w:ilvl w:val="0"/>
          <w:numId w:val="15"/>
        </w:numPr>
        <w:rPr>
          <w:szCs w:val="18"/>
        </w:rPr>
      </w:pPr>
      <w:r>
        <w:rPr>
          <w:szCs w:val="18"/>
        </w:rPr>
        <w:t>De Migratie vangt aan op het moment zoals dat is vastgesteld in het geaccordeerde implementatieplan. De implementatie dient met optimale inzet van het benodigde personeel van zowel Opdrachtgever als Opdrachtnemer plaats te vinden.</w:t>
      </w:r>
    </w:p>
    <w:p w:rsidR="007B05A1" w:rsidRDefault="007B05A1" w:rsidP="007B05A1">
      <w:pPr>
        <w:pStyle w:val="Lijstalinea"/>
        <w:rPr>
          <w:szCs w:val="18"/>
        </w:rPr>
      </w:pPr>
    </w:p>
    <w:p w:rsidR="00475369" w:rsidRDefault="00475369" w:rsidP="007B05A1">
      <w:pPr>
        <w:pStyle w:val="Lijstalinea"/>
        <w:numPr>
          <w:ilvl w:val="0"/>
          <w:numId w:val="15"/>
        </w:numPr>
        <w:rPr>
          <w:szCs w:val="18"/>
        </w:rPr>
      </w:pPr>
      <w:r w:rsidRPr="007B05A1">
        <w:rPr>
          <w:szCs w:val="18"/>
        </w:rPr>
        <w:t>De Migratie houdt mede in een instructie, niet zijnde een Opleiding, om Opdrachtgever en diens personeel dat verantwoordelijk zal zijn voor het beheer vertrouwd te maken met het gebruik van het WAN. De instructie wordt gegeven door deskundigen, die daartoe bekwaam en geschikt zijn. De instructie zal zoveel mogelijk worden gegeven door de deskundigen die bij de Implementatie zijn betrokken.</w:t>
      </w:r>
    </w:p>
    <w:p w:rsidR="007B05A1" w:rsidRDefault="007B05A1" w:rsidP="007B05A1">
      <w:pPr>
        <w:pStyle w:val="Lijstalinea"/>
        <w:rPr>
          <w:szCs w:val="18"/>
        </w:rPr>
      </w:pPr>
    </w:p>
    <w:p w:rsidR="00475369" w:rsidRDefault="00475369" w:rsidP="007B05A1">
      <w:pPr>
        <w:pStyle w:val="Lijstalinea"/>
        <w:numPr>
          <w:ilvl w:val="0"/>
          <w:numId w:val="15"/>
        </w:numPr>
        <w:rPr>
          <w:szCs w:val="18"/>
        </w:rPr>
      </w:pPr>
      <w:r w:rsidRPr="007B05A1">
        <w:rPr>
          <w:szCs w:val="18"/>
        </w:rPr>
        <w:t xml:space="preserve">Als onderdeel van de Implementatie zal </w:t>
      </w:r>
      <w:r w:rsidR="00D31BE2" w:rsidRPr="007B05A1">
        <w:rPr>
          <w:szCs w:val="18"/>
        </w:rPr>
        <w:t>Opdrachtnemer</w:t>
      </w:r>
      <w:r w:rsidRPr="007B05A1">
        <w:rPr>
          <w:szCs w:val="18"/>
        </w:rPr>
        <w:t xml:space="preserve"> een test uitvoeren, welke ertoe strekt </w:t>
      </w:r>
      <w:r w:rsidR="00D31BE2" w:rsidRPr="007B05A1">
        <w:rPr>
          <w:szCs w:val="18"/>
        </w:rPr>
        <w:t>Opdrachtnemer</w:t>
      </w:r>
      <w:r w:rsidRPr="007B05A1">
        <w:rPr>
          <w:szCs w:val="18"/>
        </w:rPr>
        <w:t xml:space="preserve"> voor zichzelf te laten vaststellen dat het WAN goed werkt.</w:t>
      </w:r>
    </w:p>
    <w:p w:rsidR="007B05A1" w:rsidRPr="007B05A1" w:rsidRDefault="007B05A1" w:rsidP="007B05A1">
      <w:pPr>
        <w:pStyle w:val="Lijstalinea"/>
        <w:rPr>
          <w:szCs w:val="18"/>
        </w:rPr>
      </w:pPr>
    </w:p>
    <w:p w:rsidR="00475369" w:rsidRDefault="00475369" w:rsidP="007B05A1">
      <w:pPr>
        <w:pStyle w:val="Lijstalinea"/>
        <w:numPr>
          <w:ilvl w:val="0"/>
          <w:numId w:val="15"/>
        </w:numPr>
        <w:rPr>
          <w:szCs w:val="18"/>
        </w:rPr>
      </w:pPr>
      <w:r w:rsidRPr="007B05A1">
        <w:rPr>
          <w:szCs w:val="18"/>
        </w:rPr>
        <w:t>Zodra naar mening van Opdrachtnemer de Implementatie is voltooid, zal Opdrachtnemer aan Opdrachtgever een Gereedmelding doen toekomen. Opdrachtgever zal de ontvangst van deze Gereedmelding onverwijld schriftelijk aan Opdrachtnemer bevestigen. De datum van de bevestiging door Opdrachtgever geldt als de datum van de Gereedmelding. De Gereedmelding laat het bepaalde in de Overeenkomst omtrent Acceptatie en garantie onverlet.</w:t>
      </w:r>
    </w:p>
    <w:p w:rsidR="007B05A1" w:rsidRPr="007B05A1" w:rsidRDefault="007B05A1" w:rsidP="007B05A1">
      <w:pPr>
        <w:pStyle w:val="Lijstalinea"/>
        <w:rPr>
          <w:szCs w:val="18"/>
        </w:rPr>
      </w:pPr>
    </w:p>
    <w:p w:rsidR="00475369" w:rsidRDefault="00475369" w:rsidP="007B05A1">
      <w:pPr>
        <w:pStyle w:val="Lijstalinea"/>
        <w:numPr>
          <w:ilvl w:val="0"/>
          <w:numId w:val="15"/>
        </w:numPr>
        <w:rPr>
          <w:szCs w:val="18"/>
        </w:rPr>
      </w:pPr>
      <w:r w:rsidRPr="007B05A1">
        <w:rPr>
          <w:szCs w:val="18"/>
        </w:rPr>
        <w:t>De Acceptatie zal plaatsvinden op grond van het omschreven acceptatieproces en conform de tijdens de Migratie geformuleerde acceptatiecriteria.</w:t>
      </w:r>
    </w:p>
    <w:p w:rsidR="007B05A1" w:rsidRPr="007B05A1" w:rsidRDefault="007B05A1" w:rsidP="007B05A1">
      <w:pPr>
        <w:pStyle w:val="Lijstalinea"/>
        <w:rPr>
          <w:szCs w:val="18"/>
        </w:rPr>
      </w:pPr>
    </w:p>
    <w:p w:rsidR="00475369" w:rsidRPr="007B05A1" w:rsidRDefault="00D31BE2" w:rsidP="007B05A1">
      <w:pPr>
        <w:pStyle w:val="Lijstalinea"/>
        <w:numPr>
          <w:ilvl w:val="0"/>
          <w:numId w:val="15"/>
        </w:numPr>
        <w:rPr>
          <w:szCs w:val="18"/>
        </w:rPr>
      </w:pPr>
      <w:r w:rsidRPr="007B05A1">
        <w:rPr>
          <w:szCs w:val="18"/>
        </w:rPr>
        <w:t>Opdrachtnemer</w:t>
      </w:r>
      <w:r w:rsidR="00475369" w:rsidRPr="007B05A1">
        <w:rPr>
          <w:szCs w:val="18"/>
        </w:rPr>
        <w:t xml:space="preserve"> draagt er zorg voor dat Opdrachtgever tijdig kan accepteren.</w:t>
      </w:r>
    </w:p>
    <w:p w:rsidR="00475369" w:rsidRPr="006F0D19" w:rsidRDefault="00475369" w:rsidP="00475369">
      <w:pPr>
        <w:ind w:left="567" w:hanging="567"/>
        <w:rPr>
          <w:szCs w:val="18"/>
        </w:rPr>
      </w:pPr>
    </w:p>
    <w:bookmarkEnd w:id="1"/>
    <w:p w:rsidR="001B58DB" w:rsidRPr="00B73515" w:rsidRDefault="001B58DB" w:rsidP="00000550"/>
    <w:p w:rsidR="00000550" w:rsidRPr="00B73515" w:rsidRDefault="00021641" w:rsidP="00000550">
      <w:pPr>
        <w:keepNext/>
        <w:outlineLvl w:val="3"/>
        <w:rPr>
          <w:b/>
          <w:iCs/>
          <w:u w:val="single"/>
        </w:rPr>
      </w:pPr>
      <w:r>
        <w:rPr>
          <w:b/>
          <w:iCs/>
          <w:u w:val="single"/>
        </w:rPr>
        <w:t>Artikel 6</w:t>
      </w:r>
      <w:r w:rsidR="00000550" w:rsidRPr="00B73515">
        <w:rPr>
          <w:b/>
          <w:iCs/>
          <w:u w:val="single"/>
        </w:rPr>
        <w:tab/>
        <w:t>Duur van de raamovereenkomst</w:t>
      </w:r>
    </w:p>
    <w:p w:rsidR="00000550" w:rsidRDefault="00000550" w:rsidP="00B27FEA">
      <w:pPr>
        <w:pStyle w:val="Lijstalinea"/>
        <w:numPr>
          <w:ilvl w:val="0"/>
          <w:numId w:val="16"/>
        </w:numPr>
      </w:pPr>
      <w:r w:rsidRPr="00AD45C5">
        <w:t xml:space="preserve">De raamovereenkomst treedt in werking op </w:t>
      </w:r>
      <w:r w:rsidR="00B210A7">
        <w:t>1-3-2014</w:t>
      </w:r>
      <w:r w:rsidR="008F6265">
        <w:t xml:space="preserve"> en heeft een looptijd van tien (10)</w:t>
      </w:r>
      <w:r w:rsidRPr="00AD45C5">
        <w:t xml:space="preserve"> jaar, met </w:t>
      </w:r>
      <w:r w:rsidRPr="008F6265">
        <w:t xml:space="preserve">de mogelijkheid om de overeenkomst  </w:t>
      </w:r>
      <w:r w:rsidR="008F6265" w:rsidRPr="008F6265">
        <w:t>vijf</w:t>
      </w:r>
      <w:r w:rsidR="00831FA7" w:rsidRPr="008F6265">
        <w:t xml:space="preserve"> </w:t>
      </w:r>
      <w:r w:rsidRPr="008F6265">
        <w:t>(</w:t>
      </w:r>
      <w:r w:rsidR="008F6265" w:rsidRPr="008F6265">
        <w:t>5</w:t>
      </w:r>
      <w:r w:rsidRPr="008F6265">
        <w:t>)  keer met één (1)  jaar te verlengen.</w:t>
      </w:r>
    </w:p>
    <w:p w:rsidR="00B27FEA" w:rsidRDefault="00B27FEA" w:rsidP="00B27FEA">
      <w:pPr>
        <w:pStyle w:val="Lijstalinea"/>
      </w:pPr>
    </w:p>
    <w:p w:rsidR="00000550" w:rsidRPr="00B73515" w:rsidRDefault="00000550" w:rsidP="00B27FEA">
      <w:pPr>
        <w:pStyle w:val="Lijstalinea"/>
        <w:numPr>
          <w:ilvl w:val="0"/>
          <w:numId w:val="16"/>
        </w:numPr>
      </w:pPr>
      <w:r w:rsidRPr="00B73515">
        <w:t xml:space="preserve">Indien </w:t>
      </w:r>
      <w:r w:rsidR="007568CA">
        <w:t>Opdrachtgever</w:t>
      </w:r>
      <w:r w:rsidRPr="00B73515">
        <w:t xml:space="preserve"> gebruik wenst te maken van een mogelijkheid tot verlenging zal zij dit minimaal 3 maanden voorafgaand aan de afloopdatum van de raamovereenkomst, op schriftelijke w</w:t>
      </w:r>
      <w:r w:rsidR="00831FA7">
        <w:t>ijze, kenbaar maken aan Opdrachtnemer.</w:t>
      </w:r>
    </w:p>
    <w:p w:rsidR="00000550" w:rsidRDefault="00000550" w:rsidP="00000550"/>
    <w:p w:rsidR="001B58DB" w:rsidRPr="00B73515" w:rsidRDefault="001B58DB" w:rsidP="00000550"/>
    <w:p w:rsidR="00000550" w:rsidRPr="00B73515" w:rsidRDefault="00021641" w:rsidP="00000550">
      <w:pPr>
        <w:keepNext/>
        <w:outlineLvl w:val="3"/>
        <w:rPr>
          <w:b/>
          <w:iCs/>
          <w:u w:val="single"/>
        </w:rPr>
      </w:pPr>
      <w:r>
        <w:rPr>
          <w:b/>
          <w:iCs/>
          <w:u w:val="single"/>
        </w:rPr>
        <w:t>Artikel 7</w:t>
      </w:r>
      <w:r w:rsidR="00000550" w:rsidRPr="00B73515">
        <w:rPr>
          <w:b/>
          <w:iCs/>
          <w:u w:val="single"/>
        </w:rPr>
        <w:tab/>
        <w:t>Prijzen</w:t>
      </w:r>
      <w:r w:rsidR="009E13E1">
        <w:rPr>
          <w:b/>
          <w:iCs/>
          <w:u w:val="single"/>
        </w:rPr>
        <w:t xml:space="preserve"> en betalingen</w:t>
      </w:r>
    </w:p>
    <w:p w:rsidR="00000550" w:rsidRDefault="00000550" w:rsidP="0029761F">
      <w:pPr>
        <w:pStyle w:val="Lijstalinea"/>
        <w:numPr>
          <w:ilvl w:val="0"/>
          <w:numId w:val="19"/>
        </w:numPr>
      </w:pPr>
      <w:r w:rsidRPr="00B73515">
        <w:t xml:space="preserve">De prijzen t.b.v. het  </w:t>
      </w:r>
      <w:r w:rsidR="00080874">
        <w:t>WAN</w:t>
      </w:r>
      <w:r w:rsidR="00831FA7">
        <w:t xml:space="preserve"> zijn ‘all-</w:t>
      </w:r>
      <w:r w:rsidR="0075005A">
        <w:t xml:space="preserve">in’ prijzen, </w:t>
      </w:r>
      <w:r w:rsidRPr="00B73515">
        <w:t>zoals deze staan vermeld i</w:t>
      </w:r>
      <w:r w:rsidR="00831FA7">
        <w:t xml:space="preserve">n het prijzenblad. </w:t>
      </w:r>
      <w:r w:rsidR="007463FF">
        <w:t xml:space="preserve">Het betreft hier de kosten </w:t>
      </w:r>
      <w:r w:rsidRPr="00B73515">
        <w:t xml:space="preserve">die voortvloeien uit de opdracht, het programma van eisen en die </w:t>
      </w:r>
      <w:r w:rsidR="007463FF">
        <w:t xml:space="preserve">tevens </w:t>
      </w:r>
      <w:r w:rsidRPr="00B73515">
        <w:t>samenhangen met de levering en di</w:t>
      </w:r>
      <w:r w:rsidR="00137E6A">
        <w:t>enstverlening van betreffende</w:t>
      </w:r>
      <w:r w:rsidRPr="00B73515">
        <w:t xml:space="preserve"> </w:t>
      </w:r>
      <w:r w:rsidR="0075005A">
        <w:t>WAN-verbindingen</w:t>
      </w:r>
      <w:r w:rsidRPr="00B73515">
        <w:t>.</w:t>
      </w:r>
    </w:p>
    <w:p w:rsidR="0029761F" w:rsidRDefault="0029761F" w:rsidP="0029761F">
      <w:pPr>
        <w:pStyle w:val="Lijstalinea"/>
      </w:pPr>
    </w:p>
    <w:p w:rsidR="002033D4" w:rsidRPr="002033D4" w:rsidRDefault="002033D4" w:rsidP="002033D4">
      <w:pPr>
        <w:pStyle w:val="Lijstalinea"/>
        <w:numPr>
          <w:ilvl w:val="0"/>
          <w:numId w:val="19"/>
        </w:numPr>
        <w:autoSpaceDE w:val="0"/>
        <w:autoSpaceDN w:val="0"/>
        <w:adjustRightInd w:val="0"/>
        <w:rPr>
          <w:color w:val="000000" w:themeColor="text1"/>
        </w:rPr>
      </w:pPr>
      <w:r w:rsidRPr="00BF5271">
        <w:t xml:space="preserve">Prijzen kunnen per </w:t>
      </w:r>
      <w:r w:rsidR="0006541E">
        <w:t>jaar</w:t>
      </w:r>
      <w:r w:rsidRPr="00BF5271">
        <w:t xml:space="preserve"> worden aangepast </w:t>
      </w:r>
      <w:r>
        <w:t>conform de</w:t>
      </w:r>
      <w:r w:rsidR="00D1458F">
        <w:t xml:space="preserve"> </w:t>
      </w:r>
      <w:r>
        <w:t>CBS</w:t>
      </w:r>
      <w:r w:rsidR="00E52895">
        <w:t xml:space="preserve"> Dienstenprijzen</w:t>
      </w:r>
      <w:r>
        <w:t xml:space="preserve"> </w:t>
      </w:r>
      <w:r w:rsidR="00E52895">
        <w:t>(DPI) voor telecommunicatie</w:t>
      </w:r>
      <w:r w:rsidR="007F5AB4">
        <w:t xml:space="preserve"> (61)</w:t>
      </w:r>
      <w:r w:rsidR="00E52895">
        <w:t>.</w:t>
      </w:r>
      <w:r>
        <w:t xml:space="preserve"> </w:t>
      </w:r>
      <w:r w:rsidRPr="002033D4">
        <w:rPr>
          <w:color w:val="000000" w:themeColor="text1"/>
        </w:rPr>
        <w:t>Peildatum voor de</w:t>
      </w:r>
      <w:r>
        <w:rPr>
          <w:color w:val="000000" w:themeColor="text1"/>
        </w:rPr>
        <w:t xml:space="preserve"> eerstvolgende indexering is 1-3</w:t>
      </w:r>
      <w:r w:rsidRPr="002033D4">
        <w:rPr>
          <w:color w:val="000000" w:themeColor="text1"/>
        </w:rPr>
        <w:t>-</w:t>
      </w:r>
      <w:r>
        <w:rPr>
          <w:color w:val="000000" w:themeColor="text1"/>
        </w:rPr>
        <w:t>2015</w:t>
      </w:r>
      <w:r w:rsidRPr="002033D4">
        <w:rPr>
          <w:color w:val="000000" w:themeColor="text1"/>
        </w:rPr>
        <w:t>.</w:t>
      </w:r>
    </w:p>
    <w:p w:rsidR="002033D4" w:rsidRDefault="002033D4" w:rsidP="002033D4">
      <w:pPr>
        <w:pStyle w:val="Lijstalinea"/>
        <w:autoSpaceDE w:val="0"/>
        <w:autoSpaceDN w:val="0"/>
        <w:adjustRightInd w:val="0"/>
      </w:pPr>
    </w:p>
    <w:p w:rsidR="002033D4" w:rsidRPr="00BF5271" w:rsidRDefault="002033D4" w:rsidP="002033D4">
      <w:pPr>
        <w:autoSpaceDE w:val="0"/>
        <w:autoSpaceDN w:val="0"/>
        <w:adjustRightInd w:val="0"/>
        <w:ind w:left="708"/>
      </w:pPr>
      <w:r w:rsidRPr="00BF5271">
        <w:t xml:space="preserve">Het nieuwe bedrag, na indexering, wordt rekenkundig afgerond op één eurocent. </w:t>
      </w:r>
      <w:r>
        <w:t>Opdrachtnemer</w:t>
      </w:r>
      <w:r w:rsidR="00C0600F">
        <w:t xml:space="preserve"> geeft drie</w:t>
      </w:r>
      <w:r w:rsidRPr="00BF5271">
        <w:t xml:space="preserve"> maand</w:t>
      </w:r>
      <w:r w:rsidR="00C0600F">
        <w:t>en</w:t>
      </w:r>
      <w:r w:rsidRPr="00BF5271">
        <w:t xml:space="preserve"> voor de ingangsdatum van nieuwe tarieven een onderbouwd voorstel aan ROC ID College. Prijswijzigingen gaan pas in nadat ROC ID College hiervoor schriftelijk toestemming heeft gegeven. Deze toestemming zal niet worden geweigerd indien deze tot stand is gekomen volgens de bovenstaande methodiek.</w:t>
      </w:r>
    </w:p>
    <w:p w:rsidR="00831FA7" w:rsidRDefault="00831FA7" w:rsidP="002033D4"/>
    <w:p w:rsidR="00F42910" w:rsidRDefault="00F42910" w:rsidP="00F42910">
      <w:pPr>
        <w:pStyle w:val="Lijstalinea"/>
      </w:pPr>
    </w:p>
    <w:p w:rsidR="009E13E1" w:rsidRPr="006B7306" w:rsidRDefault="00C94AB2" w:rsidP="00B85BD8">
      <w:pPr>
        <w:pStyle w:val="Lijstalinea"/>
        <w:numPr>
          <w:ilvl w:val="0"/>
          <w:numId w:val="19"/>
        </w:numPr>
      </w:pPr>
      <w:r w:rsidRPr="006B7306">
        <w:t>Betaling geschiedt als volgt: exploitatiekosten worden maandelijks achteraf doorbelast. Voor de investeringskosten geldt</w:t>
      </w:r>
      <w:r w:rsidR="0075005A" w:rsidRPr="006B7306">
        <w:t xml:space="preserve"> </w:t>
      </w:r>
      <w:r w:rsidR="00CC382A" w:rsidRPr="006B7306">
        <w:t xml:space="preserve">dat in het jaar 2014 € 200.000 incl </w:t>
      </w:r>
      <w:r w:rsidR="006B7306">
        <w:t xml:space="preserve">btw beschikbaar is gesteld. De overige investeringskosten worden evenredig verspreidt over </w:t>
      </w:r>
      <w:r w:rsidR="00CA23B5">
        <w:t>de totale contractduur en per maand achteraf gefactureerd.</w:t>
      </w:r>
    </w:p>
    <w:p w:rsidR="00000550" w:rsidRDefault="00000550" w:rsidP="00000550"/>
    <w:p w:rsidR="001B58DB" w:rsidRPr="00B73515" w:rsidRDefault="001B58DB" w:rsidP="00000550"/>
    <w:p w:rsidR="00000550" w:rsidRPr="00B73515" w:rsidRDefault="00C720AE" w:rsidP="00000550">
      <w:pPr>
        <w:rPr>
          <w:b/>
          <w:u w:val="single"/>
        </w:rPr>
      </w:pPr>
      <w:r>
        <w:rPr>
          <w:b/>
          <w:u w:val="single"/>
        </w:rPr>
        <w:t>Artikel 8</w:t>
      </w:r>
      <w:r w:rsidR="00000550" w:rsidRPr="00B73515">
        <w:rPr>
          <w:b/>
          <w:u w:val="single"/>
        </w:rPr>
        <w:tab/>
        <w:t>Aansprakelijkheid</w:t>
      </w:r>
    </w:p>
    <w:p w:rsidR="00000550" w:rsidRDefault="00000550" w:rsidP="00D83E9D">
      <w:r w:rsidRPr="00B73515">
        <w:t xml:space="preserve">In aanvulling op artikel </w:t>
      </w:r>
      <w:r w:rsidR="00E33470">
        <w:t>15.6</w:t>
      </w:r>
      <w:r w:rsidRPr="00B73515">
        <w:t xml:space="preserve"> van de Algemene Inkoopvoorwaarden van </w:t>
      </w:r>
      <w:r w:rsidR="007568CA">
        <w:t>Opdrachtgever</w:t>
      </w:r>
      <w:r w:rsidRPr="00B73515">
        <w:t xml:space="preserve"> komen partijen het volgende overeen:</w:t>
      </w:r>
    </w:p>
    <w:p w:rsidR="00831FA7" w:rsidRPr="00B73515" w:rsidRDefault="00831FA7" w:rsidP="00831FA7"/>
    <w:p w:rsidR="00000550" w:rsidRDefault="00000550" w:rsidP="00E33470">
      <w:pPr>
        <w:ind w:left="426" w:hanging="426"/>
      </w:pPr>
      <w:r w:rsidRPr="00B73515">
        <w:t>De aansprakelijkheid van partijen in het kader van een handelen of nalaten wordt als volgt beperkt:</w:t>
      </w:r>
    </w:p>
    <w:p w:rsidR="00E33470" w:rsidRPr="00B73515" w:rsidRDefault="00E33470" w:rsidP="00E33470">
      <w:pPr>
        <w:ind w:left="426" w:hanging="426"/>
      </w:pPr>
    </w:p>
    <w:p w:rsidR="00000550" w:rsidRDefault="00000550" w:rsidP="00D7539F">
      <w:pPr>
        <w:pStyle w:val="Lijstalinea"/>
        <w:numPr>
          <w:ilvl w:val="0"/>
          <w:numId w:val="4"/>
        </w:numPr>
      </w:pPr>
      <w:r w:rsidRPr="00B73515">
        <w:t>voor zaakschade, dat wil zeggen beschadiging, vernietiging, gebrekkig of niet functioneren, verminderde betrouwbaarheid en verhoogde storingsgevoeligheid en verlies van apparatuur, alsmede vuil worden van zaken van de andere partij en/of derden, met inbegrip van de daaruit voortvloeiende op geld waardeerbare gevolg</w:t>
      </w:r>
      <w:r w:rsidR="00917287">
        <w:t>schade, tot een bedrag van €500</w:t>
      </w:r>
      <w:r w:rsidRPr="00B73515">
        <w:t xml:space="preserve">.000,- per gebeurtenis en gemaximeerd tot </w:t>
      </w:r>
      <w:r w:rsidR="00917287">
        <w:t>€ 1.0</w:t>
      </w:r>
      <w:r w:rsidR="00831FA7">
        <w:t>0</w:t>
      </w:r>
      <w:r w:rsidR="002524FC">
        <w:t>0</w:t>
      </w:r>
      <w:r w:rsidR="00831FA7">
        <w:t xml:space="preserve">.000,- </w:t>
      </w:r>
      <w:r w:rsidRPr="00B73515">
        <w:t>per kalenderjaar.</w:t>
      </w:r>
    </w:p>
    <w:p w:rsidR="00E33470" w:rsidRPr="00B73515" w:rsidRDefault="00E33470" w:rsidP="00E33470">
      <w:pPr>
        <w:ind w:left="426"/>
      </w:pPr>
    </w:p>
    <w:p w:rsidR="0075005A" w:rsidRPr="0075005A" w:rsidRDefault="00000550" w:rsidP="00D7539F">
      <w:pPr>
        <w:pStyle w:val="Lijstalinea"/>
        <w:numPr>
          <w:ilvl w:val="0"/>
          <w:numId w:val="4"/>
        </w:numPr>
      </w:pPr>
      <w:r w:rsidRPr="00B73515">
        <w:t>voor financieel nadeel, dat wil zeggen door de andere partij geleden schade in het vermogen dat voortvloeit uit handelen of nalaten in verband met de uitvoering van diensten en/of werkzaamheden tot een bedrag van €</w:t>
      </w:r>
      <w:r w:rsidR="002524FC">
        <w:t xml:space="preserve"> 50</w:t>
      </w:r>
      <w:r w:rsidR="00917287">
        <w:t>0</w:t>
      </w:r>
      <w:r w:rsidRPr="00B73515">
        <w:t xml:space="preserve">.000,- per gebeurtenis </w:t>
      </w:r>
      <w:r w:rsidRPr="00D7539F">
        <w:rPr>
          <w:bCs/>
        </w:rPr>
        <w:t xml:space="preserve">en gemaximeerd tot </w:t>
      </w:r>
    </w:p>
    <w:p w:rsidR="00D7539F" w:rsidRDefault="002524FC" w:rsidP="00B82F04">
      <w:pPr>
        <w:ind w:left="426" w:firstLine="282"/>
      </w:pPr>
      <w:r>
        <w:rPr>
          <w:bCs/>
        </w:rPr>
        <w:t>€ 1.0</w:t>
      </w:r>
      <w:r w:rsidR="00831FA7">
        <w:rPr>
          <w:bCs/>
        </w:rPr>
        <w:t xml:space="preserve">00.000,- </w:t>
      </w:r>
      <w:r w:rsidR="00000550" w:rsidRPr="00B73515">
        <w:rPr>
          <w:bCs/>
        </w:rPr>
        <w:t>per kalenderjaar</w:t>
      </w:r>
      <w:r w:rsidR="00000550" w:rsidRPr="00B73515">
        <w:t>.</w:t>
      </w:r>
    </w:p>
    <w:p w:rsidR="00E33470" w:rsidRPr="00B73515" w:rsidRDefault="00E33470" w:rsidP="00E33470"/>
    <w:p w:rsidR="00000550" w:rsidRDefault="00000550" w:rsidP="00D7539F">
      <w:pPr>
        <w:pStyle w:val="Lijstalinea"/>
        <w:numPr>
          <w:ilvl w:val="0"/>
          <w:numId w:val="4"/>
        </w:numPr>
      </w:pPr>
      <w:r w:rsidRPr="00B73515">
        <w:t>de aansprakelijkheid voor personenschade, dat wil zeggen letsel of aantasting van de gezondheid van personen, al dan niet de dood ten gevolge hebbend, met inbegrip van de daaruit voortvloeiende op geld waardeerbare gevolgschade, is onbeperkt.</w:t>
      </w:r>
    </w:p>
    <w:p w:rsidR="00E33470" w:rsidRPr="00B73515" w:rsidRDefault="00E33470" w:rsidP="00E33470"/>
    <w:p w:rsidR="00000550" w:rsidRDefault="00000550" w:rsidP="00000550">
      <w:pPr>
        <w:pStyle w:val="Lijstalinea"/>
        <w:numPr>
          <w:ilvl w:val="0"/>
          <w:numId w:val="4"/>
        </w:numPr>
      </w:pPr>
      <w:r w:rsidRPr="00B73515">
        <w:t xml:space="preserve">de onder dit artikel </w:t>
      </w:r>
      <w:r w:rsidR="00E33470">
        <w:t>s</w:t>
      </w:r>
      <w:r w:rsidRPr="00B73515">
        <w:t>ub 1 en 2 opgenomen beperking van aansprakelijkheid komt te vervallen indien er sprake is van opzet en/of grove schuld en/of schending van intellectuele en industriële eigendomsrechten, waaronder begrepen inbreuk op of onbevoegd gebruik van systemen of programma’s van derden.</w:t>
      </w:r>
      <w:r w:rsidR="00E33470">
        <w:t xml:space="preserve"> </w:t>
      </w:r>
      <w:r w:rsidRPr="00B73515">
        <w:t>Gebeurtenissen die met elkaar verband houden, of uit elkaar of uit hetzelfde handelen of nalaten voortvloeien, worden als één gebeurtenis beschouwd en worden geacht te zijn gevorderd op het moment dat de eerste aanspraak is gedaan.</w:t>
      </w:r>
    </w:p>
    <w:p w:rsidR="001B58DB" w:rsidRPr="00B73515" w:rsidRDefault="001B58DB" w:rsidP="00000550"/>
    <w:p w:rsidR="00000550" w:rsidRPr="00B73515" w:rsidRDefault="00AF58C4" w:rsidP="00000550">
      <w:r>
        <w:rPr>
          <w:b/>
          <w:u w:val="single"/>
        </w:rPr>
        <w:t>Artikel 9</w:t>
      </w:r>
      <w:r w:rsidR="00000550" w:rsidRPr="00B73515">
        <w:rPr>
          <w:b/>
          <w:u w:val="single"/>
        </w:rPr>
        <w:tab/>
        <w:t>Risico en eigendomsoverdracht</w:t>
      </w:r>
    </w:p>
    <w:p w:rsidR="00000550" w:rsidRPr="00B73515" w:rsidRDefault="00000550" w:rsidP="00FE0913">
      <w:pPr>
        <w:ind w:left="426" w:hanging="426"/>
      </w:pPr>
      <w:r w:rsidRPr="009E13E1">
        <w:t xml:space="preserve">1. </w:t>
      </w:r>
      <w:r w:rsidR="00FE0913" w:rsidRPr="009E13E1">
        <w:tab/>
        <w:t>Opdrachtnemer</w:t>
      </w:r>
      <w:r w:rsidR="00B26D9F" w:rsidRPr="009E13E1">
        <w:t xml:space="preserve"> draagt het</w:t>
      </w:r>
      <w:r w:rsidRPr="009E13E1">
        <w:t xml:space="preserve"> eigendom van een Hardware component over aan </w:t>
      </w:r>
      <w:r w:rsidR="007568CA" w:rsidRPr="009E13E1">
        <w:t>Opdrachtgever</w:t>
      </w:r>
      <w:r w:rsidRPr="009E13E1">
        <w:t xml:space="preserve"> na aflevering. Voor een voorziening (feature), conversie, of ander type upgrade welke voor een Hardware component is aangeschaft, schort </w:t>
      </w:r>
      <w:r w:rsidR="00B26D9F" w:rsidRPr="009E13E1">
        <w:t xml:space="preserve">Opdrachtnemer </w:t>
      </w:r>
      <w:r w:rsidRPr="009E13E1">
        <w:t xml:space="preserve">de overdracht van de eigendom op totdat aflevering heeft plaatsgevonden en </w:t>
      </w:r>
      <w:r w:rsidR="00B26D9F" w:rsidRPr="009E13E1">
        <w:t xml:space="preserve">Opdrachtnemer </w:t>
      </w:r>
      <w:r w:rsidRPr="009E13E1">
        <w:t>betaling van alle verschuldigde bedragen heeft ontvangen en, voor zover van toepassing, alle verwijderde onderdelen heeft ontvange</w:t>
      </w:r>
      <w:r w:rsidR="00B26D9F" w:rsidRPr="009E13E1">
        <w:t>n, die eigendom worden van Opdrachtnemer</w:t>
      </w:r>
      <w:r w:rsidRPr="009E13E1">
        <w:t>.</w:t>
      </w:r>
    </w:p>
    <w:p w:rsidR="00000550" w:rsidRPr="00B73515" w:rsidRDefault="00B26D9F" w:rsidP="00B26D9F">
      <w:pPr>
        <w:snapToGrid w:val="0"/>
        <w:ind w:left="426" w:hanging="426"/>
      </w:pPr>
      <w:r>
        <w:t xml:space="preserve"> </w:t>
      </w:r>
      <w:r>
        <w:tab/>
      </w:r>
      <w:r w:rsidR="00000550" w:rsidRPr="00B73515">
        <w:t xml:space="preserve">Voor elke Hardware component draagt </w:t>
      </w:r>
      <w:r w:rsidR="00FE0913">
        <w:t>Opdrachtnemer</w:t>
      </w:r>
      <w:r w:rsidR="00000550" w:rsidRPr="00B73515">
        <w:t xml:space="preserve"> het risico van verlies of beschadiging tot het moment van aflevering daarvan aan de door </w:t>
      </w:r>
      <w:r w:rsidR="00FE0913">
        <w:t>Opdrachtnemer</w:t>
      </w:r>
      <w:r w:rsidR="00000550" w:rsidRPr="00B73515">
        <w:t xml:space="preserve"> aangewezen vervoerder voor vervoer naar </w:t>
      </w:r>
      <w:r w:rsidR="007568CA">
        <w:t>Opdrachtgever</w:t>
      </w:r>
      <w:r w:rsidR="00000550" w:rsidRPr="00B73515">
        <w:t xml:space="preserve"> of naar de door </w:t>
      </w:r>
      <w:r w:rsidR="007568CA">
        <w:t>Opdrachtgever</w:t>
      </w:r>
      <w:r w:rsidR="00000550" w:rsidRPr="00B73515">
        <w:t xml:space="preserve"> aangewezen locatie. Daarna neemt </w:t>
      </w:r>
      <w:r w:rsidR="007568CA">
        <w:t>Opdrachtgever</w:t>
      </w:r>
      <w:r w:rsidR="00000550" w:rsidRPr="00B73515">
        <w:t xml:space="preserve"> het risico over. Elke Hardware component zal gedekt zijn door een door </w:t>
      </w:r>
      <w:r w:rsidR="00FE0913">
        <w:t>Opdrachtnemer</w:t>
      </w:r>
      <w:r w:rsidR="00000550" w:rsidRPr="00B73515">
        <w:t xml:space="preserve"> voor </w:t>
      </w:r>
      <w:r w:rsidR="007568CA">
        <w:t>Opdrachtgever</w:t>
      </w:r>
      <w:r w:rsidR="00000550" w:rsidRPr="00B73515">
        <w:t xml:space="preserve"> afgesloten en betaalde verzekering, voor de periode totdat de Hardware component bij </w:t>
      </w:r>
      <w:r w:rsidR="007568CA">
        <w:t>Opdrachtgever</w:t>
      </w:r>
      <w:r w:rsidR="00000550" w:rsidRPr="00B73515">
        <w:t xml:space="preserve"> of op de door </w:t>
      </w:r>
      <w:r w:rsidR="007568CA">
        <w:t>Opdrachtgever</w:t>
      </w:r>
      <w:r w:rsidR="00000550" w:rsidRPr="00B73515">
        <w:t xml:space="preserve"> aangewezen locatie is afgeleverd. Voor elk verlies of elke beschadiging dient </w:t>
      </w:r>
      <w:r w:rsidR="007568CA">
        <w:t>Opdrachtgever</w:t>
      </w:r>
      <w:r w:rsidR="00000550" w:rsidRPr="00B73515">
        <w:t>:</w:t>
      </w:r>
    </w:p>
    <w:p w:rsidR="00000550" w:rsidRPr="00B73515" w:rsidRDefault="00000550" w:rsidP="00B26D9F">
      <w:pPr>
        <w:numPr>
          <w:ilvl w:val="0"/>
          <w:numId w:val="5"/>
        </w:numPr>
        <w:tabs>
          <w:tab w:val="clear" w:pos="1080"/>
          <w:tab w:val="num" w:pos="851"/>
        </w:tabs>
        <w:snapToGrid w:val="0"/>
        <w:ind w:left="851" w:hanging="425"/>
      </w:pPr>
      <w:r w:rsidRPr="00B73515">
        <w:t xml:space="preserve">het verlies of de schade binnen 10 werkdagen vanaf aflevering schriftelijk aan </w:t>
      </w:r>
      <w:r w:rsidR="00FE0913">
        <w:t>Opdrachtnemer</w:t>
      </w:r>
      <w:r w:rsidRPr="00B73515">
        <w:t xml:space="preserve">  te rapporteren, en</w:t>
      </w:r>
    </w:p>
    <w:p w:rsidR="00000550" w:rsidRPr="00B73515" w:rsidRDefault="00000550" w:rsidP="00B26D9F">
      <w:pPr>
        <w:numPr>
          <w:ilvl w:val="0"/>
          <w:numId w:val="5"/>
        </w:numPr>
        <w:tabs>
          <w:tab w:val="clear" w:pos="1080"/>
          <w:tab w:val="num" w:pos="851"/>
        </w:tabs>
        <w:snapToGrid w:val="0"/>
        <w:ind w:left="851" w:hanging="425"/>
      </w:pPr>
      <w:r w:rsidRPr="00B73515">
        <w:t>de van toepassing zijnde claimprocedure te volgen.</w:t>
      </w:r>
    </w:p>
    <w:p w:rsidR="00000550" w:rsidRDefault="00000550" w:rsidP="00000550">
      <w:pPr>
        <w:snapToGrid w:val="0"/>
      </w:pPr>
    </w:p>
    <w:p w:rsidR="001B58DB" w:rsidRPr="00B73515" w:rsidRDefault="001B58DB" w:rsidP="00000550">
      <w:pPr>
        <w:snapToGrid w:val="0"/>
      </w:pPr>
    </w:p>
    <w:p w:rsidR="00000550" w:rsidRPr="00B73515" w:rsidRDefault="004901B3" w:rsidP="00000550">
      <w:pPr>
        <w:rPr>
          <w:b/>
          <w:u w:val="single"/>
        </w:rPr>
      </w:pPr>
      <w:r>
        <w:rPr>
          <w:b/>
          <w:u w:val="single"/>
        </w:rPr>
        <w:t>Artikel 10</w:t>
      </w:r>
      <w:r w:rsidR="00000550" w:rsidRPr="00B73515">
        <w:rPr>
          <w:b/>
          <w:u w:val="single"/>
        </w:rPr>
        <w:tab/>
        <w:t>Documentatie: Instructie</w:t>
      </w:r>
    </w:p>
    <w:p w:rsidR="00000550" w:rsidRPr="00B73515" w:rsidRDefault="00000550" w:rsidP="00B26D9F">
      <w:pPr>
        <w:snapToGrid w:val="0"/>
        <w:ind w:left="426" w:hanging="426"/>
      </w:pPr>
      <w:r w:rsidRPr="00B73515">
        <w:lastRenderedPageBreak/>
        <w:t xml:space="preserve">1. </w:t>
      </w:r>
      <w:r w:rsidR="00B26D9F">
        <w:tab/>
      </w:r>
      <w:r w:rsidRPr="00B73515">
        <w:t xml:space="preserve">Aan artikel </w:t>
      </w:r>
      <w:r w:rsidR="00B26D9F">
        <w:t>8</w:t>
      </w:r>
      <w:r w:rsidRPr="00B73515">
        <w:t xml:space="preserve"> lid 1 van de Algemene Inkoopvoorwaarden van </w:t>
      </w:r>
      <w:r w:rsidR="007568CA">
        <w:t>Opdrachtgever</w:t>
      </w:r>
      <w:r w:rsidRPr="00B73515">
        <w:t xml:space="preserve"> wordt de volgende tekst toegevoegd (cursief): “(Nederlandse </w:t>
      </w:r>
      <w:r w:rsidRPr="00B73515">
        <w:rPr>
          <w:i/>
        </w:rPr>
        <w:t>en/of Engelstalige</w:t>
      </w:r>
      <w:r w:rsidRPr="00B73515">
        <w:t>)</w:t>
      </w:r>
      <w:r w:rsidRPr="00B73515">
        <w:rPr>
          <w:i/>
        </w:rPr>
        <w:t xml:space="preserve"> </w:t>
      </w:r>
      <w:r w:rsidRPr="00B73515">
        <w:t>gebruikershandleidingen.”</w:t>
      </w:r>
    </w:p>
    <w:p w:rsidR="00000550" w:rsidRDefault="00000550" w:rsidP="00000550"/>
    <w:p w:rsidR="001B58DB" w:rsidRPr="00B73515" w:rsidRDefault="001B58DB" w:rsidP="00000550"/>
    <w:p w:rsidR="00000550" w:rsidRPr="002A569A" w:rsidRDefault="00721178" w:rsidP="00000550">
      <w:pPr>
        <w:keepNext/>
        <w:outlineLvl w:val="3"/>
        <w:rPr>
          <w:b/>
          <w:iCs/>
          <w:u w:val="single"/>
        </w:rPr>
      </w:pPr>
      <w:r>
        <w:rPr>
          <w:b/>
          <w:iCs/>
          <w:u w:val="single"/>
        </w:rPr>
        <w:t>Artikel 11</w:t>
      </w:r>
      <w:r w:rsidR="00000550" w:rsidRPr="002A569A">
        <w:rPr>
          <w:b/>
          <w:iCs/>
          <w:u w:val="single"/>
        </w:rPr>
        <w:tab/>
        <w:t>Contractmanagement</w:t>
      </w:r>
    </w:p>
    <w:p w:rsidR="00000550" w:rsidRPr="00D04A21" w:rsidRDefault="00000550" w:rsidP="00176BD4">
      <w:pPr>
        <w:ind w:left="426" w:hanging="426"/>
      </w:pPr>
      <w:r w:rsidRPr="002A569A">
        <w:t xml:space="preserve">1. </w:t>
      </w:r>
      <w:r w:rsidR="00176BD4" w:rsidRPr="002A569A">
        <w:tab/>
      </w:r>
      <w:r w:rsidRPr="002A569A">
        <w:t xml:space="preserve">In het kader van het uit te voeren contractmanagement voor deze opdracht heeft </w:t>
      </w:r>
      <w:r w:rsidR="007568CA" w:rsidRPr="002A569A">
        <w:t>Opdrachtgever</w:t>
      </w:r>
      <w:r w:rsidRPr="002A569A">
        <w:t xml:space="preserve"> met </w:t>
      </w:r>
      <w:r w:rsidR="00176BD4" w:rsidRPr="002A569A">
        <w:t xml:space="preserve">Opdrachtnemer </w:t>
      </w:r>
      <w:r w:rsidRPr="002A569A">
        <w:t xml:space="preserve">een aantal prestatie-indicatoren afgesproken om de prestaties van </w:t>
      </w:r>
      <w:r w:rsidR="00176BD4" w:rsidRPr="002A569A">
        <w:t xml:space="preserve">Opdrachtnemer </w:t>
      </w:r>
      <w:r w:rsidRPr="002A569A">
        <w:t xml:space="preserve">te kunnen monitoren. Deze </w:t>
      </w:r>
      <w:r w:rsidR="00176BD4" w:rsidRPr="002A569A">
        <w:t xml:space="preserve">zijn vastgelegd in de uitnodiging tot inschrijving en </w:t>
      </w:r>
      <w:r w:rsidRPr="00D04A21">
        <w:t>maken integraal onderdeel uit van deze raamovereenkomst.</w:t>
      </w:r>
    </w:p>
    <w:p w:rsidR="00000550" w:rsidRPr="00D04A21" w:rsidRDefault="00000550" w:rsidP="00176BD4">
      <w:pPr>
        <w:ind w:left="426" w:hanging="426"/>
      </w:pPr>
    </w:p>
    <w:p w:rsidR="00000550" w:rsidRPr="00D04A21" w:rsidRDefault="00000550" w:rsidP="00176BD4">
      <w:pPr>
        <w:ind w:left="426" w:hanging="426"/>
      </w:pPr>
      <w:r w:rsidRPr="00D04A21">
        <w:t xml:space="preserve">2. </w:t>
      </w:r>
      <w:r w:rsidR="00176BD4" w:rsidRPr="00D04A21">
        <w:tab/>
      </w:r>
      <w:r w:rsidRPr="00D04A21">
        <w:t xml:space="preserve">Indien </w:t>
      </w:r>
      <w:r w:rsidR="00176BD4" w:rsidRPr="00D04A21">
        <w:t xml:space="preserve">Opdrachtnemer </w:t>
      </w:r>
      <w:r w:rsidRPr="00D04A21">
        <w:t xml:space="preserve">niet voldoet aan de geëiste prestaties zal de </w:t>
      </w:r>
      <w:r w:rsidR="00882F14" w:rsidRPr="00D04A21">
        <w:t>boeteregelin</w:t>
      </w:r>
      <w:r w:rsidR="00682F94">
        <w:t>g zoals beschreven in artikel 21</w:t>
      </w:r>
      <w:r w:rsidR="00882F14" w:rsidRPr="00D04A21">
        <w:t xml:space="preserve"> van de algemene inkoopvoorwaarden </w:t>
      </w:r>
      <w:r w:rsidRPr="00D04A21">
        <w:t>in werking treden. Deze maakt integraal onderdeel uit van deze raamovereenkomst.</w:t>
      </w:r>
      <w:r w:rsidR="00882F14" w:rsidRPr="00D04A21">
        <w:t xml:space="preserve"> Als leverdatum wordt de datum gehanteerd waarop de acceptatietest van het totale project door Opdrachtgever positief wordt beoordeeld. </w:t>
      </w:r>
    </w:p>
    <w:p w:rsidR="00000550" w:rsidRPr="0060127E" w:rsidRDefault="00000550" w:rsidP="00176BD4">
      <w:pPr>
        <w:ind w:left="426" w:hanging="426"/>
        <w:rPr>
          <w:highlight w:val="yellow"/>
        </w:rPr>
      </w:pPr>
    </w:p>
    <w:p w:rsidR="00000550" w:rsidRPr="00B73515" w:rsidRDefault="00000550" w:rsidP="00176BD4">
      <w:pPr>
        <w:ind w:left="426" w:hanging="426"/>
      </w:pPr>
      <w:r w:rsidRPr="000F740C">
        <w:t xml:space="preserve">3. </w:t>
      </w:r>
      <w:r w:rsidR="00176BD4" w:rsidRPr="000F740C">
        <w:tab/>
      </w:r>
      <w:r w:rsidRPr="000F740C">
        <w:t xml:space="preserve">Indien uit de monitoring van de prestaties blijkt dat </w:t>
      </w:r>
      <w:r w:rsidR="001B58DB" w:rsidRPr="000F740C">
        <w:t>Opdrachtnemer de uiterste fatale termijn voor het opleveren</w:t>
      </w:r>
      <w:r w:rsidR="000F740C" w:rsidRPr="000F740C">
        <w:t xml:space="preserve"> van het initiële project, te weten </w:t>
      </w:r>
      <w:r w:rsidR="000F740C" w:rsidRPr="000F740C">
        <w:rPr>
          <w:b/>
        </w:rPr>
        <w:t>1-12-2014</w:t>
      </w:r>
      <w:r w:rsidR="000F740C" w:rsidRPr="000F740C">
        <w:t>,</w:t>
      </w:r>
      <w:r w:rsidR="001B58DB" w:rsidRPr="000F740C">
        <w:t xml:space="preserve"> niet zal gaan halen, </w:t>
      </w:r>
      <w:r w:rsidRPr="000F740C">
        <w:t xml:space="preserve">zal </w:t>
      </w:r>
      <w:r w:rsidR="007568CA" w:rsidRPr="000F740C">
        <w:t>Opdrachtgever</w:t>
      </w:r>
      <w:r w:rsidRPr="000F740C">
        <w:t xml:space="preserve"> vaststellen dat er sprake</w:t>
      </w:r>
      <w:r w:rsidR="001B58DB" w:rsidRPr="000F740C">
        <w:t xml:space="preserve"> is van wanprestatie van Opdrachtnemer. Hiervoor is geen ingebrekestelling vereist. </w:t>
      </w:r>
      <w:r w:rsidRPr="000F740C">
        <w:t xml:space="preserve">Dit laat de mogelijkheid tot het opleggen van een boete zoals genoemd in de </w:t>
      </w:r>
      <w:r w:rsidR="00682F94">
        <w:t>boeteregeling (artikel 21</w:t>
      </w:r>
      <w:r w:rsidR="009A2848" w:rsidRPr="000F740C">
        <w:t xml:space="preserve"> van de algemene inkoopvoorwaarden) </w:t>
      </w:r>
      <w:r w:rsidRPr="000F740C">
        <w:t>onverlet.</w:t>
      </w:r>
    </w:p>
    <w:p w:rsidR="00000550" w:rsidRDefault="00000550" w:rsidP="00000550">
      <w:pPr>
        <w:rPr>
          <w:b/>
          <w:u w:val="single"/>
        </w:rPr>
      </w:pPr>
      <w:r w:rsidRPr="00B73515">
        <w:rPr>
          <w:b/>
          <w:u w:val="single"/>
        </w:rPr>
        <w:t xml:space="preserve"> </w:t>
      </w:r>
    </w:p>
    <w:p w:rsidR="001B58DB" w:rsidRPr="00B73515" w:rsidRDefault="001B58DB" w:rsidP="00000550">
      <w:pPr>
        <w:rPr>
          <w:b/>
          <w:u w:val="single"/>
        </w:rPr>
      </w:pPr>
    </w:p>
    <w:p w:rsidR="00000550" w:rsidRPr="00B73515" w:rsidRDefault="00721178" w:rsidP="00000550">
      <w:pPr>
        <w:rPr>
          <w:b/>
          <w:u w:val="single"/>
        </w:rPr>
      </w:pPr>
      <w:r>
        <w:rPr>
          <w:b/>
          <w:u w:val="single"/>
        </w:rPr>
        <w:t>Artikel 12</w:t>
      </w:r>
      <w:r w:rsidR="00000550" w:rsidRPr="00B73515">
        <w:rPr>
          <w:b/>
          <w:u w:val="single"/>
        </w:rPr>
        <w:tab/>
        <w:t>Contactpersonen</w:t>
      </w:r>
    </w:p>
    <w:p w:rsidR="00000550" w:rsidRPr="00B73515" w:rsidRDefault="00000550" w:rsidP="001B58DB">
      <w:pPr>
        <w:ind w:left="426" w:hanging="426"/>
      </w:pPr>
      <w:r w:rsidRPr="00B73515">
        <w:t xml:space="preserve">1. </w:t>
      </w:r>
      <w:r w:rsidR="001B58DB">
        <w:tab/>
      </w:r>
      <w:r w:rsidRPr="00B73515">
        <w:t xml:space="preserve">Beide partijen zullen contactpersonen en vervangende  contactpersonen aanwijzen, die de contact(en) over de (wijze van) uitvoering van deze raamovereenkomst zullen onderhouden. </w:t>
      </w:r>
    </w:p>
    <w:p w:rsidR="00000550" w:rsidRPr="00B73515" w:rsidRDefault="00000550" w:rsidP="001B58DB">
      <w:pPr>
        <w:ind w:left="426" w:hanging="426"/>
      </w:pPr>
    </w:p>
    <w:p w:rsidR="00000550" w:rsidRPr="00B73515" w:rsidRDefault="00000550" w:rsidP="001B58DB">
      <w:pPr>
        <w:ind w:left="426" w:hanging="426"/>
      </w:pPr>
      <w:r w:rsidRPr="00B73515">
        <w:t xml:space="preserve">2. </w:t>
      </w:r>
      <w:r w:rsidR="001B58DB">
        <w:tab/>
      </w:r>
      <w:r w:rsidR="007568CA">
        <w:t>Opdrachtgever</w:t>
      </w:r>
      <w:r w:rsidRPr="00B73515">
        <w:t xml:space="preserve"> heeft per interne klant één of meerdere personen geautoriseerd die bestellingen, mutaties, storingen en klachten mogen plaatsen c.q. doorgeven. Bestellingen, mutaties, storingen en klachten gedaan door een niet geautoriseerde persoon worden door </w:t>
      </w:r>
      <w:r w:rsidR="001B58DB">
        <w:t xml:space="preserve">Opdrachtnemer </w:t>
      </w:r>
      <w:r w:rsidRPr="00B73515">
        <w:t>niet in behandeling genomen.</w:t>
      </w:r>
    </w:p>
    <w:p w:rsidR="00000550" w:rsidRPr="00B73515" w:rsidRDefault="00000550" w:rsidP="001B58DB">
      <w:pPr>
        <w:ind w:left="426" w:hanging="426"/>
      </w:pPr>
    </w:p>
    <w:p w:rsidR="00000550" w:rsidRPr="00B73515" w:rsidRDefault="00000550" w:rsidP="001B58DB">
      <w:pPr>
        <w:ind w:left="426" w:hanging="426"/>
      </w:pPr>
      <w:r w:rsidRPr="00B73515">
        <w:t xml:space="preserve">3. </w:t>
      </w:r>
      <w:r w:rsidR="001B58DB">
        <w:tab/>
      </w:r>
      <w:r w:rsidRPr="00B73515">
        <w:t xml:space="preserve">Communicatie tussen </w:t>
      </w:r>
      <w:r w:rsidR="007568CA">
        <w:t>Opdrachtgever</w:t>
      </w:r>
      <w:r w:rsidRPr="00B73515">
        <w:t xml:space="preserve"> en </w:t>
      </w:r>
      <w:r w:rsidR="001B58DB">
        <w:t xml:space="preserve">Opdrachtnemer </w:t>
      </w:r>
      <w:r w:rsidRPr="00B73515">
        <w:t xml:space="preserve">over het plaatsen c.q. melden en het verloop van bestellingen, mutaties, storingen en klachten geschiedt uitsluitend </w:t>
      </w:r>
      <w:r w:rsidR="001B58DB">
        <w:t>door geautoriseerde personen.</w:t>
      </w:r>
    </w:p>
    <w:p w:rsidR="00000550" w:rsidRDefault="00000550" w:rsidP="00000550"/>
    <w:p w:rsidR="001B58DB" w:rsidRPr="00B73515" w:rsidRDefault="001B58DB" w:rsidP="00000550"/>
    <w:p w:rsidR="00000550" w:rsidRPr="00B73515" w:rsidRDefault="00721178" w:rsidP="00000550">
      <w:pPr>
        <w:rPr>
          <w:b/>
          <w:u w:val="single"/>
        </w:rPr>
      </w:pPr>
      <w:r>
        <w:rPr>
          <w:b/>
          <w:u w:val="single"/>
        </w:rPr>
        <w:t>Artikel 13</w:t>
      </w:r>
      <w:r w:rsidR="00000550" w:rsidRPr="00B73515">
        <w:rPr>
          <w:b/>
          <w:u w:val="single"/>
        </w:rPr>
        <w:tab/>
        <w:t>Rangorde</w:t>
      </w:r>
    </w:p>
    <w:p w:rsidR="00000550" w:rsidRDefault="00000550" w:rsidP="00000550">
      <w:r w:rsidRPr="00B73515">
        <w:t>In geval van strijdigheid tussen documenten prevaleren de bepalingen van het document dat het hoogst in de n</w:t>
      </w:r>
      <w:r w:rsidR="001B58DB">
        <w:t>avolgende rangorde is geplaats</w:t>
      </w:r>
      <w:r w:rsidR="003750AF">
        <w:t>t. De documenten (2 tot en met 5</w:t>
      </w:r>
      <w:r w:rsidR="001B58DB">
        <w:t>) zijn als bijlage bij deze overeenkomst gevoegd:</w:t>
      </w:r>
    </w:p>
    <w:p w:rsidR="001B58DB" w:rsidRPr="00B73515" w:rsidRDefault="001B58DB" w:rsidP="00000550"/>
    <w:p w:rsidR="00000550" w:rsidRDefault="00176BD4" w:rsidP="001B58DB">
      <w:pPr>
        <w:numPr>
          <w:ilvl w:val="0"/>
          <w:numId w:val="1"/>
        </w:numPr>
        <w:tabs>
          <w:tab w:val="clear" w:pos="720"/>
          <w:tab w:val="num" w:pos="851"/>
        </w:tabs>
        <w:ind w:left="851" w:hanging="425"/>
      </w:pPr>
      <w:r>
        <w:t>Deze raamovereenkomst</w:t>
      </w:r>
    </w:p>
    <w:p w:rsidR="00E53789" w:rsidRPr="00B73515" w:rsidRDefault="00E53789" w:rsidP="00E53789">
      <w:pPr>
        <w:numPr>
          <w:ilvl w:val="0"/>
          <w:numId w:val="1"/>
        </w:numPr>
        <w:tabs>
          <w:tab w:val="clear" w:pos="720"/>
          <w:tab w:val="num" w:pos="851"/>
        </w:tabs>
        <w:ind w:left="851" w:hanging="425"/>
      </w:pPr>
      <w:r w:rsidRPr="00B73515">
        <w:t>De Nota</w:t>
      </w:r>
      <w:r>
        <w:t>(‘s)</w:t>
      </w:r>
      <w:r w:rsidRPr="00B73515">
        <w:t xml:space="preserve"> van Inlichtingen d.d.</w:t>
      </w:r>
      <w:r>
        <w:t xml:space="preserve"> xx-xx-2013</w:t>
      </w:r>
    </w:p>
    <w:p w:rsidR="00000550" w:rsidRPr="00B73515" w:rsidRDefault="008E3999" w:rsidP="001B58DB">
      <w:pPr>
        <w:numPr>
          <w:ilvl w:val="0"/>
          <w:numId w:val="1"/>
        </w:numPr>
        <w:tabs>
          <w:tab w:val="clear" w:pos="720"/>
          <w:tab w:val="num" w:pos="851"/>
        </w:tabs>
        <w:ind w:left="851" w:hanging="425"/>
      </w:pPr>
      <w:r>
        <w:t xml:space="preserve">Algemene inkoopvoorwaarden </w:t>
      </w:r>
      <w:r w:rsidR="00176BD4">
        <w:t>leveringen ROC ID College</w:t>
      </w:r>
    </w:p>
    <w:p w:rsidR="00000550" w:rsidRPr="00B73515" w:rsidRDefault="00000550" w:rsidP="001B58DB">
      <w:pPr>
        <w:numPr>
          <w:ilvl w:val="0"/>
          <w:numId w:val="1"/>
        </w:numPr>
        <w:tabs>
          <w:tab w:val="clear" w:pos="720"/>
          <w:tab w:val="num" w:pos="851"/>
        </w:tabs>
        <w:ind w:left="851" w:hanging="425"/>
      </w:pPr>
      <w:r w:rsidRPr="00B73515">
        <w:t xml:space="preserve">De </w:t>
      </w:r>
      <w:r w:rsidR="00176BD4">
        <w:t xml:space="preserve">Uitnodiging tot inschrijving </w:t>
      </w:r>
      <w:r w:rsidR="008E3999">
        <w:t xml:space="preserve">met kenmerk </w:t>
      </w:r>
      <w:r w:rsidR="007568CA">
        <w:t>Opdrachtgever</w:t>
      </w:r>
      <w:r w:rsidR="00176BD4">
        <w:t xml:space="preserve"> 2012-06</w:t>
      </w:r>
    </w:p>
    <w:p w:rsidR="00000550" w:rsidRPr="00B73515" w:rsidRDefault="00000550" w:rsidP="001B58DB">
      <w:pPr>
        <w:numPr>
          <w:ilvl w:val="0"/>
          <w:numId w:val="1"/>
        </w:numPr>
        <w:tabs>
          <w:tab w:val="clear" w:pos="720"/>
          <w:tab w:val="num" w:pos="851"/>
        </w:tabs>
        <w:ind w:left="851" w:hanging="425"/>
      </w:pPr>
      <w:r w:rsidRPr="00B73515">
        <w:t xml:space="preserve">De </w:t>
      </w:r>
      <w:r w:rsidR="00176BD4">
        <w:t xml:space="preserve">Inschrijving </w:t>
      </w:r>
      <w:r w:rsidRPr="00B73515">
        <w:t xml:space="preserve">van </w:t>
      </w:r>
      <w:r w:rsidR="00176BD4">
        <w:t xml:space="preserve">Opdrachtnemer </w:t>
      </w:r>
      <w:r w:rsidRPr="00B73515">
        <w:t xml:space="preserve">d.d. </w:t>
      </w:r>
      <w:r w:rsidR="00176BD4">
        <w:t>xx-xx-2013</w:t>
      </w:r>
    </w:p>
    <w:p w:rsidR="00000550" w:rsidRDefault="00000550" w:rsidP="00000550">
      <w:pPr>
        <w:keepNext/>
        <w:outlineLvl w:val="3"/>
        <w:rPr>
          <w:b/>
          <w:iCs/>
          <w:u w:val="single"/>
        </w:rPr>
      </w:pPr>
    </w:p>
    <w:p w:rsidR="001B58DB" w:rsidRPr="00B73515" w:rsidRDefault="001B58DB" w:rsidP="00000550">
      <w:pPr>
        <w:keepNext/>
        <w:outlineLvl w:val="3"/>
        <w:rPr>
          <w:b/>
          <w:iCs/>
          <w:u w:val="single"/>
        </w:rPr>
      </w:pPr>
    </w:p>
    <w:p w:rsidR="00000550" w:rsidRPr="00B73515" w:rsidRDefault="00721178" w:rsidP="00000550">
      <w:pPr>
        <w:keepNext/>
        <w:outlineLvl w:val="3"/>
        <w:rPr>
          <w:b/>
          <w:iCs/>
          <w:u w:val="single"/>
        </w:rPr>
      </w:pPr>
      <w:r>
        <w:rPr>
          <w:b/>
          <w:iCs/>
          <w:u w:val="single"/>
        </w:rPr>
        <w:t>Artikel 14</w:t>
      </w:r>
      <w:r w:rsidR="00000550" w:rsidRPr="00B73515">
        <w:rPr>
          <w:b/>
          <w:iCs/>
          <w:u w:val="single"/>
        </w:rPr>
        <w:tab/>
        <w:t xml:space="preserve">Slotbepalingen </w:t>
      </w:r>
    </w:p>
    <w:p w:rsidR="00000550" w:rsidRDefault="001B58DB" w:rsidP="001B58DB">
      <w:pPr>
        <w:ind w:left="426" w:hanging="426"/>
      </w:pPr>
      <w:r>
        <w:t xml:space="preserve">1. </w:t>
      </w:r>
      <w:r>
        <w:tab/>
      </w:r>
      <w:r w:rsidR="00000550" w:rsidRPr="00B73515">
        <w:t>Aanpas</w:t>
      </w:r>
      <w:r>
        <w:t>singen of wijzigingen van deze R</w:t>
      </w:r>
      <w:r w:rsidR="00000550" w:rsidRPr="00B73515">
        <w:t xml:space="preserve">aamovereenkomst zijn slechts geldig indien en voor zover deze zijn opgesteld in schriftelijke vorm en zijn ondertekend door beide </w:t>
      </w:r>
      <w:r>
        <w:t>P</w:t>
      </w:r>
      <w:r w:rsidR="00000550" w:rsidRPr="00B73515">
        <w:t>artijen.</w:t>
      </w:r>
    </w:p>
    <w:p w:rsidR="001B58DB" w:rsidRPr="00B73515" w:rsidRDefault="001B58DB" w:rsidP="001B58DB">
      <w:pPr>
        <w:ind w:left="426" w:hanging="426"/>
      </w:pPr>
    </w:p>
    <w:p w:rsidR="00000550" w:rsidRPr="00B73515" w:rsidRDefault="00000550" w:rsidP="001B58DB">
      <w:pPr>
        <w:ind w:left="426" w:hanging="426"/>
      </w:pPr>
      <w:r w:rsidRPr="00B73515">
        <w:t xml:space="preserve">2. </w:t>
      </w:r>
      <w:r w:rsidR="001B58DB">
        <w:tab/>
      </w:r>
      <w:r w:rsidRPr="00B73515">
        <w:t xml:space="preserve">Verplichtingen welke naar hun aard bestemd zijn om ook na ontbinding van deze </w:t>
      </w:r>
      <w:r w:rsidR="001B58DB">
        <w:t>R</w:t>
      </w:r>
      <w:r w:rsidRPr="00B73515">
        <w:t xml:space="preserve">aamovereenkomst voort te duren, blijven ook na ontbinding van deze </w:t>
      </w:r>
      <w:r w:rsidR="001B58DB">
        <w:t>R</w:t>
      </w:r>
      <w:r w:rsidRPr="00B73515">
        <w:t xml:space="preserve">aamovereenkomst bestaan. </w:t>
      </w:r>
    </w:p>
    <w:p w:rsidR="00000550" w:rsidRPr="001B58DB" w:rsidRDefault="00000550" w:rsidP="00000550">
      <w:pPr>
        <w:rPr>
          <w:sz w:val="18"/>
        </w:rPr>
      </w:pPr>
    </w:p>
    <w:p w:rsidR="003514D0" w:rsidRPr="001B58DB" w:rsidRDefault="003514D0" w:rsidP="00000550">
      <w:pPr>
        <w:rPr>
          <w:sz w:val="18"/>
        </w:rPr>
      </w:pPr>
    </w:p>
    <w:p w:rsidR="003514D0" w:rsidRPr="001B58DB" w:rsidRDefault="003514D0" w:rsidP="00000550">
      <w:pPr>
        <w:rPr>
          <w:sz w:val="18"/>
        </w:rPr>
      </w:pPr>
    </w:p>
    <w:p w:rsidR="003514D0" w:rsidRPr="001B58DB" w:rsidRDefault="003514D0" w:rsidP="003514D0">
      <w:r w:rsidRPr="001B58DB">
        <w:lastRenderedPageBreak/>
        <w:t xml:space="preserve">Deze </w:t>
      </w:r>
      <w:r w:rsidR="001B58DB">
        <w:t>Raam</w:t>
      </w:r>
      <w:r w:rsidRPr="001B58DB">
        <w:t>overeenkomst zal worden uitgevoerd conform bovenstaande gegevens. Aldus in tweevoud overeengekomen te Gouda en getekend voor akkoord,</w:t>
      </w:r>
    </w:p>
    <w:p w:rsidR="003514D0" w:rsidRPr="001B58DB" w:rsidRDefault="003514D0" w:rsidP="003514D0"/>
    <w:p w:rsidR="003514D0" w:rsidRPr="001B58DB" w:rsidRDefault="003514D0" w:rsidP="003514D0"/>
    <w:p w:rsidR="003514D0" w:rsidRPr="001B58DB" w:rsidRDefault="003514D0" w:rsidP="003514D0"/>
    <w:p w:rsidR="003514D0" w:rsidRPr="001B58DB" w:rsidRDefault="003514D0" w:rsidP="003514D0">
      <w:r w:rsidRPr="001B58DB">
        <w:t>Opdrachtgever</w:t>
      </w:r>
      <w:r w:rsidRPr="001B58DB">
        <w:tab/>
      </w:r>
      <w:r w:rsidRPr="001B58DB">
        <w:tab/>
      </w:r>
      <w:r w:rsidRPr="001B58DB">
        <w:tab/>
      </w:r>
      <w:r w:rsidRPr="001B58DB">
        <w:tab/>
      </w:r>
      <w:r w:rsidRPr="001B58DB">
        <w:tab/>
      </w:r>
      <w:r w:rsidRPr="001B58DB">
        <w:tab/>
        <w:t>Opdrachtnemer</w:t>
      </w:r>
    </w:p>
    <w:p w:rsidR="003514D0" w:rsidRPr="001B58DB" w:rsidRDefault="003514D0" w:rsidP="003514D0"/>
    <w:p w:rsidR="003514D0" w:rsidRPr="001B58DB" w:rsidRDefault="003514D0" w:rsidP="003514D0">
      <w:r w:rsidRPr="001B58DB">
        <w:t xml:space="preserve">Datum:    </w:t>
      </w:r>
      <w:r w:rsidRPr="001B58DB">
        <w:tab/>
      </w:r>
      <w:r w:rsidRPr="001B58DB">
        <w:tab/>
      </w:r>
      <w:r w:rsidRPr="001B58DB">
        <w:tab/>
      </w:r>
      <w:r w:rsidRPr="001B58DB">
        <w:tab/>
      </w:r>
      <w:r w:rsidRPr="001B58DB">
        <w:tab/>
      </w:r>
      <w:r w:rsidRPr="001B58DB">
        <w:tab/>
        <w:t xml:space="preserve">Datum:     </w:t>
      </w:r>
    </w:p>
    <w:p w:rsidR="003514D0" w:rsidRPr="001B58DB" w:rsidRDefault="003514D0" w:rsidP="003514D0"/>
    <w:p w:rsidR="003514D0" w:rsidRPr="001B58DB" w:rsidRDefault="007568CA" w:rsidP="003514D0">
      <w:r w:rsidRPr="001B58DB">
        <w:t>Opdrachtgever</w:t>
      </w:r>
      <w:r w:rsidR="003514D0" w:rsidRPr="001B58DB">
        <w:t>,</w:t>
      </w:r>
      <w:r w:rsidR="003514D0" w:rsidRPr="001B58DB">
        <w:tab/>
      </w:r>
      <w:r w:rsidR="003514D0" w:rsidRPr="001B58DB">
        <w:tab/>
      </w:r>
      <w:r w:rsidR="003514D0" w:rsidRPr="001B58DB">
        <w:tab/>
      </w:r>
      <w:r w:rsidR="003514D0" w:rsidRPr="001B58DB">
        <w:tab/>
      </w:r>
      <w:r w:rsidR="003514D0" w:rsidRPr="001B58DB">
        <w:tab/>
      </w:r>
      <w:r w:rsidR="003514D0" w:rsidRPr="001B58DB">
        <w:tab/>
        <w:t>xxx</w:t>
      </w:r>
    </w:p>
    <w:p w:rsidR="003514D0" w:rsidRPr="001B58DB" w:rsidRDefault="003514D0" w:rsidP="003514D0">
      <w:r w:rsidRPr="001B58DB">
        <w:t>Namens deze,</w:t>
      </w:r>
      <w:r w:rsidRPr="001B58DB">
        <w:tab/>
      </w:r>
      <w:r w:rsidRPr="001B58DB">
        <w:tab/>
      </w:r>
      <w:r w:rsidRPr="001B58DB">
        <w:tab/>
      </w:r>
      <w:r w:rsidRPr="001B58DB">
        <w:tab/>
      </w:r>
      <w:r w:rsidRPr="001B58DB">
        <w:tab/>
      </w:r>
      <w:r w:rsidRPr="001B58DB">
        <w:tab/>
        <w:t>Namens deze,</w:t>
      </w:r>
    </w:p>
    <w:p w:rsidR="003514D0" w:rsidRPr="001B58DB" w:rsidRDefault="003514D0" w:rsidP="003514D0">
      <w:r w:rsidRPr="001B58DB">
        <w:t xml:space="preserve">De heer O. de Jong </w:t>
      </w:r>
      <w:r w:rsidRPr="001B58DB">
        <w:tab/>
      </w:r>
      <w:r w:rsidRPr="001B58DB">
        <w:tab/>
      </w:r>
      <w:r w:rsidRPr="001B58DB">
        <w:tab/>
      </w:r>
      <w:r w:rsidRPr="001B58DB">
        <w:tab/>
      </w:r>
      <w:r w:rsidRPr="001B58DB">
        <w:tab/>
        <w:t xml:space="preserve">De heer/mevrouw xxx </w:t>
      </w:r>
    </w:p>
    <w:p w:rsidR="003514D0" w:rsidRPr="001B58DB" w:rsidRDefault="003514D0" w:rsidP="003514D0">
      <w:pPr>
        <w:jc w:val="both"/>
      </w:pPr>
      <w:r w:rsidRPr="001B58DB">
        <w:t>Lid College van Bestuur</w:t>
      </w:r>
      <w:r w:rsidRPr="001B58DB">
        <w:tab/>
      </w:r>
      <w:r w:rsidRPr="001B58DB">
        <w:tab/>
      </w:r>
      <w:r w:rsidRPr="001B58DB">
        <w:tab/>
      </w:r>
      <w:r w:rsidRPr="001B58DB">
        <w:tab/>
      </w:r>
      <w:r w:rsidRPr="001B58DB">
        <w:tab/>
        <w:t>[functie]</w:t>
      </w:r>
    </w:p>
    <w:p w:rsidR="003514D0" w:rsidRPr="001B58DB" w:rsidRDefault="003514D0" w:rsidP="003514D0">
      <w:pPr>
        <w:jc w:val="both"/>
      </w:pPr>
    </w:p>
    <w:p w:rsidR="003514D0" w:rsidRPr="001B58DB" w:rsidRDefault="003514D0" w:rsidP="003514D0">
      <w:pPr>
        <w:jc w:val="both"/>
      </w:pPr>
    </w:p>
    <w:p w:rsidR="003514D0" w:rsidRPr="001B58DB" w:rsidRDefault="003514D0" w:rsidP="003514D0">
      <w:pPr>
        <w:jc w:val="both"/>
      </w:pPr>
    </w:p>
    <w:p w:rsidR="003514D0" w:rsidRPr="001B58DB" w:rsidRDefault="003514D0" w:rsidP="003514D0">
      <w:pPr>
        <w:jc w:val="both"/>
      </w:pPr>
    </w:p>
    <w:p w:rsidR="003514D0" w:rsidRPr="001B58DB" w:rsidRDefault="003514D0" w:rsidP="003514D0">
      <w:pPr>
        <w:jc w:val="both"/>
      </w:pPr>
    </w:p>
    <w:p w:rsidR="003514D0" w:rsidRPr="001B58DB" w:rsidRDefault="003514D0" w:rsidP="003514D0">
      <w:pPr>
        <w:jc w:val="both"/>
      </w:pPr>
      <w:r w:rsidRPr="001B58DB">
        <w:t>----------------------------------------</w:t>
      </w:r>
      <w:r w:rsidRPr="001B58DB">
        <w:tab/>
      </w:r>
      <w:r w:rsidRPr="001B58DB">
        <w:tab/>
      </w:r>
      <w:r w:rsidRPr="001B58DB">
        <w:tab/>
      </w:r>
      <w:r w:rsidRPr="001B58DB">
        <w:tab/>
        <w:t>--------------------------------------------</w:t>
      </w:r>
    </w:p>
    <w:p w:rsidR="003514D0" w:rsidRPr="001B58DB" w:rsidRDefault="003514D0" w:rsidP="003514D0">
      <w:pPr>
        <w:jc w:val="both"/>
      </w:pPr>
    </w:p>
    <w:p w:rsidR="003514D0" w:rsidRDefault="003514D0" w:rsidP="003514D0">
      <w:pPr>
        <w:jc w:val="both"/>
        <w:rPr>
          <w:bCs/>
          <w:i/>
          <w:iCs/>
        </w:rPr>
      </w:pPr>
    </w:p>
    <w:p w:rsidR="001B58DB" w:rsidRPr="001B58DB" w:rsidRDefault="001B58DB" w:rsidP="003514D0">
      <w:pPr>
        <w:jc w:val="both"/>
        <w:rPr>
          <w:bCs/>
          <w:i/>
          <w:iCs/>
        </w:rPr>
      </w:pPr>
    </w:p>
    <w:sectPr w:rsidR="001B58DB" w:rsidRPr="001B58DB" w:rsidSect="00176BD4">
      <w:headerReference w:type="default" r:id="rId9"/>
      <w:pgSz w:w="11906" w:h="16838"/>
      <w:pgMar w:top="212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D0E" w:rsidRDefault="00086D0E" w:rsidP="00181481">
      <w:r>
        <w:separator/>
      </w:r>
    </w:p>
  </w:endnote>
  <w:endnote w:type="continuationSeparator" w:id="0">
    <w:p w:rsidR="00086D0E" w:rsidRDefault="00086D0E" w:rsidP="00181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D0E" w:rsidRDefault="00086D0E" w:rsidP="00181481">
      <w:r>
        <w:separator/>
      </w:r>
    </w:p>
  </w:footnote>
  <w:footnote w:type="continuationSeparator" w:id="0">
    <w:p w:rsidR="00086D0E" w:rsidRDefault="00086D0E" w:rsidP="001814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481" w:rsidRDefault="00181481">
    <w:pPr>
      <w:pStyle w:val="Koptekst"/>
    </w:pPr>
    <w:r>
      <w:tab/>
    </w:r>
    <w:r>
      <w:tab/>
    </w:r>
    <w:r>
      <w:rPr>
        <w:noProof/>
      </w:rPr>
      <w:drawing>
        <wp:inline distT="0" distB="0" distL="0" distR="0" wp14:anchorId="1F010B0B" wp14:editId="06115EB2">
          <wp:extent cx="1758548" cy="51872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OC ID College.jpg"/>
                  <pic:cNvPicPr/>
                </pic:nvPicPr>
                <pic:blipFill>
                  <a:blip r:embed="rId1">
                    <a:extLst>
                      <a:ext uri="{28A0092B-C50C-407E-A947-70E740481C1C}">
                        <a14:useLocalDpi xmlns:a14="http://schemas.microsoft.com/office/drawing/2010/main" val="0"/>
                      </a:ext>
                    </a:extLst>
                  </a:blip>
                  <a:stretch>
                    <a:fillRect/>
                  </a:stretch>
                </pic:blipFill>
                <pic:spPr>
                  <a:xfrm>
                    <a:off x="0" y="0"/>
                    <a:ext cx="1758400" cy="518681"/>
                  </a:xfrm>
                  <a:prstGeom prst="rect">
                    <a:avLst/>
                  </a:prstGeom>
                </pic:spPr>
              </pic:pic>
            </a:graphicData>
          </a:graphic>
        </wp:inline>
      </w:drawing>
    </w:r>
  </w:p>
  <w:p w:rsidR="00181481" w:rsidRDefault="00181481">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C66E5"/>
    <w:multiLevelType w:val="hybridMultilevel"/>
    <w:tmpl w:val="628C033C"/>
    <w:lvl w:ilvl="0" w:tplc="0409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nsid w:val="0A7D0FDA"/>
    <w:multiLevelType w:val="hybridMultilevel"/>
    <w:tmpl w:val="B0926D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FC7F70"/>
    <w:multiLevelType w:val="hybridMultilevel"/>
    <w:tmpl w:val="C7E2C686"/>
    <w:lvl w:ilvl="0" w:tplc="E6445D7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B012B2"/>
    <w:multiLevelType w:val="hybridMultilevel"/>
    <w:tmpl w:val="520E46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3777492"/>
    <w:multiLevelType w:val="hybridMultilevel"/>
    <w:tmpl w:val="946EED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837232D"/>
    <w:multiLevelType w:val="hybridMultilevel"/>
    <w:tmpl w:val="CDC0E2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202C6137"/>
    <w:multiLevelType w:val="hybridMultilevel"/>
    <w:tmpl w:val="68285E4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nsid w:val="3DBB0293"/>
    <w:multiLevelType w:val="hybridMultilevel"/>
    <w:tmpl w:val="6A06D0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455B7FF8"/>
    <w:multiLevelType w:val="hybridMultilevel"/>
    <w:tmpl w:val="4AF89C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518C4148"/>
    <w:multiLevelType w:val="hybridMultilevel"/>
    <w:tmpl w:val="B2A2A6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543C58AC"/>
    <w:multiLevelType w:val="hybridMultilevel"/>
    <w:tmpl w:val="177A1B7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585622A4"/>
    <w:multiLevelType w:val="hybridMultilevel"/>
    <w:tmpl w:val="6E9005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5D387A53"/>
    <w:multiLevelType w:val="hybridMultilevel"/>
    <w:tmpl w:val="4C1669D6"/>
    <w:lvl w:ilvl="0" w:tplc="592695E0">
      <w:start w:val="1"/>
      <w:numFmt w:val="decimal"/>
      <w:lvlText w:val="%1."/>
      <w:lvlJc w:val="left"/>
      <w:pPr>
        <w:ind w:left="720" w:hanging="360"/>
      </w:pPr>
      <w:rPr>
        <w:rFont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62A05539"/>
    <w:multiLevelType w:val="hybridMultilevel"/>
    <w:tmpl w:val="42F2CF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638B185E"/>
    <w:multiLevelType w:val="hybridMultilevel"/>
    <w:tmpl w:val="685270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66355BCD"/>
    <w:multiLevelType w:val="hybridMultilevel"/>
    <w:tmpl w:val="AA609E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6A9A6F8C"/>
    <w:multiLevelType w:val="hybridMultilevel"/>
    <w:tmpl w:val="792640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6EC971C8"/>
    <w:multiLevelType w:val="hybridMultilevel"/>
    <w:tmpl w:val="6B007F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72533A4C"/>
    <w:multiLevelType w:val="singleLevel"/>
    <w:tmpl w:val="72AC8D30"/>
    <w:lvl w:ilvl="0">
      <w:numFmt w:val="bullet"/>
      <w:lvlText w:val="-"/>
      <w:lvlJc w:val="left"/>
      <w:pPr>
        <w:tabs>
          <w:tab w:val="num" w:pos="360"/>
        </w:tabs>
        <w:ind w:left="360" w:hanging="360"/>
      </w:pPr>
      <w:rPr>
        <w:rFonts w:hint="default"/>
      </w:rPr>
    </w:lvl>
  </w:abstractNum>
  <w:num w:numId="1">
    <w:abstractNumId w:val="1"/>
  </w:num>
  <w:num w:numId="2">
    <w:abstractNumId w:val="18"/>
  </w:num>
  <w:num w:numId="3">
    <w:abstractNumId w:val="0"/>
  </w:num>
  <w:num w:numId="4">
    <w:abstractNumId w:val="6"/>
  </w:num>
  <w:num w:numId="5">
    <w:abstractNumId w:val="2"/>
  </w:num>
  <w:num w:numId="6">
    <w:abstractNumId w:val="3"/>
  </w:num>
  <w:num w:numId="7">
    <w:abstractNumId w:val="14"/>
  </w:num>
  <w:num w:numId="8">
    <w:abstractNumId w:val="11"/>
  </w:num>
  <w:num w:numId="9">
    <w:abstractNumId w:val="9"/>
  </w:num>
  <w:num w:numId="10">
    <w:abstractNumId w:val="13"/>
  </w:num>
  <w:num w:numId="11">
    <w:abstractNumId w:val="10"/>
  </w:num>
  <w:num w:numId="12">
    <w:abstractNumId w:val="7"/>
  </w:num>
  <w:num w:numId="13">
    <w:abstractNumId w:val="15"/>
  </w:num>
  <w:num w:numId="14">
    <w:abstractNumId w:val="5"/>
  </w:num>
  <w:num w:numId="15">
    <w:abstractNumId w:val="17"/>
  </w:num>
  <w:num w:numId="16">
    <w:abstractNumId w:val="8"/>
  </w:num>
  <w:num w:numId="17">
    <w:abstractNumId w:val="4"/>
  </w:num>
  <w:num w:numId="18">
    <w:abstractNumId w:val="1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550"/>
    <w:rsid w:val="00000550"/>
    <w:rsid w:val="00021641"/>
    <w:rsid w:val="00030E89"/>
    <w:rsid w:val="00035672"/>
    <w:rsid w:val="0006541E"/>
    <w:rsid w:val="00080874"/>
    <w:rsid w:val="00086D0E"/>
    <w:rsid w:val="000F740C"/>
    <w:rsid w:val="001164DA"/>
    <w:rsid w:val="00137E6A"/>
    <w:rsid w:val="00176BD4"/>
    <w:rsid w:val="00181481"/>
    <w:rsid w:val="0018763C"/>
    <w:rsid w:val="00187FCE"/>
    <w:rsid w:val="001B58DB"/>
    <w:rsid w:val="001C4872"/>
    <w:rsid w:val="001D09AA"/>
    <w:rsid w:val="001E5E27"/>
    <w:rsid w:val="002033D4"/>
    <w:rsid w:val="002120BA"/>
    <w:rsid w:val="00236153"/>
    <w:rsid w:val="002524FC"/>
    <w:rsid w:val="0029761F"/>
    <w:rsid w:val="002A569A"/>
    <w:rsid w:val="002A706D"/>
    <w:rsid w:val="002E6E2F"/>
    <w:rsid w:val="003001AA"/>
    <w:rsid w:val="00302190"/>
    <w:rsid w:val="003070AB"/>
    <w:rsid w:val="00310BB2"/>
    <w:rsid w:val="00323944"/>
    <w:rsid w:val="00345A43"/>
    <w:rsid w:val="003514D0"/>
    <w:rsid w:val="00360640"/>
    <w:rsid w:val="003750AF"/>
    <w:rsid w:val="003939F1"/>
    <w:rsid w:val="003C0554"/>
    <w:rsid w:val="003C3594"/>
    <w:rsid w:val="003C66E2"/>
    <w:rsid w:val="003C6851"/>
    <w:rsid w:val="00431D64"/>
    <w:rsid w:val="00440129"/>
    <w:rsid w:val="00445974"/>
    <w:rsid w:val="00475369"/>
    <w:rsid w:val="004901B3"/>
    <w:rsid w:val="00494DAB"/>
    <w:rsid w:val="004F199F"/>
    <w:rsid w:val="005062E4"/>
    <w:rsid w:val="00514297"/>
    <w:rsid w:val="00544F26"/>
    <w:rsid w:val="00555751"/>
    <w:rsid w:val="00557B84"/>
    <w:rsid w:val="005C1452"/>
    <w:rsid w:val="005C3921"/>
    <w:rsid w:val="005F5196"/>
    <w:rsid w:val="0060127E"/>
    <w:rsid w:val="00660205"/>
    <w:rsid w:val="006759C3"/>
    <w:rsid w:val="00682F94"/>
    <w:rsid w:val="006912A7"/>
    <w:rsid w:val="00693AE8"/>
    <w:rsid w:val="006B65EE"/>
    <w:rsid w:val="006B7306"/>
    <w:rsid w:val="006C2E52"/>
    <w:rsid w:val="006D4DDD"/>
    <w:rsid w:val="006E0143"/>
    <w:rsid w:val="006E6105"/>
    <w:rsid w:val="006F62B4"/>
    <w:rsid w:val="00721178"/>
    <w:rsid w:val="007463FF"/>
    <w:rsid w:val="0075005A"/>
    <w:rsid w:val="00750220"/>
    <w:rsid w:val="007568CA"/>
    <w:rsid w:val="0076152D"/>
    <w:rsid w:val="00781CE6"/>
    <w:rsid w:val="00782E3F"/>
    <w:rsid w:val="0078402F"/>
    <w:rsid w:val="007B05A1"/>
    <w:rsid w:val="007B152E"/>
    <w:rsid w:val="007B32FA"/>
    <w:rsid w:val="007B4D5D"/>
    <w:rsid w:val="007E02DB"/>
    <w:rsid w:val="007E1E56"/>
    <w:rsid w:val="007F5AB4"/>
    <w:rsid w:val="00806EF0"/>
    <w:rsid w:val="00822736"/>
    <w:rsid w:val="00823045"/>
    <w:rsid w:val="00831FA7"/>
    <w:rsid w:val="00874B75"/>
    <w:rsid w:val="00882F14"/>
    <w:rsid w:val="008E076E"/>
    <w:rsid w:val="008E33E9"/>
    <w:rsid w:val="008E3999"/>
    <w:rsid w:val="008F6265"/>
    <w:rsid w:val="008F7E0F"/>
    <w:rsid w:val="00917287"/>
    <w:rsid w:val="009828DF"/>
    <w:rsid w:val="009A2848"/>
    <w:rsid w:val="009C5A5C"/>
    <w:rsid w:val="009E13E1"/>
    <w:rsid w:val="009F1164"/>
    <w:rsid w:val="009F601E"/>
    <w:rsid w:val="00A01BC4"/>
    <w:rsid w:val="00A06F04"/>
    <w:rsid w:val="00A32BD6"/>
    <w:rsid w:val="00A72947"/>
    <w:rsid w:val="00A8124F"/>
    <w:rsid w:val="00AB56D6"/>
    <w:rsid w:val="00AB5788"/>
    <w:rsid w:val="00AD45C5"/>
    <w:rsid w:val="00AF58C4"/>
    <w:rsid w:val="00B210A7"/>
    <w:rsid w:val="00B23F16"/>
    <w:rsid w:val="00B26D9F"/>
    <w:rsid w:val="00B27FEA"/>
    <w:rsid w:val="00B53079"/>
    <w:rsid w:val="00B5781D"/>
    <w:rsid w:val="00B673F1"/>
    <w:rsid w:val="00B82F04"/>
    <w:rsid w:val="00B858AE"/>
    <w:rsid w:val="00B85BD8"/>
    <w:rsid w:val="00B909D5"/>
    <w:rsid w:val="00B92808"/>
    <w:rsid w:val="00BB1C7F"/>
    <w:rsid w:val="00C035DC"/>
    <w:rsid w:val="00C0600F"/>
    <w:rsid w:val="00C12783"/>
    <w:rsid w:val="00C22D78"/>
    <w:rsid w:val="00C468FD"/>
    <w:rsid w:val="00C720AE"/>
    <w:rsid w:val="00C76372"/>
    <w:rsid w:val="00C94AB2"/>
    <w:rsid w:val="00CA23B5"/>
    <w:rsid w:val="00CB294D"/>
    <w:rsid w:val="00CC382A"/>
    <w:rsid w:val="00CD4891"/>
    <w:rsid w:val="00CE39C4"/>
    <w:rsid w:val="00CE7D34"/>
    <w:rsid w:val="00D04A21"/>
    <w:rsid w:val="00D11387"/>
    <w:rsid w:val="00D1458F"/>
    <w:rsid w:val="00D15F0E"/>
    <w:rsid w:val="00D277F5"/>
    <w:rsid w:val="00D31BE2"/>
    <w:rsid w:val="00D35744"/>
    <w:rsid w:val="00D407E5"/>
    <w:rsid w:val="00D7469C"/>
    <w:rsid w:val="00D7539F"/>
    <w:rsid w:val="00D83E9D"/>
    <w:rsid w:val="00DC7E2B"/>
    <w:rsid w:val="00E04865"/>
    <w:rsid w:val="00E05149"/>
    <w:rsid w:val="00E256C2"/>
    <w:rsid w:val="00E26FC9"/>
    <w:rsid w:val="00E27EC4"/>
    <w:rsid w:val="00E33470"/>
    <w:rsid w:val="00E52895"/>
    <w:rsid w:val="00E53789"/>
    <w:rsid w:val="00E572F2"/>
    <w:rsid w:val="00E57C14"/>
    <w:rsid w:val="00E77F02"/>
    <w:rsid w:val="00E90B9A"/>
    <w:rsid w:val="00EA4911"/>
    <w:rsid w:val="00EC7139"/>
    <w:rsid w:val="00ED48FC"/>
    <w:rsid w:val="00EE0DCD"/>
    <w:rsid w:val="00F40372"/>
    <w:rsid w:val="00F42910"/>
    <w:rsid w:val="00F62E39"/>
    <w:rsid w:val="00F9793F"/>
    <w:rsid w:val="00FA5D04"/>
    <w:rsid w:val="00FC22D8"/>
    <w:rsid w:val="00FD1BE8"/>
    <w:rsid w:val="00FE08CE"/>
    <w:rsid w:val="00FE0913"/>
    <w:rsid w:val="00FF0E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00550"/>
    <w:pPr>
      <w:spacing w:after="0" w:line="240" w:lineRule="auto"/>
    </w:pPr>
    <w:rPr>
      <w:rFonts w:ascii="Arial" w:eastAsia="Times New Roman" w:hAnsi="Arial" w:cs="Arial"/>
      <w:color w:val="000000"/>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81481"/>
    <w:pPr>
      <w:tabs>
        <w:tab w:val="center" w:pos="4536"/>
        <w:tab w:val="right" w:pos="9072"/>
      </w:tabs>
    </w:pPr>
  </w:style>
  <w:style w:type="character" w:customStyle="1" w:styleId="KoptekstChar">
    <w:name w:val="Koptekst Char"/>
    <w:basedOn w:val="Standaardalinea-lettertype"/>
    <w:link w:val="Koptekst"/>
    <w:uiPriority w:val="99"/>
    <w:rsid w:val="00181481"/>
    <w:rPr>
      <w:rFonts w:ascii="Arial" w:eastAsia="Times New Roman" w:hAnsi="Arial" w:cs="Arial"/>
      <w:color w:val="000000"/>
      <w:sz w:val="20"/>
      <w:szCs w:val="20"/>
      <w:lang w:eastAsia="nl-NL"/>
    </w:rPr>
  </w:style>
  <w:style w:type="paragraph" w:styleId="Voettekst">
    <w:name w:val="footer"/>
    <w:basedOn w:val="Standaard"/>
    <w:link w:val="VoettekstChar"/>
    <w:uiPriority w:val="99"/>
    <w:unhideWhenUsed/>
    <w:rsid w:val="00181481"/>
    <w:pPr>
      <w:tabs>
        <w:tab w:val="center" w:pos="4536"/>
        <w:tab w:val="right" w:pos="9072"/>
      </w:tabs>
    </w:pPr>
  </w:style>
  <w:style w:type="character" w:customStyle="1" w:styleId="VoettekstChar">
    <w:name w:val="Voettekst Char"/>
    <w:basedOn w:val="Standaardalinea-lettertype"/>
    <w:link w:val="Voettekst"/>
    <w:uiPriority w:val="99"/>
    <w:rsid w:val="00181481"/>
    <w:rPr>
      <w:rFonts w:ascii="Arial" w:eastAsia="Times New Roman" w:hAnsi="Arial" w:cs="Arial"/>
      <w:color w:val="000000"/>
      <w:sz w:val="20"/>
      <w:szCs w:val="20"/>
      <w:lang w:eastAsia="nl-NL"/>
    </w:rPr>
  </w:style>
  <w:style w:type="paragraph" w:styleId="Ballontekst">
    <w:name w:val="Balloon Text"/>
    <w:basedOn w:val="Standaard"/>
    <w:link w:val="BallontekstChar"/>
    <w:uiPriority w:val="99"/>
    <w:semiHidden/>
    <w:unhideWhenUsed/>
    <w:rsid w:val="00181481"/>
    <w:rPr>
      <w:rFonts w:ascii="Tahoma" w:hAnsi="Tahoma" w:cs="Tahoma"/>
      <w:sz w:val="16"/>
      <w:szCs w:val="16"/>
    </w:rPr>
  </w:style>
  <w:style w:type="character" w:customStyle="1" w:styleId="BallontekstChar">
    <w:name w:val="Ballontekst Char"/>
    <w:basedOn w:val="Standaardalinea-lettertype"/>
    <w:link w:val="Ballontekst"/>
    <w:uiPriority w:val="99"/>
    <w:semiHidden/>
    <w:rsid w:val="00181481"/>
    <w:rPr>
      <w:rFonts w:ascii="Tahoma" w:eastAsia="Times New Roman" w:hAnsi="Tahoma" w:cs="Tahoma"/>
      <w:color w:val="000000"/>
      <w:sz w:val="16"/>
      <w:szCs w:val="16"/>
      <w:lang w:eastAsia="nl-NL"/>
    </w:rPr>
  </w:style>
  <w:style w:type="paragraph" w:styleId="Lijstalinea">
    <w:name w:val="List Paragraph"/>
    <w:basedOn w:val="Standaard"/>
    <w:uiPriority w:val="34"/>
    <w:qFormat/>
    <w:rsid w:val="002A706D"/>
    <w:pPr>
      <w:ind w:left="720"/>
      <w:contextualSpacing/>
    </w:pPr>
  </w:style>
  <w:style w:type="character" w:styleId="Verwijzingopmerking">
    <w:name w:val="annotation reference"/>
    <w:basedOn w:val="Standaardalinea-lettertype"/>
    <w:uiPriority w:val="99"/>
    <w:semiHidden/>
    <w:unhideWhenUsed/>
    <w:rsid w:val="005F5196"/>
    <w:rPr>
      <w:sz w:val="16"/>
      <w:szCs w:val="16"/>
    </w:rPr>
  </w:style>
  <w:style w:type="paragraph" w:styleId="Tekstopmerking">
    <w:name w:val="annotation text"/>
    <w:basedOn w:val="Standaard"/>
    <w:link w:val="TekstopmerkingChar"/>
    <w:uiPriority w:val="99"/>
    <w:semiHidden/>
    <w:unhideWhenUsed/>
    <w:rsid w:val="005F5196"/>
  </w:style>
  <w:style w:type="character" w:customStyle="1" w:styleId="TekstopmerkingChar">
    <w:name w:val="Tekst opmerking Char"/>
    <w:basedOn w:val="Standaardalinea-lettertype"/>
    <w:link w:val="Tekstopmerking"/>
    <w:uiPriority w:val="99"/>
    <w:semiHidden/>
    <w:rsid w:val="005F5196"/>
    <w:rPr>
      <w:rFonts w:ascii="Arial" w:eastAsia="Times New Roman" w:hAnsi="Arial" w:cs="Arial"/>
      <w:color w:val="000000"/>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5F5196"/>
    <w:rPr>
      <w:b/>
      <w:bCs/>
    </w:rPr>
  </w:style>
  <w:style w:type="character" w:customStyle="1" w:styleId="OnderwerpvanopmerkingChar">
    <w:name w:val="Onderwerp van opmerking Char"/>
    <w:basedOn w:val="TekstopmerkingChar"/>
    <w:link w:val="Onderwerpvanopmerking"/>
    <w:uiPriority w:val="99"/>
    <w:semiHidden/>
    <w:rsid w:val="005F5196"/>
    <w:rPr>
      <w:rFonts w:ascii="Arial" w:eastAsia="Times New Roman" w:hAnsi="Arial" w:cs="Arial"/>
      <w:b/>
      <w:bCs/>
      <w:color w:val="000000"/>
      <w:sz w:val="20"/>
      <w:szCs w:val="20"/>
      <w:lang w:eastAsia="nl-NL"/>
    </w:rPr>
  </w:style>
  <w:style w:type="character" w:styleId="Hyperlink">
    <w:name w:val="Hyperlink"/>
    <w:basedOn w:val="Standaardalinea-lettertype"/>
    <w:uiPriority w:val="99"/>
    <w:unhideWhenUsed/>
    <w:rsid w:val="002033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00550"/>
    <w:pPr>
      <w:spacing w:after="0" w:line="240" w:lineRule="auto"/>
    </w:pPr>
    <w:rPr>
      <w:rFonts w:ascii="Arial" w:eastAsia="Times New Roman" w:hAnsi="Arial" w:cs="Arial"/>
      <w:color w:val="000000"/>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81481"/>
    <w:pPr>
      <w:tabs>
        <w:tab w:val="center" w:pos="4536"/>
        <w:tab w:val="right" w:pos="9072"/>
      </w:tabs>
    </w:pPr>
  </w:style>
  <w:style w:type="character" w:customStyle="1" w:styleId="KoptekstChar">
    <w:name w:val="Koptekst Char"/>
    <w:basedOn w:val="Standaardalinea-lettertype"/>
    <w:link w:val="Koptekst"/>
    <w:uiPriority w:val="99"/>
    <w:rsid w:val="00181481"/>
    <w:rPr>
      <w:rFonts w:ascii="Arial" w:eastAsia="Times New Roman" w:hAnsi="Arial" w:cs="Arial"/>
      <w:color w:val="000000"/>
      <w:sz w:val="20"/>
      <w:szCs w:val="20"/>
      <w:lang w:eastAsia="nl-NL"/>
    </w:rPr>
  </w:style>
  <w:style w:type="paragraph" w:styleId="Voettekst">
    <w:name w:val="footer"/>
    <w:basedOn w:val="Standaard"/>
    <w:link w:val="VoettekstChar"/>
    <w:uiPriority w:val="99"/>
    <w:unhideWhenUsed/>
    <w:rsid w:val="00181481"/>
    <w:pPr>
      <w:tabs>
        <w:tab w:val="center" w:pos="4536"/>
        <w:tab w:val="right" w:pos="9072"/>
      </w:tabs>
    </w:pPr>
  </w:style>
  <w:style w:type="character" w:customStyle="1" w:styleId="VoettekstChar">
    <w:name w:val="Voettekst Char"/>
    <w:basedOn w:val="Standaardalinea-lettertype"/>
    <w:link w:val="Voettekst"/>
    <w:uiPriority w:val="99"/>
    <w:rsid w:val="00181481"/>
    <w:rPr>
      <w:rFonts w:ascii="Arial" w:eastAsia="Times New Roman" w:hAnsi="Arial" w:cs="Arial"/>
      <w:color w:val="000000"/>
      <w:sz w:val="20"/>
      <w:szCs w:val="20"/>
      <w:lang w:eastAsia="nl-NL"/>
    </w:rPr>
  </w:style>
  <w:style w:type="paragraph" w:styleId="Ballontekst">
    <w:name w:val="Balloon Text"/>
    <w:basedOn w:val="Standaard"/>
    <w:link w:val="BallontekstChar"/>
    <w:uiPriority w:val="99"/>
    <w:semiHidden/>
    <w:unhideWhenUsed/>
    <w:rsid w:val="00181481"/>
    <w:rPr>
      <w:rFonts w:ascii="Tahoma" w:hAnsi="Tahoma" w:cs="Tahoma"/>
      <w:sz w:val="16"/>
      <w:szCs w:val="16"/>
    </w:rPr>
  </w:style>
  <w:style w:type="character" w:customStyle="1" w:styleId="BallontekstChar">
    <w:name w:val="Ballontekst Char"/>
    <w:basedOn w:val="Standaardalinea-lettertype"/>
    <w:link w:val="Ballontekst"/>
    <w:uiPriority w:val="99"/>
    <w:semiHidden/>
    <w:rsid w:val="00181481"/>
    <w:rPr>
      <w:rFonts w:ascii="Tahoma" w:eastAsia="Times New Roman" w:hAnsi="Tahoma" w:cs="Tahoma"/>
      <w:color w:val="000000"/>
      <w:sz w:val="16"/>
      <w:szCs w:val="16"/>
      <w:lang w:eastAsia="nl-NL"/>
    </w:rPr>
  </w:style>
  <w:style w:type="paragraph" w:styleId="Lijstalinea">
    <w:name w:val="List Paragraph"/>
    <w:basedOn w:val="Standaard"/>
    <w:uiPriority w:val="34"/>
    <w:qFormat/>
    <w:rsid w:val="002A706D"/>
    <w:pPr>
      <w:ind w:left="720"/>
      <w:contextualSpacing/>
    </w:pPr>
  </w:style>
  <w:style w:type="character" w:styleId="Verwijzingopmerking">
    <w:name w:val="annotation reference"/>
    <w:basedOn w:val="Standaardalinea-lettertype"/>
    <w:uiPriority w:val="99"/>
    <w:semiHidden/>
    <w:unhideWhenUsed/>
    <w:rsid w:val="005F5196"/>
    <w:rPr>
      <w:sz w:val="16"/>
      <w:szCs w:val="16"/>
    </w:rPr>
  </w:style>
  <w:style w:type="paragraph" w:styleId="Tekstopmerking">
    <w:name w:val="annotation text"/>
    <w:basedOn w:val="Standaard"/>
    <w:link w:val="TekstopmerkingChar"/>
    <w:uiPriority w:val="99"/>
    <w:semiHidden/>
    <w:unhideWhenUsed/>
    <w:rsid w:val="005F5196"/>
  </w:style>
  <w:style w:type="character" w:customStyle="1" w:styleId="TekstopmerkingChar">
    <w:name w:val="Tekst opmerking Char"/>
    <w:basedOn w:val="Standaardalinea-lettertype"/>
    <w:link w:val="Tekstopmerking"/>
    <w:uiPriority w:val="99"/>
    <w:semiHidden/>
    <w:rsid w:val="005F5196"/>
    <w:rPr>
      <w:rFonts w:ascii="Arial" w:eastAsia="Times New Roman" w:hAnsi="Arial" w:cs="Arial"/>
      <w:color w:val="000000"/>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5F5196"/>
    <w:rPr>
      <w:b/>
      <w:bCs/>
    </w:rPr>
  </w:style>
  <w:style w:type="character" w:customStyle="1" w:styleId="OnderwerpvanopmerkingChar">
    <w:name w:val="Onderwerp van opmerking Char"/>
    <w:basedOn w:val="TekstopmerkingChar"/>
    <w:link w:val="Onderwerpvanopmerking"/>
    <w:uiPriority w:val="99"/>
    <w:semiHidden/>
    <w:rsid w:val="005F5196"/>
    <w:rPr>
      <w:rFonts w:ascii="Arial" w:eastAsia="Times New Roman" w:hAnsi="Arial" w:cs="Arial"/>
      <w:b/>
      <w:bCs/>
      <w:color w:val="000000"/>
      <w:sz w:val="20"/>
      <w:szCs w:val="20"/>
      <w:lang w:eastAsia="nl-NL"/>
    </w:rPr>
  </w:style>
  <w:style w:type="character" w:styleId="Hyperlink">
    <w:name w:val="Hyperlink"/>
    <w:basedOn w:val="Standaardalinea-lettertype"/>
    <w:uiPriority w:val="99"/>
    <w:unhideWhenUsed/>
    <w:rsid w:val="002033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3E5D4-26F4-4BDA-BBE4-AB937FE67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7</Pages>
  <Words>2447</Words>
  <Characters>13460</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15876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Saskia van Heteren</cp:lastModifiedBy>
  <cp:revision>146</cp:revision>
  <dcterms:created xsi:type="dcterms:W3CDTF">2013-10-29T14:08:00Z</dcterms:created>
  <dcterms:modified xsi:type="dcterms:W3CDTF">2013-12-02T14:01:00Z</dcterms:modified>
</cp:coreProperties>
</file>