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76E85" w14:textId="763A4DC7" w:rsidR="001454DA" w:rsidRDefault="00465930" w:rsidP="00465930">
      <w:pPr>
        <w:pStyle w:val="Onzichtbaar"/>
      </w:pPr>
      <w:r>
        <w:t>Placeho</w:t>
      </w:r>
    </w:p>
    <w:p w14:paraId="26DDB5F2" w14:textId="77777777" w:rsidR="001454DA" w:rsidRPr="001454DA" w:rsidRDefault="001454DA" w:rsidP="001454DA"/>
    <w:p w14:paraId="7F7FD7C5" w14:textId="77777777" w:rsidR="001454DA" w:rsidRPr="001454DA" w:rsidRDefault="001454DA" w:rsidP="001454DA"/>
    <w:p w14:paraId="35C6CA26" w14:textId="6685A75C" w:rsidR="001454DA" w:rsidRDefault="001454DA" w:rsidP="001454DA"/>
    <w:p w14:paraId="30726BEF" w14:textId="3C04ABC0" w:rsidR="001454DA" w:rsidRDefault="001454DA" w:rsidP="001454DA">
      <w:pPr>
        <w:tabs>
          <w:tab w:val="left" w:pos="1635"/>
        </w:tabs>
      </w:pPr>
      <w:r>
        <w:tab/>
      </w:r>
    </w:p>
    <w:p w14:paraId="1DD04E86" w14:textId="26879FA8" w:rsidR="00732067" w:rsidRPr="001454DA" w:rsidRDefault="001454DA" w:rsidP="001454DA">
      <w:pPr>
        <w:tabs>
          <w:tab w:val="left" w:pos="1635"/>
        </w:tabs>
        <w:sectPr w:rsidR="00732067" w:rsidRPr="001454DA">
          <w:headerReference w:type="even" r:id="rId8"/>
          <w:headerReference w:type="default" r:id="rId9"/>
          <w:footerReference w:type="even" r:id="rId10"/>
          <w:footerReference w:type="default" r:id="rId11"/>
          <w:headerReference w:type="first" r:id="rId12"/>
          <w:footerReference w:type="first" r:id="rId13"/>
          <w:pgSz w:w="11905" w:h="16837"/>
          <w:pgMar w:top="8503" w:right="1700" w:bottom="4535" w:left="2211" w:header="0" w:footer="0" w:gutter="0"/>
          <w:cols w:space="708"/>
        </w:sectPr>
      </w:pPr>
      <w:r>
        <w:tab/>
      </w:r>
    </w:p>
    <w:p w14:paraId="591C966B" w14:textId="1FD99A0C" w:rsidR="00C7155E" w:rsidRPr="00465930" w:rsidRDefault="00C7155E">
      <w:pPr>
        <w:spacing w:line="240" w:lineRule="auto"/>
        <w:rPr>
          <w:b/>
        </w:rPr>
      </w:pPr>
    </w:p>
    <w:p w14:paraId="3DD7BEC1" w14:textId="73EFFF28" w:rsidR="00732067" w:rsidRDefault="00DF60D9">
      <w:pPr>
        <w:pStyle w:val="OnderzoeksrapportKop2zondernummer"/>
      </w:pPr>
      <w:r>
        <w:t>Inhoudsopgave</w:t>
      </w:r>
    </w:p>
    <w:p w14:paraId="445A378C" w14:textId="51E04956" w:rsidR="00063B93" w:rsidRDefault="00DF60D9">
      <w:pPr>
        <w:pStyle w:val="Inhopg1"/>
        <w:tabs>
          <w:tab w:val="right" w:leader="dot" w:pos="7984"/>
        </w:tabs>
        <w:rPr>
          <w:rFonts w:asciiTheme="minorHAnsi" w:eastAsiaTheme="minorEastAsia" w:hAnsiTheme="minorHAnsi" w:cstheme="minorBidi"/>
          <w:noProof/>
          <w:color w:val="auto"/>
          <w:sz w:val="22"/>
          <w:szCs w:val="22"/>
        </w:rPr>
      </w:pPr>
      <w:r>
        <w:fldChar w:fldCharType="begin"/>
      </w:r>
      <w:r>
        <w:instrText xml:space="preserve"> TOC \t "Rapport Kop 1 zonder nummer;1;Rapport Kop 1;1;Rapport Kop 2 zonder nummer;2;Rapport Kop 2;2;Rapport Kop 3;3" </w:instrText>
      </w:r>
      <w:r>
        <w:fldChar w:fldCharType="separate"/>
      </w:r>
      <w:r w:rsidR="00063B93">
        <w:rPr>
          <w:noProof/>
        </w:rPr>
        <w:t>Begrippenlijst</w:t>
      </w:r>
      <w:r w:rsidR="00063B93">
        <w:rPr>
          <w:noProof/>
        </w:rPr>
        <w:tab/>
      </w:r>
      <w:r w:rsidR="00063B93">
        <w:rPr>
          <w:noProof/>
        </w:rPr>
        <w:fldChar w:fldCharType="begin"/>
      </w:r>
      <w:r w:rsidR="00063B93">
        <w:rPr>
          <w:noProof/>
        </w:rPr>
        <w:instrText xml:space="preserve"> PAGEREF _Toc105606064 \h </w:instrText>
      </w:r>
      <w:r w:rsidR="00063B93">
        <w:rPr>
          <w:noProof/>
        </w:rPr>
      </w:r>
      <w:r w:rsidR="00063B93">
        <w:rPr>
          <w:noProof/>
        </w:rPr>
        <w:fldChar w:fldCharType="separate"/>
      </w:r>
      <w:r w:rsidR="00063B93">
        <w:rPr>
          <w:noProof/>
        </w:rPr>
        <w:t>4</w:t>
      </w:r>
      <w:r w:rsidR="00063B93">
        <w:rPr>
          <w:noProof/>
        </w:rPr>
        <w:fldChar w:fldCharType="end"/>
      </w:r>
    </w:p>
    <w:p w14:paraId="5411DE9C" w14:textId="5D01B743" w:rsidR="00063B93" w:rsidRDefault="00063B93">
      <w:pPr>
        <w:pStyle w:val="Inhopg1"/>
        <w:tabs>
          <w:tab w:val="left" w:pos="334"/>
          <w:tab w:val="right" w:leader="dot" w:pos="7984"/>
        </w:tabs>
        <w:rPr>
          <w:rFonts w:asciiTheme="minorHAnsi" w:eastAsiaTheme="minorEastAsia" w:hAnsiTheme="minorHAnsi" w:cstheme="minorBidi"/>
          <w:noProof/>
          <w:color w:val="auto"/>
          <w:sz w:val="22"/>
          <w:szCs w:val="22"/>
        </w:rPr>
      </w:pPr>
      <w:r>
        <w:rPr>
          <w:noProof/>
        </w:rPr>
        <w:t>1</w:t>
      </w:r>
      <w:r>
        <w:rPr>
          <w:rFonts w:asciiTheme="minorHAnsi" w:eastAsiaTheme="minorEastAsia" w:hAnsiTheme="minorHAnsi" w:cstheme="minorBidi"/>
          <w:noProof/>
          <w:color w:val="auto"/>
          <w:sz w:val="22"/>
          <w:szCs w:val="22"/>
        </w:rPr>
        <w:tab/>
      </w:r>
      <w:r>
        <w:rPr>
          <w:noProof/>
        </w:rPr>
        <w:t>Aanbestedende Dienst en opdracht</w:t>
      </w:r>
      <w:r>
        <w:rPr>
          <w:noProof/>
        </w:rPr>
        <w:tab/>
      </w:r>
      <w:r>
        <w:rPr>
          <w:noProof/>
        </w:rPr>
        <w:fldChar w:fldCharType="begin"/>
      </w:r>
      <w:r>
        <w:rPr>
          <w:noProof/>
        </w:rPr>
        <w:instrText xml:space="preserve"> PAGEREF _Toc105606065 \h </w:instrText>
      </w:r>
      <w:r>
        <w:rPr>
          <w:noProof/>
        </w:rPr>
      </w:r>
      <w:r>
        <w:rPr>
          <w:noProof/>
        </w:rPr>
        <w:fldChar w:fldCharType="separate"/>
      </w:r>
      <w:r>
        <w:rPr>
          <w:noProof/>
        </w:rPr>
        <w:t>7</w:t>
      </w:r>
      <w:r>
        <w:rPr>
          <w:noProof/>
        </w:rPr>
        <w:fldChar w:fldCharType="end"/>
      </w:r>
    </w:p>
    <w:p w14:paraId="4C95DDF7" w14:textId="23C2736A" w:rsidR="00063B93" w:rsidRDefault="00063B93">
      <w:pPr>
        <w:pStyle w:val="Inhopg2"/>
        <w:tabs>
          <w:tab w:val="left" w:pos="514"/>
          <w:tab w:val="right" w:leader="dot" w:pos="7984"/>
        </w:tabs>
        <w:rPr>
          <w:rFonts w:asciiTheme="minorHAnsi" w:eastAsiaTheme="minorEastAsia" w:hAnsiTheme="minorHAnsi" w:cstheme="minorBidi"/>
          <w:noProof/>
          <w:color w:val="auto"/>
          <w:sz w:val="22"/>
          <w:szCs w:val="22"/>
        </w:rPr>
      </w:pPr>
      <w:r>
        <w:rPr>
          <w:noProof/>
        </w:rPr>
        <w:t>1.1</w:t>
      </w:r>
      <w:r>
        <w:rPr>
          <w:rFonts w:asciiTheme="minorHAnsi" w:eastAsiaTheme="minorEastAsia" w:hAnsiTheme="minorHAnsi" w:cstheme="minorBidi"/>
          <w:noProof/>
          <w:color w:val="auto"/>
          <w:sz w:val="22"/>
          <w:szCs w:val="22"/>
        </w:rPr>
        <w:tab/>
      </w:r>
      <w:r>
        <w:rPr>
          <w:noProof/>
        </w:rPr>
        <w:t>De Tweede Kamer</w:t>
      </w:r>
      <w:r>
        <w:rPr>
          <w:noProof/>
        </w:rPr>
        <w:tab/>
      </w:r>
      <w:r>
        <w:rPr>
          <w:noProof/>
        </w:rPr>
        <w:fldChar w:fldCharType="begin"/>
      </w:r>
      <w:r>
        <w:rPr>
          <w:noProof/>
        </w:rPr>
        <w:instrText xml:space="preserve"> PAGEREF _Toc105606066 \h </w:instrText>
      </w:r>
      <w:r>
        <w:rPr>
          <w:noProof/>
        </w:rPr>
      </w:r>
      <w:r>
        <w:rPr>
          <w:noProof/>
        </w:rPr>
        <w:fldChar w:fldCharType="separate"/>
      </w:r>
      <w:r>
        <w:rPr>
          <w:noProof/>
        </w:rPr>
        <w:t>7</w:t>
      </w:r>
      <w:r>
        <w:rPr>
          <w:noProof/>
        </w:rPr>
        <w:fldChar w:fldCharType="end"/>
      </w:r>
    </w:p>
    <w:p w14:paraId="2C7117A9" w14:textId="0D6930D0" w:rsidR="00063B93" w:rsidRDefault="00063B93">
      <w:pPr>
        <w:pStyle w:val="Inhopg2"/>
        <w:tabs>
          <w:tab w:val="left" w:pos="514"/>
          <w:tab w:val="right" w:leader="dot" w:pos="7984"/>
        </w:tabs>
        <w:rPr>
          <w:rFonts w:asciiTheme="minorHAnsi" w:eastAsiaTheme="minorEastAsia" w:hAnsiTheme="minorHAnsi" w:cstheme="minorBidi"/>
          <w:noProof/>
          <w:color w:val="auto"/>
          <w:sz w:val="22"/>
          <w:szCs w:val="22"/>
        </w:rPr>
      </w:pPr>
      <w:r>
        <w:rPr>
          <w:noProof/>
        </w:rPr>
        <w:t>1.2</w:t>
      </w:r>
      <w:r>
        <w:rPr>
          <w:rFonts w:asciiTheme="minorHAnsi" w:eastAsiaTheme="minorEastAsia" w:hAnsiTheme="minorHAnsi" w:cstheme="minorBidi"/>
          <w:noProof/>
          <w:color w:val="auto"/>
          <w:sz w:val="22"/>
          <w:szCs w:val="22"/>
        </w:rPr>
        <w:tab/>
      </w:r>
      <w:r>
        <w:rPr>
          <w:noProof/>
        </w:rPr>
        <w:t>Contactpersoon</w:t>
      </w:r>
      <w:r>
        <w:rPr>
          <w:noProof/>
        </w:rPr>
        <w:tab/>
      </w:r>
      <w:r>
        <w:rPr>
          <w:noProof/>
        </w:rPr>
        <w:fldChar w:fldCharType="begin"/>
      </w:r>
      <w:r>
        <w:rPr>
          <w:noProof/>
        </w:rPr>
        <w:instrText xml:space="preserve"> PAGEREF _Toc105606067 \h </w:instrText>
      </w:r>
      <w:r>
        <w:rPr>
          <w:noProof/>
        </w:rPr>
      </w:r>
      <w:r>
        <w:rPr>
          <w:noProof/>
        </w:rPr>
        <w:fldChar w:fldCharType="separate"/>
      </w:r>
      <w:r>
        <w:rPr>
          <w:noProof/>
        </w:rPr>
        <w:t>9</w:t>
      </w:r>
      <w:r>
        <w:rPr>
          <w:noProof/>
        </w:rPr>
        <w:fldChar w:fldCharType="end"/>
      </w:r>
    </w:p>
    <w:p w14:paraId="09A57A73" w14:textId="4756266F" w:rsidR="00063B93" w:rsidRDefault="00063B93">
      <w:pPr>
        <w:pStyle w:val="Inhopg2"/>
        <w:tabs>
          <w:tab w:val="left" w:pos="514"/>
          <w:tab w:val="right" w:leader="dot" w:pos="7984"/>
        </w:tabs>
        <w:rPr>
          <w:rFonts w:asciiTheme="minorHAnsi" w:eastAsiaTheme="minorEastAsia" w:hAnsiTheme="minorHAnsi" w:cstheme="minorBidi"/>
          <w:noProof/>
          <w:color w:val="auto"/>
          <w:sz w:val="22"/>
          <w:szCs w:val="22"/>
        </w:rPr>
      </w:pPr>
      <w:r>
        <w:rPr>
          <w:noProof/>
        </w:rPr>
        <w:t>1.3</w:t>
      </w:r>
      <w:r>
        <w:rPr>
          <w:rFonts w:asciiTheme="minorHAnsi" w:eastAsiaTheme="minorEastAsia" w:hAnsiTheme="minorHAnsi" w:cstheme="minorBidi"/>
          <w:noProof/>
          <w:color w:val="auto"/>
          <w:sz w:val="22"/>
          <w:szCs w:val="22"/>
        </w:rPr>
        <w:tab/>
      </w:r>
      <w:r>
        <w:rPr>
          <w:noProof/>
        </w:rPr>
        <w:t>De achtergrond van de Aanbestedingsprocedure</w:t>
      </w:r>
      <w:r>
        <w:rPr>
          <w:noProof/>
        </w:rPr>
        <w:tab/>
      </w:r>
      <w:r>
        <w:rPr>
          <w:noProof/>
        </w:rPr>
        <w:fldChar w:fldCharType="begin"/>
      </w:r>
      <w:r>
        <w:rPr>
          <w:noProof/>
        </w:rPr>
        <w:instrText xml:space="preserve"> PAGEREF _Toc105606068 \h </w:instrText>
      </w:r>
      <w:r>
        <w:rPr>
          <w:noProof/>
        </w:rPr>
      </w:r>
      <w:r>
        <w:rPr>
          <w:noProof/>
        </w:rPr>
        <w:fldChar w:fldCharType="separate"/>
      </w:r>
      <w:r>
        <w:rPr>
          <w:noProof/>
        </w:rPr>
        <w:t>10</w:t>
      </w:r>
      <w:r>
        <w:rPr>
          <w:noProof/>
        </w:rPr>
        <w:fldChar w:fldCharType="end"/>
      </w:r>
    </w:p>
    <w:p w14:paraId="2C574F44" w14:textId="7C578416" w:rsidR="00063B93" w:rsidRDefault="00063B93">
      <w:pPr>
        <w:pStyle w:val="Inhopg2"/>
        <w:tabs>
          <w:tab w:val="left" w:pos="514"/>
          <w:tab w:val="right" w:leader="dot" w:pos="7984"/>
        </w:tabs>
        <w:rPr>
          <w:rFonts w:asciiTheme="minorHAnsi" w:eastAsiaTheme="minorEastAsia" w:hAnsiTheme="minorHAnsi" w:cstheme="minorBidi"/>
          <w:noProof/>
          <w:color w:val="auto"/>
          <w:sz w:val="22"/>
          <w:szCs w:val="22"/>
        </w:rPr>
      </w:pPr>
      <w:r>
        <w:rPr>
          <w:noProof/>
        </w:rPr>
        <w:t>1.4</w:t>
      </w:r>
      <w:r>
        <w:rPr>
          <w:rFonts w:asciiTheme="minorHAnsi" w:eastAsiaTheme="minorEastAsia" w:hAnsiTheme="minorHAnsi" w:cstheme="minorBidi"/>
          <w:noProof/>
          <w:color w:val="auto"/>
          <w:sz w:val="22"/>
          <w:szCs w:val="22"/>
        </w:rPr>
        <w:tab/>
      </w:r>
      <w:r>
        <w:rPr>
          <w:noProof/>
        </w:rPr>
        <w:t>De opdracht</w:t>
      </w:r>
      <w:r>
        <w:rPr>
          <w:noProof/>
        </w:rPr>
        <w:tab/>
      </w:r>
      <w:r>
        <w:rPr>
          <w:noProof/>
        </w:rPr>
        <w:fldChar w:fldCharType="begin"/>
      </w:r>
      <w:r>
        <w:rPr>
          <w:noProof/>
        </w:rPr>
        <w:instrText xml:space="preserve"> PAGEREF _Toc105606069 \h </w:instrText>
      </w:r>
      <w:r>
        <w:rPr>
          <w:noProof/>
        </w:rPr>
      </w:r>
      <w:r>
        <w:rPr>
          <w:noProof/>
        </w:rPr>
        <w:fldChar w:fldCharType="separate"/>
      </w:r>
      <w:r>
        <w:rPr>
          <w:noProof/>
        </w:rPr>
        <w:t>10</w:t>
      </w:r>
      <w:r>
        <w:rPr>
          <w:noProof/>
        </w:rPr>
        <w:fldChar w:fldCharType="end"/>
      </w:r>
    </w:p>
    <w:p w14:paraId="2C88B41A" w14:textId="01CDBC59" w:rsidR="00063B93" w:rsidRDefault="00063B93">
      <w:pPr>
        <w:pStyle w:val="Inhopg2"/>
        <w:tabs>
          <w:tab w:val="left" w:pos="514"/>
          <w:tab w:val="right" w:leader="dot" w:pos="7984"/>
        </w:tabs>
        <w:rPr>
          <w:rFonts w:asciiTheme="minorHAnsi" w:eastAsiaTheme="minorEastAsia" w:hAnsiTheme="minorHAnsi" w:cstheme="minorBidi"/>
          <w:noProof/>
          <w:color w:val="auto"/>
          <w:sz w:val="22"/>
          <w:szCs w:val="22"/>
        </w:rPr>
      </w:pPr>
      <w:r>
        <w:rPr>
          <w:noProof/>
        </w:rPr>
        <w:t>1.5</w:t>
      </w:r>
      <w:r>
        <w:rPr>
          <w:rFonts w:asciiTheme="minorHAnsi" w:eastAsiaTheme="minorEastAsia" w:hAnsiTheme="minorHAnsi" w:cstheme="minorBidi"/>
          <w:noProof/>
          <w:color w:val="auto"/>
          <w:sz w:val="22"/>
          <w:szCs w:val="22"/>
        </w:rPr>
        <w:tab/>
      </w:r>
      <w:r>
        <w:rPr>
          <w:noProof/>
        </w:rPr>
        <w:t>Wachtkamerconstructie</w:t>
      </w:r>
      <w:r>
        <w:rPr>
          <w:noProof/>
        </w:rPr>
        <w:tab/>
      </w:r>
      <w:r>
        <w:rPr>
          <w:noProof/>
        </w:rPr>
        <w:fldChar w:fldCharType="begin"/>
      </w:r>
      <w:r>
        <w:rPr>
          <w:noProof/>
        </w:rPr>
        <w:instrText xml:space="preserve"> PAGEREF _Toc105606070 \h </w:instrText>
      </w:r>
      <w:r>
        <w:rPr>
          <w:noProof/>
        </w:rPr>
      </w:r>
      <w:r>
        <w:rPr>
          <w:noProof/>
        </w:rPr>
        <w:fldChar w:fldCharType="separate"/>
      </w:r>
      <w:r>
        <w:rPr>
          <w:noProof/>
        </w:rPr>
        <w:t>13</w:t>
      </w:r>
      <w:r>
        <w:rPr>
          <w:noProof/>
        </w:rPr>
        <w:fldChar w:fldCharType="end"/>
      </w:r>
    </w:p>
    <w:p w14:paraId="13721F77" w14:textId="637C805C" w:rsidR="00063B93" w:rsidRDefault="00063B93">
      <w:pPr>
        <w:pStyle w:val="Inhopg2"/>
        <w:tabs>
          <w:tab w:val="left" w:pos="514"/>
          <w:tab w:val="right" w:leader="dot" w:pos="7984"/>
        </w:tabs>
        <w:rPr>
          <w:rFonts w:asciiTheme="minorHAnsi" w:eastAsiaTheme="minorEastAsia" w:hAnsiTheme="minorHAnsi" w:cstheme="minorBidi"/>
          <w:noProof/>
          <w:color w:val="auto"/>
          <w:sz w:val="22"/>
          <w:szCs w:val="22"/>
        </w:rPr>
      </w:pPr>
      <w:r>
        <w:rPr>
          <w:noProof/>
        </w:rPr>
        <w:t>1.6</w:t>
      </w:r>
      <w:r>
        <w:rPr>
          <w:rFonts w:asciiTheme="minorHAnsi" w:eastAsiaTheme="minorEastAsia" w:hAnsiTheme="minorHAnsi" w:cstheme="minorBidi"/>
          <w:noProof/>
          <w:color w:val="auto"/>
          <w:sz w:val="22"/>
          <w:szCs w:val="22"/>
        </w:rPr>
        <w:tab/>
      </w:r>
      <w:r>
        <w:rPr>
          <w:noProof/>
        </w:rPr>
        <w:t>Scope</w:t>
      </w:r>
      <w:r>
        <w:rPr>
          <w:noProof/>
        </w:rPr>
        <w:tab/>
      </w:r>
      <w:r>
        <w:rPr>
          <w:noProof/>
        </w:rPr>
        <w:fldChar w:fldCharType="begin"/>
      </w:r>
      <w:r>
        <w:rPr>
          <w:noProof/>
        </w:rPr>
        <w:instrText xml:space="preserve"> PAGEREF _Toc105606071 \h </w:instrText>
      </w:r>
      <w:r>
        <w:rPr>
          <w:noProof/>
        </w:rPr>
      </w:r>
      <w:r>
        <w:rPr>
          <w:noProof/>
        </w:rPr>
        <w:fldChar w:fldCharType="separate"/>
      </w:r>
      <w:r>
        <w:rPr>
          <w:noProof/>
        </w:rPr>
        <w:t>13</w:t>
      </w:r>
      <w:r>
        <w:rPr>
          <w:noProof/>
        </w:rPr>
        <w:fldChar w:fldCharType="end"/>
      </w:r>
    </w:p>
    <w:p w14:paraId="1C2DDFCA" w14:textId="4644FB87" w:rsidR="00063B93" w:rsidRDefault="00063B93">
      <w:pPr>
        <w:pStyle w:val="Inhopg2"/>
        <w:tabs>
          <w:tab w:val="left" w:pos="514"/>
          <w:tab w:val="right" w:leader="dot" w:pos="7984"/>
        </w:tabs>
        <w:rPr>
          <w:rFonts w:asciiTheme="minorHAnsi" w:eastAsiaTheme="minorEastAsia" w:hAnsiTheme="minorHAnsi" w:cstheme="minorBidi"/>
          <w:noProof/>
          <w:color w:val="auto"/>
          <w:sz w:val="22"/>
          <w:szCs w:val="22"/>
        </w:rPr>
      </w:pPr>
      <w:r>
        <w:rPr>
          <w:noProof/>
        </w:rPr>
        <w:t>1.7</w:t>
      </w:r>
      <w:r>
        <w:rPr>
          <w:rFonts w:asciiTheme="minorHAnsi" w:eastAsiaTheme="minorEastAsia" w:hAnsiTheme="minorHAnsi" w:cstheme="minorBidi"/>
          <w:noProof/>
          <w:color w:val="auto"/>
          <w:sz w:val="22"/>
          <w:szCs w:val="22"/>
        </w:rPr>
        <w:tab/>
      </w:r>
      <w:r>
        <w:rPr>
          <w:noProof/>
        </w:rPr>
        <w:t>Maatschappelijke waarde</w:t>
      </w:r>
      <w:r>
        <w:rPr>
          <w:noProof/>
        </w:rPr>
        <w:tab/>
      </w:r>
      <w:r>
        <w:rPr>
          <w:noProof/>
        </w:rPr>
        <w:fldChar w:fldCharType="begin"/>
      </w:r>
      <w:r>
        <w:rPr>
          <w:noProof/>
        </w:rPr>
        <w:instrText xml:space="preserve"> PAGEREF _Toc105606072 \h </w:instrText>
      </w:r>
      <w:r>
        <w:rPr>
          <w:noProof/>
        </w:rPr>
      </w:r>
      <w:r>
        <w:rPr>
          <w:noProof/>
        </w:rPr>
        <w:fldChar w:fldCharType="separate"/>
      </w:r>
      <w:r>
        <w:rPr>
          <w:noProof/>
        </w:rPr>
        <w:t>14</w:t>
      </w:r>
      <w:r>
        <w:rPr>
          <w:noProof/>
        </w:rPr>
        <w:fldChar w:fldCharType="end"/>
      </w:r>
    </w:p>
    <w:p w14:paraId="26EF0DC5" w14:textId="7D78484F" w:rsidR="00063B93" w:rsidRDefault="00063B93">
      <w:pPr>
        <w:pStyle w:val="Inhopg1"/>
        <w:tabs>
          <w:tab w:val="left" w:pos="334"/>
          <w:tab w:val="right" w:leader="dot" w:pos="7984"/>
        </w:tabs>
        <w:rPr>
          <w:rFonts w:asciiTheme="minorHAnsi" w:eastAsiaTheme="minorEastAsia" w:hAnsiTheme="minorHAnsi" w:cstheme="minorBidi"/>
          <w:noProof/>
          <w:color w:val="auto"/>
          <w:sz w:val="22"/>
          <w:szCs w:val="22"/>
        </w:rPr>
      </w:pPr>
      <w:r>
        <w:rPr>
          <w:noProof/>
        </w:rPr>
        <w:t>2</w:t>
      </w:r>
      <w:r>
        <w:rPr>
          <w:rFonts w:asciiTheme="minorHAnsi" w:eastAsiaTheme="minorEastAsia" w:hAnsiTheme="minorHAnsi" w:cstheme="minorBidi"/>
          <w:noProof/>
          <w:color w:val="auto"/>
          <w:sz w:val="22"/>
          <w:szCs w:val="22"/>
        </w:rPr>
        <w:tab/>
      </w:r>
      <w:r>
        <w:rPr>
          <w:noProof/>
        </w:rPr>
        <w:t>Aanbestedingsprocedure</w:t>
      </w:r>
      <w:r>
        <w:rPr>
          <w:noProof/>
        </w:rPr>
        <w:tab/>
      </w:r>
      <w:r>
        <w:rPr>
          <w:noProof/>
        </w:rPr>
        <w:fldChar w:fldCharType="begin"/>
      </w:r>
      <w:r>
        <w:rPr>
          <w:noProof/>
        </w:rPr>
        <w:instrText xml:space="preserve"> PAGEREF _Toc105606073 \h </w:instrText>
      </w:r>
      <w:r>
        <w:rPr>
          <w:noProof/>
        </w:rPr>
      </w:r>
      <w:r>
        <w:rPr>
          <w:noProof/>
        </w:rPr>
        <w:fldChar w:fldCharType="separate"/>
      </w:r>
      <w:r>
        <w:rPr>
          <w:noProof/>
        </w:rPr>
        <w:t>15</w:t>
      </w:r>
      <w:r>
        <w:rPr>
          <w:noProof/>
        </w:rPr>
        <w:fldChar w:fldCharType="end"/>
      </w:r>
    </w:p>
    <w:p w14:paraId="3BEFF9AF" w14:textId="5CE89731" w:rsidR="00063B93" w:rsidRDefault="00063B93">
      <w:pPr>
        <w:pStyle w:val="Inhopg2"/>
        <w:tabs>
          <w:tab w:val="left" w:pos="514"/>
          <w:tab w:val="right" w:leader="dot" w:pos="7984"/>
        </w:tabs>
        <w:rPr>
          <w:rFonts w:asciiTheme="minorHAnsi" w:eastAsiaTheme="minorEastAsia" w:hAnsiTheme="minorHAnsi" w:cstheme="minorBidi"/>
          <w:noProof/>
          <w:color w:val="auto"/>
          <w:sz w:val="22"/>
          <w:szCs w:val="22"/>
        </w:rPr>
      </w:pPr>
      <w:r>
        <w:rPr>
          <w:noProof/>
        </w:rPr>
        <w:t>2.1</w:t>
      </w:r>
      <w:r>
        <w:rPr>
          <w:rFonts w:asciiTheme="minorHAnsi" w:eastAsiaTheme="minorEastAsia" w:hAnsiTheme="minorHAnsi" w:cstheme="minorBidi"/>
          <w:noProof/>
          <w:color w:val="auto"/>
          <w:sz w:val="22"/>
          <w:szCs w:val="22"/>
        </w:rPr>
        <w:tab/>
      </w:r>
      <w:r>
        <w:rPr>
          <w:noProof/>
        </w:rPr>
        <w:t>Planning</w:t>
      </w:r>
      <w:r>
        <w:rPr>
          <w:noProof/>
        </w:rPr>
        <w:tab/>
      </w:r>
      <w:r>
        <w:rPr>
          <w:noProof/>
        </w:rPr>
        <w:fldChar w:fldCharType="begin"/>
      </w:r>
      <w:r>
        <w:rPr>
          <w:noProof/>
        </w:rPr>
        <w:instrText xml:space="preserve"> PAGEREF _Toc105606074 \h </w:instrText>
      </w:r>
      <w:r>
        <w:rPr>
          <w:noProof/>
        </w:rPr>
      </w:r>
      <w:r>
        <w:rPr>
          <w:noProof/>
        </w:rPr>
        <w:fldChar w:fldCharType="separate"/>
      </w:r>
      <w:r>
        <w:rPr>
          <w:noProof/>
        </w:rPr>
        <w:t>15</w:t>
      </w:r>
      <w:r>
        <w:rPr>
          <w:noProof/>
        </w:rPr>
        <w:fldChar w:fldCharType="end"/>
      </w:r>
    </w:p>
    <w:p w14:paraId="004A947B" w14:textId="1013CC61" w:rsidR="00063B93" w:rsidRDefault="00063B93">
      <w:pPr>
        <w:pStyle w:val="Inhopg2"/>
        <w:tabs>
          <w:tab w:val="left" w:pos="514"/>
          <w:tab w:val="right" w:leader="dot" w:pos="7984"/>
        </w:tabs>
        <w:rPr>
          <w:rFonts w:asciiTheme="minorHAnsi" w:eastAsiaTheme="minorEastAsia" w:hAnsiTheme="minorHAnsi" w:cstheme="minorBidi"/>
          <w:noProof/>
          <w:color w:val="auto"/>
          <w:sz w:val="22"/>
          <w:szCs w:val="22"/>
        </w:rPr>
      </w:pPr>
      <w:r>
        <w:rPr>
          <w:noProof/>
        </w:rPr>
        <w:t>2.2</w:t>
      </w:r>
      <w:r>
        <w:rPr>
          <w:rFonts w:asciiTheme="minorHAnsi" w:eastAsiaTheme="minorEastAsia" w:hAnsiTheme="minorHAnsi" w:cstheme="minorBidi"/>
          <w:noProof/>
          <w:color w:val="auto"/>
          <w:sz w:val="22"/>
          <w:szCs w:val="22"/>
        </w:rPr>
        <w:tab/>
      </w:r>
      <w:r>
        <w:rPr>
          <w:noProof/>
        </w:rPr>
        <w:t>Aanbestedingsvoorschriften</w:t>
      </w:r>
      <w:r>
        <w:rPr>
          <w:noProof/>
        </w:rPr>
        <w:tab/>
      </w:r>
      <w:r>
        <w:rPr>
          <w:noProof/>
        </w:rPr>
        <w:fldChar w:fldCharType="begin"/>
      </w:r>
      <w:r>
        <w:rPr>
          <w:noProof/>
        </w:rPr>
        <w:instrText xml:space="preserve"> PAGEREF _Toc105606075 \h </w:instrText>
      </w:r>
      <w:r>
        <w:rPr>
          <w:noProof/>
        </w:rPr>
      </w:r>
      <w:r>
        <w:rPr>
          <w:noProof/>
        </w:rPr>
        <w:fldChar w:fldCharType="separate"/>
      </w:r>
      <w:r>
        <w:rPr>
          <w:noProof/>
        </w:rPr>
        <w:t>16</w:t>
      </w:r>
      <w:r>
        <w:rPr>
          <w:noProof/>
        </w:rPr>
        <w:fldChar w:fldCharType="end"/>
      </w:r>
    </w:p>
    <w:p w14:paraId="482EE75C" w14:textId="3AC14C1A" w:rsidR="00063B93" w:rsidRDefault="00063B93">
      <w:pPr>
        <w:pStyle w:val="Inhopg2"/>
        <w:tabs>
          <w:tab w:val="left" w:pos="514"/>
          <w:tab w:val="right" w:leader="dot" w:pos="7984"/>
        </w:tabs>
        <w:rPr>
          <w:rFonts w:asciiTheme="minorHAnsi" w:eastAsiaTheme="minorEastAsia" w:hAnsiTheme="minorHAnsi" w:cstheme="minorBidi"/>
          <w:noProof/>
          <w:color w:val="auto"/>
          <w:sz w:val="22"/>
          <w:szCs w:val="22"/>
        </w:rPr>
      </w:pPr>
      <w:r>
        <w:rPr>
          <w:noProof/>
        </w:rPr>
        <w:t>2.3</w:t>
      </w:r>
      <w:r>
        <w:rPr>
          <w:rFonts w:asciiTheme="minorHAnsi" w:eastAsiaTheme="minorEastAsia" w:hAnsiTheme="minorHAnsi" w:cstheme="minorBidi"/>
          <w:noProof/>
          <w:color w:val="auto"/>
          <w:sz w:val="22"/>
          <w:szCs w:val="22"/>
        </w:rPr>
        <w:tab/>
      </w:r>
      <w:r>
        <w:rPr>
          <w:noProof/>
        </w:rPr>
        <w:t>Inlichtingen</w:t>
      </w:r>
      <w:r>
        <w:rPr>
          <w:noProof/>
        </w:rPr>
        <w:tab/>
      </w:r>
      <w:r>
        <w:rPr>
          <w:noProof/>
        </w:rPr>
        <w:fldChar w:fldCharType="begin"/>
      </w:r>
      <w:r>
        <w:rPr>
          <w:noProof/>
        </w:rPr>
        <w:instrText xml:space="preserve"> PAGEREF _Toc105606076 \h </w:instrText>
      </w:r>
      <w:r>
        <w:rPr>
          <w:noProof/>
        </w:rPr>
      </w:r>
      <w:r>
        <w:rPr>
          <w:noProof/>
        </w:rPr>
        <w:fldChar w:fldCharType="separate"/>
      </w:r>
      <w:r>
        <w:rPr>
          <w:noProof/>
        </w:rPr>
        <w:t>22</w:t>
      </w:r>
      <w:r>
        <w:rPr>
          <w:noProof/>
        </w:rPr>
        <w:fldChar w:fldCharType="end"/>
      </w:r>
    </w:p>
    <w:p w14:paraId="4A6E8280" w14:textId="3819B7DE" w:rsidR="00063B93" w:rsidRDefault="00063B93">
      <w:pPr>
        <w:pStyle w:val="Inhopg2"/>
        <w:tabs>
          <w:tab w:val="left" w:pos="514"/>
          <w:tab w:val="right" w:leader="dot" w:pos="7984"/>
        </w:tabs>
        <w:rPr>
          <w:rFonts w:asciiTheme="minorHAnsi" w:eastAsiaTheme="minorEastAsia" w:hAnsiTheme="minorHAnsi" w:cstheme="minorBidi"/>
          <w:noProof/>
          <w:color w:val="auto"/>
          <w:sz w:val="22"/>
          <w:szCs w:val="22"/>
        </w:rPr>
      </w:pPr>
      <w:r>
        <w:rPr>
          <w:noProof/>
        </w:rPr>
        <w:t>2.4</w:t>
      </w:r>
      <w:r>
        <w:rPr>
          <w:rFonts w:asciiTheme="minorHAnsi" w:eastAsiaTheme="minorEastAsia" w:hAnsiTheme="minorHAnsi" w:cstheme="minorBidi"/>
          <w:noProof/>
          <w:color w:val="auto"/>
          <w:sz w:val="22"/>
          <w:szCs w:val="22"/>
        </w:rPr>
        <w:tab/>
      </w:r>
      <w:r>
        <w:rPr>
          <w:noProof/>
        </w:rPr>
        <w:t>Klachtenregeling</w:t>
      </w:r>
      <w:r>
        <w:rPr>
          <w:noProof/>
        </w:rPr>
        <w:tab/>
      </w:r>
      <w:r>
        <w:rPr>
          <w:noProof/>
        </w:rPr>
        <w:fldChar w:fldCharType="begin"/>
      </w:r>
      <w:r>
        <w:rPr>
          <w:noProof/>
        </w:rPr>
        <w:instrText xml:space="preserve"> PAGEREF _Toc105606077 \h </w:instrText>
      </w:r>
      <w:r>
        <w:rPr>
          <w:noProof/>
        </w:rPr>
      </w:r>
      <w:r>
        <w:rPr>
          <w:noProof/>
        </w:rPr>
        <w:fldChar w:fldCharType="separate"/>
      </w:r>
      <w:r>
        <w:rPr>
          <w:noProof/>
        </w:rPr>
        <w:t>23</w:t>
      </w:r>
      <w:r>
        <w:rPr>
          <w:noProof/>
        </w:rPr>
        <w:fldChar w:fldCharType="end"/>
      </w:r>
    </w:p>
    <w:p w14:paraId="0C9134B5" w14:textId="5ED2FE4B" w:rsidR="00063B93" w:rsidRDefault="00063B93">
      <w:pPr>
        <w:pStyle w:val="Inhopg2"/>
        <w:tabs>
          <w:tab w:val="left" w:pos="514"/>
          <w:tab w:val="right" w:leader="dot" w:pos="7984"/>
        </w:tabs>
        <w:rPr>
          <w:rFonts w:asciiTheme="minorHAnsi" w:eastAsiaTheme="minorEastAsia" w:hAnsiTheme="minorHAnsi" w:cstheme="minorBidi"/>
          <w:noProof/>
          <w:color w:val="auto"/>
          <w:sz w:val="22"/>
          <w:szCs w:val="22"/>
        </w:rPr>
      </w:pPr>
      <w:r>
        <w:rPr>
          <w:noProof/>
        </w:rPr>
        <w:t>2.5</w:t>
      </w:r>
      <w:r>
        <w:rPr>
          <w:rFonts w:asciiTheme="minorHAnsi" w:eastAsiaTheme="minorEastAsia" w:hAnsiTheme="minorHAnsi" w:cstheme="minorBidi"/>
          <w:noProof/>
          <w:color w:val="auto"/>
          <w:sz w:val="22"/>
          <w:szCs w:val="22"/>
        </w:rPr>
        <w:tab/>
      </w:r>
      <w:r>
        <w:rPr>
          <w:noProof/>
        </w:rPr>
        <w:t>Geschillen</w:t>
      </w:r>
      <w:r>
        <w:rPr>
          <w:noProof/>
        </w:rPr>
        <w:tab/>
      </w:r>
      <w:r>
        <w:rPr>
          <w:noProof/>
        </w:rPr>
        <w:fldChar w:fldCharType="begin"/>
      </w:r>
      <w:r>
        <w:rPr>
          <w:noProof/>
        </w:rPr>
        <w:instrText xml:space="preserve"> PAGEREF _Toc105606078 \h </w:instrText>
      </w:r>
      <w:r>
        <w:rPr>
          <w:noProof/>
        </w:rPr>
      </w:r>
      <w:r>
        <w:rPr>
          <w:noProof/>
        </w:rPr>
        <w:fldChar w:fldCharType="separate"/>
      </w:r>
      <w:r>
        <w:rPr>
          <w:noProof/>
        </w:rPr>
        <w:t>23</w:t>
      </w:r>
      <w:r>
        <w:rPr>
          <w:noProof/>
        </w:rPr>
        <w:fldChar w:fldCharType="end"/>
      </w:r>
    </w:p>
    <w:p w14:paraId="399FACD1" w14:textId="1E7D8E83" w:rsidR="00063B93" w:rsidRDefault="00063B93">
      <w:pPr>
        <w:pStyle w:val="Inhopg2"/>
        <w:tabs>
          <w:tab w:val="left" w:pos="514"/>
          <w:tab w:val="right" w:leader="dot" w:pos="7984"/>
        </w:tabs>
        <w:rPr>
          <w:rFonts w:asciiTheme="minorHAnsi" w:eastAsiaTheme="minorEastAsia" w:hAnsiTheme="minorHAnsi" w:cstheme="minorBidi"/>
          <w:noProof/>
          <w:color w:val="auto"/>
          <w:sz w:val="22"/>
          <w:szCs w:val="22"/>
        </w:rPr>
      </w:pPr>
      <w:r>
        <w:rPr>
          <w:noProof/>
        </w:rPr>
        <w:t>2.6</w:t>
      </w:r>
      <w:r>
        <w:rPr>
          <w:rFonts w:asciiTheme="minorHAnsi" w:eastAsiaTheme="minorEastAsia" w:hAnsiTheme="minorHAnsi" w:cstheme="minorBidi"/>
          <w:noProof/>
          <w:color w:val="auto"/>
          <w:sz w:val="22"/>
          <w:szCs w:val="22"/>
        </w:rPr>
        <w:tab/>
      </w:r>
      <w:r>
        <w:rPr>
          <w:noProof/>
        </w:rPr>
        <w:t>Indienen van de Inschrijving</w:t>
      </w:r>
      <w:r>
        <w:rPr>
          <w:noProof/>
        </w:rPr>
        <w:tab/>
      </w:r>
      <w:r>
        <w:rPr>
          <w:noProof/>
        </w:rPr>
        <w:fldChar w:fldCharType="begin"/>
      </w:r>
      <w:r>
        <w:rPr>
          <w:noProof/>
        </w:rPr>
        <w:instrText xml:space="preserve"> PAGEREF _Toc105606079 \h </w:instrText>
      </w:r>
      <w:r>
        <w:rPr>
          <w:noProof/>
        </w:rPr>
      </w:r>
      <w:r>
        <w:rPr>
          <w:noProof/>
        </w:rPr>
        <w:fldChar w:fldCharType="separate"/>
      </w:r>
      <w:r>
        <w:rPr>
          <w:noProof/>
        </w:rPr>
        <w:t>24</w:t>
      </w:r>
      <w:r>
        <w:rPr>
          <w:noProof/>
        </w:rPr>
        <w:fldChar w:fldCharType="end"/>
      </w:r>
    </w:p>
    <w:p w14:paraId="3DB59615" w14:textId="691AEFFA" w:rsidR="00063B93" w:rsidRDefault="00063B93">
      <w:pPr>
        <w:pStyle w:val="Inhopg1"/>
        <w:tabs>
          <w:tab w:val="left" w:pos="334"/>
          <w:tab w:val="right" w:leader="dot" w:pos="7984"/>
        </w:tabs>
        <w:rPr>
          <w:rFonts w:asciiTheme="minorHAnsi" w:eastAsiaTheme="minorEastAsia" w:hAnsiTheme="minorHAnsi" w:cstheme="minorBidi"/>
          <w:noProof/>
          <w:color w:val="auto"/>
          <w:sz w:val="22"/>
          <w:szCs w:val="22"/>
        </w:rPr>
      </w:pPr>
      <w:r>
        <w:rPr>
          <w:noProof/>
        </w:rPr>
        <w:t>3</w:t>
      </w:r>
      <w:r>
        <w:rPr>
          <w:rFonts w:asciiTheme="minorHAnsi" w:eastAsiaTheme="minorEastAsia" w:hAnsiTheme="minorHAnsi" w:cstheme="minorBidi"/>
          <w:noProof/>
          <w:color w:val="auto"/>
          <w:sz w:val="22"/>
          <w:szCs w:val="22"/>
        </w:rPr>
        <w:tab/>
      </w:r>
      <w:r>
        <w:rPr>
          <w:noProof/>
        </w:rPr>
        <w:t>Beoordeling van de Inschrijvers en de Inschrijvingen</w:t>
      </w:r>
      <w:r>
        <w:rPr>
          <w:noProof/>
        </w:rPr>
        <w:tab/>
      </w:r>
      <w:r>
        <w:rPr>
          <w:noProof/>
        </w:rPr>
        <w:fldChar w:fldCharType="begin"/>
      </w:r>
      <w:r>
        <w:rPr>
          <w:noProof/>
        </w:rPr>
        <w:instrText xml:space="preserve"> PAGEREF _Toc105606080 \h </w:instrText>
      </w:r>
      <w:r>
        <w:rPr>
          <w:noProof/>
        </w:rPr>
      </w:r>
      <w:r>
        <w:rPr>
          <w:noProof/>
        </w:rPr>
        <w:fldChar w:fldCharType="separate"/>
      </w:r>
      <w:r>
        <w:rPr>
          <w:noProof/>
        </w:rPr>
        <w:t>27</w:t>
      </w:r>
      <w:r>
        <w:rPr>
          <w:noProof/>
        </w:rPr>
        <w:fldChar w:fldCharType="end"/>
      </w:r>
    </w:p>
    <w:p w14:paraId="7A4B7A65" w14:textId="7ED2C949" w:rsidR="00063B93" w:rsidRDefault="00063B93">
      <w:pPr>
        <w:pStyle w:val="Inhopg2"/>
        <w:tabs>
          <w:tab w:val="left" w:pos="514"/>
          <w:tab w:val="right" w:leader="dot" w:pos="7984"/>
        </w:tabs>
        <w:rPr>
          <w:rFonts w:asciiTheme="minorHAnsi" w:eastAsiaTheme="minorEastAsia" w:hAnsiTheme="minorHAnsi" w:cstheme="minorBidi"/>
          <w:noProof/>
          <w:color w:val="auto"/>
          <w:sz w:val="22"/>
          <w:szCs w:val="22"/>
        </w:rPr>
      </w:pPr>
      <w:r>
        <w:rPr>
          <w:noProof/>
        </w:rPr>
        <w:t>3.1</w:t>
      </w:r>
      <w:r>
        <w:rPr>
          <w:rFonts w:asciiTheme="minorHAnsi" w:eastAsiaTheme="minorEastAsia" w:hAnsiTheme="minorHAnsi" w:cstheme="minorBidi"/>
          <w:noProof/>
          <w:color w:val="auto"/>
          <w:sz w:val="22"/>
          <w:szCs w:val="22"/>
        </w:rPr>
        <w:tab/>
      </w:r>
      <w:r>
        <w:rPr>
          <w:noProof/>
        </w:rPr>
        <w:t>Beoordelingscommissie</w:t>
      </w:r>
      <w:r>
        <w:rPr>
          <w:noProof/>
        </w:rPr>
        <w:tab/>
      </w:r>
      <w:r>
        <w:rPr>
          <w:noProof/>
        </w:rPr>
        <w:fldChar w:fldCharType="begin"/>
      </w:r>
      <w:r>
        <w:rPr>
          <w:noProof/>
        </w:rPr>
        <w:instrText xml:space="preserve"> PAGEREF _Toc105606081 \h </w:instrText>
      </w:r>
      <w:r>
        <w:rPr>
          <w:noProof/>
        </w:rPr>
      </w:r>
      <w:r>
        <w:rPr>
          <w:noProof/>
        </w:rPr>
        <w:fldChar w:fldCharType="separate"/>
      </w:r>
      <w:r>
        <w:rPr>
          <w:noProof/>
        </w:rPr>
        <w:t>27</w:t>
      </w:r>
      <w:r>
        <w:rPr>
          <w:noProof/>
        </w:rPr>
        <w:fldChar w:fldCharType="end"/>
      </w:r>
    </w:p>
    <w:p w14:paraId="3CA35B92" w14:textId="47C8418A" w:rsidR="00063B93" w:rsidRDefault="00063B93">
      <w:pPr>
        <w:pStyle w:val="Inhopg2"/>
        <w:tabs>
          <w:tab w:val="left" w:pos="514"/>
          <w:tab w:val="right" w:leader="dot" w:pos="7984"/>
        </w:tabs>
        <w:rPr>
          <w:rFonts w:asciiTheme="minorHAnsi" w:eastAsiaTheme="minorEastAsia" w:hAnsiTheme="minorHAnsi" w:cstheme="minorBidi"/>
          <w:noProof/>
          <w:color w:val="auto"/>
          <w:sz w:val="22"/>
          <w:szCs w:val="22"/>
        </w:rPr>
      </w:pPr>
      <w:r>
        <w:rPr>
          <w:noProof/>
        </w:rPr>
        <w:t>3.2</w:t>
      </w:r>
      <w:r>
        <w:rPr>
          <w:rFonts w:asciiTheme="minorHAnsi" w:eastAsiaTheme="minorEastAsia" w:hAnsiTheme="minorHAnsi" w:cstheme="minorBidi"/>
          <w:noProof/>
          <w:color w:val="auto"/>
          <w:sz w:val="22"/>
          <w:szCs w:val="22"/>
        </w:rPr>
        <w:tab/>
      </w:r>
      <w:r>
        <w:rPr>
          <w:noProof/>
        </w:rPr>
        <w:t>Beoordelingsprocedure</w:t>
      </w:r>
      <w:r>
        <w:rPr>
          <w:noProof/>
        </w:rPr>
        <w:tab/>
      </w:r>
      <w:r>
        <w:rPr>
          <w:noProof/>
        </w:rPr>
        <w:fldChar w:fldCharType="begin"/>
      </w:r>
      <w:r>
        <w:rPr>
          <w:noProof/>
        </w:rPr>
        <w:instrText xml:space="preserve"> PAGEREF _Toc105606082 \h </w:instrText>
      </w:r>
      <w:r>
        <w:rPr>
          <w:noProof/>
        </w:rPr>
      </w:r>
      <w:r>
        <w:rPr>
          <w:noProof/>
        </w:rPr>
        <w:fldChar w:fldCharType="separate"/>
      </w:r>
      <w:r>
        <w:rPr>
          <w:noProof/>
        </w:rPr>
        <w:t>27</w:t>
      </w:r>
      <w:r>
        <w:rPr>
          <w:noProof/>
        </w:rPr>
        <w:fldChar w:fldCharType="end"/>
      </w:r>
    </w:p>
    <w:p w14:paraId="61FCB2A6" w14:textId="16E56387" w:rsidR="00063B93" w:rsidRDefault="00063B93">
      <w:pPr>
        <w:pStyle w:val="Inhopg1"/>
        <w:tabs>
          <w:tab w:val="left" w:pos="334"/>
          <w:tab w:val="right" w:leader="dot" w:pos="7984"/>
        </w:tabs>
        <w:rPr>
          <w:rFonts w:asciiTheme="minorHAnsi" w:eastAsiaTheme="minorEastAsia" w:hAnsiTheme="minorHAnsi" w:cstheme="minorBidi"/>
          <w:noProof/>
          <w:color w:val="auto"/>
          <w:sz w:val="22"/>
          <w:szCs w:val="22"/>
        </w:rPr>
      </w:pPr>
      <w:r>
        <w:rPr>
          <w:noProof/>
        </w:rPr>
        <w:t>4</w:t>
      </w:r>
      <w:r>
        <w:rPr>
          <w:rFonts w:asciiTheme="minorHAnsi" w:eastAsiaTheme="minorEastAsia" w:hAnsiTheme="minorHAnsi" w:cstheme="minorBidi"/>
          <w:noProof/>
          <w:color w:val="auto"/>
          <w:sz w:val="22"/>
          <w:szCs w:val="22"/>
        </w:rPr>
        <w:tab/>
      </w:r>
      <w:r>
        <w:rPr>
          <w:noProof/>
        </w:rPr>
        <w:t>Tijdige indiening, vormvereisten en compleetheid</w:t>
      </w:r>
      <w:r>
        <w:rPr>
          <w:noProof/>
        </w:rPr>
        <w:tab/>
      </w:r>
      <w:r>
        <w:rPr>
          <w:noProof/>
        </w:rPr>
        <w:fldChar w:fldCharType="begin"/>
      </w:r>
      <w:r>
        <w:rPr>
          <w:noProof/>
        </w:rPr>
        <w:instrText xml:space="preserve"> PAGEREF _Toc105606083 \h </w:instrText>
      </w:r>
      <w:r>
        <w:rPr>
          <w:noProof/>
        </w:rPr>
      </w:r>
      <w:r>
        <w:rPr>
          <w:noProof/>
        </w:rPr>
        <w:fldChar w:fldCharType="separate"/>
      </w:r>
      <w:r>
        <w:rPr>
          <w:noProof/>
        </w:rPr>
        <w:t>29</w:t>
      </w:r>
      <w:r>
        <w:rPr>
          <w:noProof/>
        </w:rPr>
        <w:fldChar w:fldCharType="end"/>
      </w:r>
    </w:p>
    <w:p w14:paraId="365E7681" w14:textId="3DC9F0F5" w:rsidR="00063B93" w:rsidRDefault="00063B93">
      <w:pPr>
        <w:pStyle w:val="Inhopg2"/>
        <w:tabs>
          <w:tab w:val="left" w:pos="514"/>
          <w:tab w:val="right" w:leader="dot" w:pos="7984"/>
        </w:tabs>
        <w:rPr>
          <w:rFonts w:asciiTheme="minorHAnsi" w:eastAsiaTheme="minorEastAsia" w:hAnsiTheme="minorHAnsi" w:cstheme="minorBidi"/>
          <w:noProof/>
          <w:color w:val="auto"/>
          <w:sz w:val="22"/>
          <w:szCs w:val="22"/>
        </w:rPr>
      </w:pPr>
      <w:r>
        <w:rPr>
          <w:noProof/>
        </w:rPr>
        <w:t>4.1</w:t>
      </w:r>
      <w:r>
        <w:rPr>
          <w:rFonts w:asciiTheme="minorHAnsi" w:eastAsiaTheme="minorEastAsia" w:hAnsiTheme="minorHAnsi" w:cstheme="minorBidi"/>
          <w:noProof/>
          <w:color w:val="auto"/>
          <w:sz w:val="22"/>
          <w:szCs w:val="22"/>
        </w:rPr>
        <w:tab/>
      </w:r>
      <w:r>
        <w:rPr>
          <w:noProof/>
        </w:rPr>
        <w:t>Tijdige indiening</w:t>
      </w:r>
      <w:r>
        <w:rPr>
          <w:noProof/>
        </w:rPr>
        <w:tab/>
      </w:r>
      <w:r>
        <w:rPr>
          <w:noProof/>
        </w:rPr>
        <w:fldChar w:fldCharType="begin"/>
      </w:r>
      <w:r>
        <w:rPr>
          <w:noProof/>
        </w:rPr>
        <w:instrText xml:space="preserve"> PAGEREF _Toc105606084 \h </w:instrText>
      </w:r>
      <w:r>
        <w:rPr>
          <w:noProof/>
        </w:rPr>
      </w:r>
      <w:r>
        <w:rPr>
          <w:noProof/>
        </w:rPr>
        <w:fldChar w:fldCharType="separate"/>
      </w:r>
      <w:r>
        <w:rPr>
          <w:noProof/>
        </w:rPr>
        <w:t>29</w:t>
      </w:r>
      <w:r>
        <w:rPr>
          <w:noProof/>
        </w:rPr>
        <w:fldChar w:fldCharType="end"/>
      </w:r>
    </w:p>
    <w:p w14:paraId="60F4F16D" w14:textId="006A45B6" w:rsidR="00063B93" w:rsidRDefault="00063B93">
      <w:pPr>
        <w:pStyle w:val="Inhopg2"/>
        <w:tabs>
          <w:tab w:val="left" w:pos="514"/>
          <w:tab w:val="right" w:leader="dot" w:pos="7984"/>
        </w:tabs>
        <w:rPr>
          <w:rFonts w:asciiTheme="minorHAnsi" w:eastAsiaTheme="minorEastAsia" w:hAnsiTheme="minorHAnsi" w:cstheme="minorBidi"/>
          <w:noProof/>
          <w:color w:val="auto"/>
          <w:sz w:val="22"/>
          <w:szCs w:val="22"/>
        </w:rPr>
      </w:pPr>
      <w:r>
        <w:rPr>
          <w:noProof/>
        </w:rPr>
        <w:t>4.2</w:t>
      </w:r>
      <w:r>
        <w:rPr>
          <w:rFonts w:asciiTheme="minorHAnsi" w:eastAsiaTheme="minorEastAsia" w:hAnsiTheme="minorHAnsi" w:cstheme="minorBidi"/>
          <w:noProof/>
          <w:color w:val="auto"/>
          <w:sz w:val="22"/>
          <w:szCs w:val="22"/>
        </w:rPr>
        <w:tab/>
      </w:r>
      <w:r>
        <w:rPr>
          <w:noProof/>
        </w:rPr>
        <w:t>Vormvereisten en compleetheid</w:t>
      </w:r>
      <w:r>
        <w:rPr>
          <w:noProof/>
        </w:rPr>
        <w:tab/>
      </w:r>
      <w:r>
        <w:rPr>
          <w:noProof/>
        </w:rPr>
        <w:fldChar w:fldCharType="begin"/>
      </w:r>
      <w:r>
        <w:rPr>
          <w:noProof/>
        </w:rPr>
        <w:instrText xml:space="preserve"> PAGEREF _Toc105606085 \h </w:instrText>
      </w:r>
      <w:r>
        <w:rPr>
          <w:noProof/>
        </w:rPr>
      </w:r>
      <w:r>
        <w:rPr>
          <w:noProof/>
        </w:rPr>
        <w:fldChar w:fldCharType="separate"/>
      </w:r>
      <w:r>
        <w:rPr>
          <w:noProof/>
        </w:rPr>
        <w:t>29</w:t>
      </w:r>
      <w:r>
        <w:rPr>
          <w:noProof/>
        </w:rPr>
        <w:fldChar w:fldCharType="end"/>
      </w:r>
    </w:p>
    <w:p w14:paraId="2FDED623" w14:textId="3885A427" w:rsidR="00063B93" w:rsidRDefault="00063B93">
      <w:pPr>
        <w:pStyle w:val="Inhopg1"/>
        <w:tabs>
          <w:tab w:val="left" w:pos="334"/>
          <w:tab w:val="right" w:leader="dot" w:pos="7984"/>
        </w:tabs>
        <w:rPr>
          <w:rFonts w:asciiTheme="minorHAnsi" w:eastAsiaTheme="minorEastAsia" w:hAnsiTheme="minorHAnsi" w:cstheme="minorBidi"/>
          <w:noProof/>
          <w:color w:val="auto"/>
          <w:sz w:val="22"/>
          <w:szCs w:val="22"/>
        </w:rPr>
      </w:pPr>
      <w:r>
        <w:rPr>
          <w:noProof/>
        </w:rPr>
        <w:t>5</w:t>
      </w:r>
      <w:r>
        <w:rPr>
          <w:rFonts w:asciiTheme="minorHAnsi" w:eastAsiaTheme="minorEastAsia" w:hAnsiTheme="minorHAnsi" w:cstheme="minorBidi"/>
          <w:noProof/>
          <w:color w:val="auto"/>
          <w:sz w:val="22"/>
          <w:szCs w:val="22"/>
        </w:rPr>
        <w:tab/>
      </w:r>
      <w:r>
        <w:rPr>
          <w:noProof/>
        </w:rPr>
        <w:t>Uitsluitingsgronden en Geschiktheidseisen</w:t>
      </w:r>
      <w:r>
        <w:rPr>
          <w:noProof/>
        </w:rPr>
        <w:tab/>
      </w:r>
      <w:r>
        <w:rPr>
          <w:noProof/>
        </w:rPr>
        <w:fldChar w:fldCharType="begin"/>
      </w:r>
      <w:r>
        <w:rPr>
          <w:noProof/>
        </w:rPr>
        <w:instrText xml:space="preserve"> PAGEREF _Toc105606086 \h </w:instrText>
      </w:r>
      <w:r>
        <w:rPr>
          <w:noProof/>
        </w:rPr>
      </w:r>
      <w:r>
        <w:rPr>
          <w:noProof/>
        </w:rPr>
        <w:fldChar w:fldCharType="separate"/>
      </w:r>
      <w:r>
        <w:rPr>
          <w:noProof/>
        </w:rPr>
        <w:t>30</w:t>
      </w:r>
      <w:r>
        <w:rPr>
          <w:noProof/>
        </w:rPr>
        <w:fldChar w:fldCharType="end"/>
      </w:r>
    </w:p>
    <w:p w14:paraId="12C9DA01" w14:textId="2498FC29" w:rsidR="00063B93" w:rsidRDefault="00063B93">
      <w:pPr>
        <w:pStyle w:val="Inhopg2"/>
        <w:tabs>
          <w:tab w:val="left" w:pos="514"/>
          <w:tab w:val="right" w:leader="dot" w:pos="7984"/>
        </w:tabs>
        <w:rPr>
          <w:rFonts w:asciiTheme="minorHAnsi" w:eastAsiaTheme="minorEastAsia" w:hAnsiTheme="minorHAnsi" w:cstheme="minorBidi"/>
          <w:noProof/>
          <w:color w:val="auto"/>
          <w:sz w:val="22"/>
          <w:szCs w:val="22"/>
        </w:rPr>
      </w:pPr>
      <w:r>
        <w:rPr>
          <w:noProof/>
        </w:rPr>
        <w:t>5.1</w:t>
      </w:r>
      <w:r>
        <w:rPr>
          <w:rFonts w:asciiTheme="minorHAnsi" w:eastAsiaTheme="minorEastAsia" w:hAnsiTheme="minorHAnsi" w:cstheme="minorBidi"/>
          <w:noProof/>
          <w:color w:val="auto"/>
          <w:sz w:val="22"/>
          <w:szCs w:val="22"/>
        </w:rPr>
        <w:tab/>
      </w:r>
      <w:r>
        <w:rPr>
          <w:noProof/>
        </w:rPr>
        <w:t>Uitsluitingsgronden</w:t>
      </w:r>
      <w:r>
        <w:rPr>
          <w:noProof/>
        </w:rPr>
        <w:tab/>
      </w:r>
      <w:r>
        <w:rPr>
          <w:noProof/>
        </w:rPr>
        <w:fldChar w:fldCharType="begin"/>
      </w:r>
      <w:r>
        <w:rPr>
          <w:noProof/>
        </w:rPr>
        <w:instrText xml:space="preserve"> PAGEREF _Toc105606087 \h </w:instrText>
      </w:r>
      <w:r>
        <w:rPr>
          <w:noProof/>
        </w:rPr>
      </w:r>
      <w:r>
        <w:rPr>
          <w:noProof/>
        </w:rPr>
        <w:fldChar w:fldCharType="separate"/>
      </w:r>
      <w:r>
        <w:rPr>
          <w:noProof/>
        </w:rPr>
        <w:t>30</w:t>
      </w:r>
      <w:r>
        <w:rPr>
          <w:noProof/>
        </w:rPr>
        <w:fldChar w:fldCharType="end"/>
      </w:r>
    </w:p>
    <w:p w14:paraId="64BD114F" w14:textId="2556E604" w:rsidR="00063B93" w:rsidRDefault="00063B93">
      <w:pPr>
        <w:pStyle w:val="Inhopg2"/>
        <w:tabs>
          <w:tab w:val="left" w:pos="514"/>
          <w:tab w:val="right" w:leader="dot" w:pos="7984"/>
        </w:tabs>
        <w:rPr>
          <w:rFonts w:asciiTheme="minorHAnsi" w:eastAsiaTheme="minorEastAsia" w:hAnsiTheme="minorHAnsi" w:cstheme="minorBidi"/>
          <w:noProof/>
          <w:color w:val="auto"/>
          <w:sz w:val="22"/>
          <w:szCs w:val="22"/>
        </w:rPr>
      </w:pPr>
      <w:r>
        <w:rPr>
          <w:noProof/>
        </w:rPr>
        <w:t>5.2</w:t>
      </w:r>
      <w:r>
        <w:rPr>
          <w:rFonts w:asciiTheme="minorHAnsi" w:eastAsiaTheme="minorEastAsia" w:hAnsiTheme="minorHAnsi" w:cstheme="minorBidi"/>
          <w:noProof/>
          <w:color w:val="auto"/>
          <w:sz w:val="22"/>
          <w:szCs w:val="22"/>
        </w:rPr>
        <w:tab/>
      </w:r>
      <w:r>
        <w:rPr>
          <w:noProof/>
        </w:rPr>
        <w:t>Geschiktheidseisen</w:t>
      </w:r>
      <w:r>
        <w:rPr>
          <w:noProof/>
        </w:rPr>
        <w:tab/>
      </w:r>
      <w:r>
        <w:rPr>
          <w:noProof/>
        </w:rPr>
        <w:fldChar w:fldCharType="begin"/>
      </w:r>
      <w:r>
        <w:rPr>
          <w:noProof/>
        </w:rPr>
        <w:instrText xml:space="preserve"> PAGEREF _Toc105606088 \h </w:instrText>
      </w:r>
      <w:r>
        <w:rPr>
          <w:noProof/>
        </w:rPr>
      </w:r>
      <w:r>
        <w:rPr>
          <w:noProof/>
        </w:rPr>
        <w:fldChar w:fldCharType="separate"/>
      </w:r>
      <w:r>
        <w:rPr>
          <w:noProof/>
        </w:rPr>
        <w:t>31</w:t>
      </w:r>
      <w:r>
        <w:rPr>
          <w:noProof/>
        </w:rPr>
        <w:fldChar w:fldCharType="end"/>
      </w:r>
    </w:p>
    <w:p w14:paraId="444DDF56" w14:textId="6F88106E" w:rsidR="00063B93" w:rsidRDefault="00063B93">
      <w:pPr>
        <w:pStyle w:val="Inhopg3"/>
        <w:tabs>
          <w:tab w:val="left" w:pos="694"/>
          <w:tab w:val="right" w:leader="dot" w:pos="7984"/>
        </w:tabs>
        <w:rPr>
          <w:rFonts w:asciiTheme="minorHAnsi" w:eastAsiaTheme="minorEastAsia" w:hAnsiTheme="minorHAnsi" w:cstheme="minorBidi"/>
          <w:noProof/>
          <w:color w:val="auto"/>
          <w:sz w:val="22"/>
          <w:szCs w:val="22"/>
        </w:rPr>
      </w:pPr>
      <w:r w:rsidRPr="004E6184">
        <w:rPr>
          <w:bCs/>
          <w:noProof/>
          <w:color w:val="auto"/>
        </w:rPr>
        <w:t>5.2.1</w:t>
      </w:r>
      <w:r>
        <w:rPr>
          <w:rFonts w:asciiTheme="minorHAnsi" w:eastAsiaTheme="minorEastAsia" w:hAnsiTheme="minorHAnsi" w:cstheme="minorBidi"/>
          <w:noProof/>
          <w:color w:val="auto"/>
          <w:sz w:val="22"/>
          <w:szCs w:val="22"/>
        </w:rPr>
        <w:tab/>
      </w:r>
      <w:r w:rsidRPr="004E6184">
        <w:rPr>
          <w:bCs/>
          <w:noProof/>
          <w:color w:val="auto"/>
        </w:rPr>
        <w:t>Financiële en economische draagkracht</w:t>
      </w:r>
      <w:r>
        <w:rPr>
          <w:noProof/>
        </w:rPr>
        <w:tab/>
      </w:r>
      <w:r>
        <w:rPr>
          <w:noProof/>
        </w:rPr>
        <w:fldChar w:fldCharType="begin"/>
      </w:r>
      <w:r>
        <w:rPr>
          <w:noProof/>
        </w:rPr>
        <w:instrText xml:space="preserve"> PAGEREF _Toc105606089 \h </w:instrText>
      </w:r>
      <w:r>
        <w:rPr>
          <w:noProof/>
        </w:rPr>
      </w:r>
      <w:r>
        <w:rPr>
          <w:noProof/>
        </w:rPr>
        <w:fldChar w:fldCharType="separate"/>
      </w:r>
      <w:r>
        <w:rPr>
          <w:noProof/>
        </w:rPr>
        <w:t>32</w:t>
      </w:r>
      <w:r>
        <w:rPr>
          <w:noProof/>
        </w:rPr>
        <w:fldChar w:fldCharType="end"/>
      </w:r>
    </w:p>
    <w:p w14:paraId="7A7DC5B3" w14:textId="29814C01" w:rsidR="00063B93" w:rsidRDefault="00063B93">
      <w:pPr>
        <w:pStyle w:val="Inhopg3"/>
        <w:tabs>
          <w:tab w:val="left" w:pos="694"/>
          <w:tab w:val="right" w:leader="dot" w:pos="7984"/>
        </w:tabs>
        <w:rPr>
          <w:rFonts w:asciiTheme="minorHAnsi" w:eastAsiaTheme="minorEastAsia" w:hAnsiTheme="minorHAnsi" w:cstheme="minorBidi"/>
          <w:noProof/>
          <w:color w:val="auto"/>
          <w:sz w:val="22"/>
          <w:szCs w:val="22"/>
        </w:rPr>
      </w:pPr>
      <w:r>
        <w:rPr>
          <w:noProof/>
        </w:rPr>
        <w:t>5.2.2</w:t>
      </w:r>
      <w:r>
        <w:rPr>
          <w:rFonts w:asciiTheme="minorHAnsi" w:eastAsiaTheme="minorEastAsia" w:hAnsiTheme="minorHAnsi" w:cstheme="minorBidi"/>
          <w:noProof/>
          <w:color w:val="auto"/>
          <w:sz w:val="22"/>
          <w:szCs w:val="22"/>
        </w:rPr>
        <w:tab/>
      </w:r>
      <w:r>
        <w:rPr>
          <w:noProof/>
        </w:rPr>
        <w:t>Technische en beroepsbekwaamheid</w:t>
      </w:r>
      <w:r>
        <w:rPr>
          <w:noProof/>
        </w:rPr>
        <w:tab/>
      </w:r>
      <w:r>
        <w:rPr>
          <w:noProof/>
        </w:rPr>
        <w:fldChar w:fldCharType="begin"/>
      </w:r>
      <w:r>
        <w:rPr>
          <w:noProof/>
        </w:rPr>
        <w:instrText xml:space="preserve"> PAGEREF _Toc105606090 \h </w:instrText>
      </w:r>
      <w:r>
        <w:rPr>
          <w:noProof/>
        </w:rPr>
      </w:r>
      <w:r>
        <w:rPr>
          <w:noProof/>
        </w:rPr>
        <w:fldChar w:fldCharType="separate"/>
      </w:r>
      <w:r>
        <w:rPr>
          <w:noProof/>
        </w:rPr>
        <w:t>33</w:t>
      </w:r>
      <w:r>
        <w:rPr>
          <w:noProof/>
        </w:rPr>
        <w:fldChar w:fldCharType="end"/>
      </w:r>
    </w:p>
    <w:p w14:paraId="46164D9A" w14:textId="12E20A14" w:rsidR="00063B93" w:rsidRDefault="00063B93">
      <w:pPr>
        <w:pStyle w:val="Inhopg3"/>
        <w:tabs>
          <w:tab w:val="left" w:pos="694"/>
          <w:tab w:val="right" w:leader="dot" w:pos="7984"/>
        </w:tabs>
        <w:rPr>
          <w:rFonts w:asciiTheme="minorHAnsi" w:eastAsiaTheme="minorEastAsia" w:hAnsiTheme="minorHAnsi" w:cstheme="minorBidi"/>
          <w:noProof/>
          <w:color w:val="auto"/>
          <w:sz w:val="22"/>
          <w:szCs w:val="22"/>
        </w:rPr>
      </w:pPr>
      <w:r>
        <w:rPr>
          <w:noProof/>
        </w:rPr>
        <w:t>5.2.3</w:t>
      </w:r>
      <w:r>
        <w:rPr>
          <w:rFonts w:asciiTheme="minorHAnsi" w:eastAsiaTheme="minorEastAsia" w:hAnsiTheme="minorHAnsi" w:cstheme="minorBidi"/>
          <w:noProof/>
          <w:color w:val="auto"/>
          <w:sz w:val="22"/>
          <w:szCs w:val="22"/>
        </w:rPr>
        <w:tab/>
      </w:r>
      <w:r>
        <w:rPr>
          <w:noProof/>
        </w:rPr>
        <w:t>Beroepsbevoegdheid</w:t>
      </w:r>
      <w:r>
        <w:rPr>
          <w:noProof/>
        </w:rPr>
        <w:tab/>
      </w:r>
      <w:r>
        <w:rPr>
          <w:noProof/>
        </w:rPr>
        <w:fldChar w:fldCharType="begin"/>
      </w:r>
      <w:r>
        <w:rPr>
          <w:noProof/>
        </w:rPr>
        <w:instrText xml:space="preserve"> PAGEREF _Toc105606091 \h </w:instrText>
      </w:r>
      <w:r>
        <w:rPr>
          <w:noProof/>
        </w:rPr>
      </w:r>
      <w:r>
        <w:rPr>
          <w:noProof/>
        </w:rPr>
        <w:fldChar w:fldCharType="separate"/>
      </w:r>
      <w:r>
        <w:rPr>
          <w:noProof/>
        </w:rPr>
        <w:t>36</w:t>
      </w:r>
      <w:r>
        <w:rPr>
          <w:noProof/>
        </w:rPr>
        <w:fldChar w:fldCharType="end"/>
      </w:r>
    </w:p>
    <w:p w14:paraId="60ABE43C" w14:textId="13494CE4" w:rsidR="00063B93" w:rsidRDefault="00063B93">
      <w:pPr>
        <w:pStyle w:val="Inhopg1"/>
        <w:tabs>
          <w:tab w:val="left" w:pos="334"/>
          <w:tab w:val="right" w:leader="dot" w:pos="7984"/>
        </w:tabs>
        <w:rPr>
          <w:rFonts w:asciiTheme="minorHAnsi" w:eastAsiaTheme="minorEastAsia" w:hAnsiTheme="minorHAnsi" w:cstheme="minorBidi"/>
          <w:noProof/>
          <w:color w:val="auto"/>
          <w:sz w:val="22"/>
          <w:szCs w:val="22"/>
        </w:rPr>
      </w:pPr>
      <w:r>
        <w:rPr>
          <w:noProof/>
        </w:rPr>
        <w:t>6</w:t>
      </w:r>
      <w:r>
        <w:rPr>
          <w:rFonts w:asciiTheme="minorHAnsi" w:eastAsiaTheme="minorEastAsia" w:hAnsiTheme="minorHAnsi" w:cstheme="minorBidi"/>
          <w:noProof/>
          <w:color w:val="auto"/>
          <w:sz w:val="22"/>
          <w:szCs w:val="22"/>
        </w:rPr>
        <w:tab/>
      </w:r>
      <w:r>
        <w:rPr>
          <w:noProof/>
        </w:rPr>
        <w:t>Minimumeisen</w:t>
      </w:r>
      <w:r>
        <w:rPr>
          <w:noProof/>
        </w:rPr>
        <w:tab/>
      </w:r>
      <w:r>
        <w:rPr>
          <w:noProof/>
        </w:rPr>
        <w:fldChar w:fldCharType="begin"/>
      </w:r>
      <w:r>
        <w:rPr>
          <w:noProof/>
        </w:rPr>
        <w:instrText xml:space="preserve"> PAGEREF _Toc105606092 \h </w:instrText>
      </w:r>
      <w:r>
        <w:rPr>
          <w:noProof/>
        </w:rPr>
      </w:r>
      <w:r>
        <w:rPr>
          <w:noProof/>
        </w:rPr>
        <w:fldChar w:fldCharType="separate"/>
      </w:r>
      <w:r>
        <w:rPr>
          <w:noProof/>
        </w:rPr>
        <w:t>37</w:t>
      </w:r>
      <w:r>
        <w:rPr>
          <w:noProof/>
        </w:rPr>
        <w:fldChar w:fldCharType="end"/>
      </w:r>
    </w:p>
    <w:p w14:paraId="3D5FC317" w14:textId="22C2CD26" w:rsidR="00063B93" w:rsidRDefault="00063B93">
      <w:pPr>
        <w:pStyle w:val="Inhopg1"/>
        <w:tabs>
          <w:tab w:val="left" w:pos="334"/>
          <w:tab w:val="right" w:leader="dot" w:pos="7984"/>
        </w:tabs>
        <w:rPr>
          <w:rFonts w:asciiTheme="minorHAnsi" w:eastAsiaTheme="minorEastAsia" w:hAnsiTheme="minorHAnsi" w:cstheme="minorBidi"/>
          <w:noProof/>
          <w:color w:val="auto"/>
          <w:sz w:val="22"/>
          <w:szCs w:val="22"/>
        </w:rPr>
      </w:pPr>
      <w:r>
        <w:rPr>
          <w:noProof/>
        </w:rPr>
        <w:t>7</w:t>
      </w:r>
      <w:r>
        <w:rPr>
          <w:rFonts w:asciiTheme="minorHAnsi" w:eastAsiaTheme="minorEastAsia" w:hAnsiTheme="minorHAnsi" w:cstheme="minorBidi"/>
          <w:noProof/>
          <w:color w:val="auto"/>
          <w:sz w:val="22"/>
          <w:szCs w:val="22"/>
        </w:rPr>
        <w:tab/>
      </w:r>
      <w:r>
        <w:rPr>
          <w:noProof/>
        </w:rPr>
        <w:t>Gunningscriterium</w:t>
      </w:r>
      <w:r>
        <w:rPr>
          <w:noProof/>
        </w:rPr>
        <w:tab/>
      </w:r>
      <w:r>
        <w:rPr>
          <w:noProof/>
        </w:rPr>
        <w:fldChar w:fldCharType="begin"/>
      </w:r>
      <w:r>
        <w:rPr>
          <w:noProof/>
        </w:rPr>
        <w:instrText xml:space="preserve"> PAGEREF _Toc105606093 \h </w:instrText>
      </w:r>
      <w:r>
        <w:rPr>
          <w:noProof/>
        </w:rPr>
      </w:r>
      <w:r>
        <w:rPr>
          <w:noProof/>
        </w:rPr>
        <w:fldChar w:fldCharType="separate"/>
      </w:r>
      <w:r>
        <w:rPr>
          <w:noProof/>
        </w:rPr>
        <w:t>38</w:t>
      </w:r>
      <w:r>
        <w:rPr>
          <w:noProof/>
        </w:rPr>
        <w:fldChar w:fldCharType="end"/>
      </w:r>
    </w:p>
    <w:p w14:paraId="1DCC1569" w14:textId="3C757465" w:rsidR="00063B93" w:rsidRDefault="00063B93">
      <w:pPr>
        <w:pStyle w:val="Inhopg2"/>
        <w:tabs>
          <w:tab w:val="left" w:pos="514"/>
          <w:tab w:val="right" w:leader="dot" w:pos="7984"/>
        </w:tabs>
        <w:rPr>
          <w:rFonts w:asciiTheme="minorHAnsi" w:eastAsiaTheme="minorEastAsia" w:hAnsiTheme="minorHAnsi" w:cstheme="minorBidi"/>
          <w:noProof/>
          <w:color w:val="auto"/>
          <w:sz w:val="22"/>
          <w:szCs w:val="22"/>
        </w:rPr>
      </w:pPr>
      <w:r>
        <w:rPr>
          <w:noProof/>
        </w:rPr>
        <w:t>7.1</w:t>
      </w:r>
      <w:r>
        <w:rPr>
          <w:rFonts w:asciiTheme="minorHAnsi" w:eastAsiaTheme="minorEastAsia" w:hAnsiTheme="minorHAnsi" w:cstheme="minorBidi"/>
          <w:noProof/>
          <w:color w:val="auto"/>
          <w:sz w:val="22"/>
          <w:szCs w:val="22"/>
        </w:rPr>
        <w:tab/>
      </w:r>
      <w:r>
        <w:rPr>
          <w:noProof/>
        </w:rPr>
        <w:t>Gunningscriterium: de beste prijs-kwaliteitverhouding</w:t>
      </w:r>
      <w:r>
        <w:rPr>
          <w:noProof/>
        </w:rPr>
        <w:tab/>
      </w:r>
      <w:r>
        <w:rPr>
          <w:noProof/>
        </w:rPr>
        <w:fldChar w:fldCharType="begin"/>
      </w:r>
      <w:r>
        <w:rPr>
          <w:noProof/>
        </w:rPr>
        <w:instrText xml:space="preserve"> PAGEREF _Toc105606094 \h </w:instrText>
      </w:r>
      <w:r>
        <w:rPr>
          <w:noProof/>
        </w:rPr>
      </w:r>
      <w:r>
        <w:rPr>
          <w:noProof/>
        </w:rPr>
        <w:fldChar w:fldCharType="separate"/>
      </w:r>
      <w:r>
        <w:rPr>
          <w:noProof/>
        </w:rPr>
        <w:t>38</w:t>
      </w:r>
      <w:r>
        <w:rPr>
          <w:noProof/>
        </w:rPr>
        <w:fldChar w:fldCharType="end"/>
      </w:r>
    </w:p>
    <w:p w14:paraId="395E1EA2" w14:textId="62D3B787" w:rsidR="00063B93" w:rsidRDefault="00063B93">
      <w:pPr>
        <w:pStyle w:val="Inhopg3"/>
        <w:tabs>
          <w:tab w:val="left" w:pos="694"/>
          <w:tab w:val="right" w:leader="dot" w:pos="7984"/>
        </w:tabs>
        <w:rPr>
          <w:rFonts w:asciiTheme="minorHAnsi" w:eastAsiaTheme="minorEastAsia" w:hAnsiTheme="minorHAnsi" w:cstheme="minorBidi"/>
          <w:noProof/>
          <w:color w:val="auto"/>
          <w:sz w:val="22"/>
          <w:szCs w:val="22"/>
        </w:rPr>
      </w:pPr>
      <w:r>
        <w:rPr>
          <w:noProof/>
        </w:rPr>
        <w:t>7.1.1</w:t>
      </w:r>
      <w:r>
        <w:rPr>
          <w:rFonts w:asciiTheme="minorHAnsi" w:eastAsiaTheme="minorEastAsia" w:hAnsiTheme="minorHAnsi" w:cstheme="minorBidi"/>
          <w:noProof/>
          <w:color w:val="auto"/>
          <w:sz w:val="22"/>
          <w:szCs w:val="22"/>
        </w:rPr>
        <w:tab/>
      </w:r>
      <w:r>
        <w:rPr>
          <w:noProof/>
        </w:rPr>
        <w:t>Kwaliteit</w:t>
      </w:r>
      <w:r>
        <w:rPr>
          <w:noProof/>
        </w:rPr>
        <w:tab/>
      </w:r>
      <w:r>
        <w:rPr>
          <w:noProof/>
        </w:rPr>
        <w:fldChar w:fldCharType="begin"/>
      </w:r>
      <w:r>
        <w:rPr>
          <w:noProof/>
        </w:rPr>
        <w:instrText xml:space="preserve"> PAGEREF _Toc105606095 \h </w:instrText>
      </w:r>
      <w:r>
        <w:rPr>
          <w:noProof/>
        </w:rPr>
      </w:r>
      <w:r>
        <w:rPr>
          <w:noProof/>
        </w:rPr>
        <w:fldChar w:fldCharType="separate"/>
      </w:r>
      <w:r>
        <w:rPr>
          <w:noProof/>
        </w:rPr>
        <w:t>39</w:t>
      </w:r>
      <w:r>
        <w:rPr>
          <w:noProof/>
        </w:rPr>
        <w:fldChar w:fldCharType="end"/>
      </w:r>
    </w:p>
    <w:p w14:paraId="6AC9FD3F" w14:textId="55336AEB" w:rsidR="00063B93" w:rsidRDefault="00063B93">
      <w:pPr>
        <w:pStyle w:val="Inhopg3"/>
        <w:tabs>
          <w:tab w:val="left" w:pos="694"/>
          <w:tab w:val="right" w:leader="dot" w:pos="7984"/>
        </w:tabs>
        <w:rPr>
          <w:rFonts w:asciiTheme="minorHAnsi" w:eastAsiaTheme="minorEastAsia" w:hAnsiTheme="minorHAnsi" w:cstheme="minorBidi"/>
          <w:noProof/>
          <w:color w:val="auto"/>
          <w:sz w:val="22"/>
          <w:szCs w:val="22"/>
        </w:rPr>
      </w:pPr>
      <w:r>
        <w:rPr>
          <w:noProof/>
        </w:rPr>
        <w:t>7.1.2</w:t>
      </w:r>
      <w:r>
        <w:rPr>
          <w:rFonts w:asciiTheme="minorHAnsi" w:eastAsiaTheme="minorEastAsia" w:hAnsiTheme="minorHAnsi" w:cstheme="minorBidi"/>
          <w:noProof/>
          <w:color w:val="auto"/>
          <w:sz w:val="22"/>
          <w:szCs w:val="22"/>
        </w:rPr>
        <w:tab/>
      </w:r>
      <w:r>
        <w:rPr>
          <w:noProof/>
        </w:rPr>
        <w:t>Waardering van het subgunningscriterium kwaliteit</w:t>
      </w:r>
      <w:r>
        <w:rPr>
          <w:noProof/>
        </w:rPr>
        <w:tab/>
      </w:r>
      <w:r>
        <w:rPr>
          <w:noProof/>
        </w:rPr>
        <w:fldChar w:fldCharType="begin"/>
      </w:r>
      <w:r>
        <w:rPr>
          <w:noProof/>
        </w:rPr>
        <w:instrText xml:space="preserve"> PAGEREF _Toc105606096 \h </w:instrText>
      </w:r>
      <w:r>
        <w:rPr>
          <w:noProof/>
        </w:rPr>
      </w:r>
      <w:r>
        <w:rPr>
          <w:noProof/>
        </w:rPr>
        <w:fldChar w:fldCharType="separate"/>
      </w:r>
      <w:r>
        <w:rPr>
          <w:noProof/>
        </w:rPr>
        <w:t>42</w:t>
      </w:r>
      <w:r>
        <w:rPr>
          <w:noProof/>
        </w:rPr>
        <w:fldChar w:fldCharType="end"/>
      </w:r>
    </w:p>
    <w:p w14:paraId="62055644" w14:textId="04365534" w:rsidR="00063B93" w:rsidRDefault="00063B93">
      <w:pPr>
        <w:pStyle w:val="Inhopg3"/>
        <w:tabs>
          <w:tab w:val="left" w:pos="694"/>
          <w:tab w:val="right" w:leader="dot" w:pos="7984"/>
        </w:tabs>
        <w:rPr>
          <w:rFonts w:asciiTheme="minorHAnsi" w:eastAsiaTheme="minorEastAsia" w:hAnsiTheme="minorHAnsi" w:cstheme="minorBidi"/>
          <w:noProof/>
          <w:color w:val="auto"/>
          <w:sz w:val="22"/>
          <w:szCs w:val="22"/>
        </w:rPr>
      </w:pPr>
      <w:r>
        <w:rPr>
          <w:noProof/>
        </w:rPr>
        <w:t>7.1.3</w:t>
      </w:r>
      <w:r>
        <w:rPr>
          <w:rFonts w:asciiTheme="minorHAnsi" w:eastAsiaTheme="minorEastAsia" w:hAnsiTheme="minorHAnsi" w:cstheme="minorBidi"/>
          <w:noProof/>
          <w:color w:val="auto"/>
          <w:sz w:val="22"/>
          <w:szCs w:val="22"/>
        </w:rPr>
        <w:tab/>
      </w:r>
      <w:r>
        <w:rPr>
          <w:noProof/>
        </w:rPr>
        <w:t>Procedure van beoordeling van het subgunningscriterium kwaliteit</w:t>
      </w:r>
      <w:r>
        <w:rPr>
          <w:noProof/>
        </w:rPr>
        <w:tab/>
      </w:r>
      <w:r>
        <w:rPr>
          <w:noProof/>
        </w:rPr>
        <w:fldChar w:fldCharType="begin"/>
      </w:r>
      <w:r>
        <w:rPr>
          <w:noProof/>
        </w:rPr>
        <w:instrText xml:space="preserve"> PAGEREF _Toc105606097 \h </w:instrText>
      </w:r>
      <w:r>
        <w:rPr>
          <w:noProof/>
        </w:rPr>
      </w:r>
      <w:r>
        <w:rPr>
          <w:noProof/>
        </w:rPr>
        <w:fldChar w:fldCharType="separate"/>
      </w:r>
      <w:r>
        <w:rPr>
          <w:noProof/>
        </w:rPr>
        <w:t>42</w:t>
      </w:r>
      <w:r>
        <w:rPr>
          <w:noProof/>
        </w:rPr>
        <w:fldChar w:fldCharType="end"/>
      </w:r>
    </w:p>
    <w:p w14:paraId="01CB5CA1" w14:textId="6180973B" w:rsidR="00063B93" w:rsidRDefault="00063B93">
      <w:pPr>
        <w:pStyle w:val="Inhopg3"/>
        <w:tabs>
          <w:tab w:val="left" w:pos="694"/>
          <w:tab w:val="right" w:leader="dot" w:pos="7984"/>
        </w:tabs>
        <w:rPr>
          <w:rFonts w:asciiTheme="minorHAnsi" w:eastAsiaTheme="minorEastAsia" w:hAnsiTheme="minorHAnsi" w:cstheme="minorBidi"/>
          <w:noProof/>
          <w:color w:val="auto"/>
          <w:sz w:val="22"/>
          <w:szCs w:val="22"/>
        </w:rPr>
      </w:pPr>
      <w:r>
        <w:rPr>
          <w:noProof/>
        </w:rPr>
        <w:t>7.1.4</w:t>
      </w:r>
      <w:r>
        <w:rPr>
          <w:rFonts w:asciiTheme="minorHAnsi" w:eastAsiaTheme="minorEastAsia" w:hAnsiTheme="minorHAnsi" w:cstheme="minorBidi"/>
          <w:noProof/>
          <w:color w:val="auto"/>
          <w:sz w:val="22"/>
          <w:szCs w:val="22"/>
        </w:rPr>
        <w:tab/>
      </w:r>
      <w:r>
        <w:rPr>
          <w:noProof/>
        </w:rPr>
        <w:t>Subgunningscriterium prijs</w:t>
      </w:r>
      <w:r>
        <w:rPr>
          <w:noProof/>
        </w:rPr>
        <w:tab/>
      </w:r>
      <w:r>
        <w:rPr>
          <w:noProof/>
        </w:rPr>
        <w:fldChar w:fldCharType="begin"/>
      </w:r>
      <w:r>
        <w:rPr>
          <w:noProof/>
        </w:rPr>
        <w:instrText xml:space="preserve"> PAGEREF _Toc105606098 \h </w:instrText>
      </w:r>
      <w:r>
        <w:rPr>
          <w:noProof/>
        </w:rPr>
      </w:r>
      <w:r>
        <w:rPr>
          <w:noProof/>
        </w:rPr>
        <w:fldChar w:fldCharType="separate"/>
      </w:r>
      <w:r>
        <w:rPr>
          <w:noProof/>
        </w:rPr>
        <w:t>43</w:t>
      </w:r>
      <w:r>
        <w:rPr>
          <w:noProof/>
        </w:rPr>
        <w:fldChar w:fldCharType="end"/>
      </w:r>
    </w:p>
    <w:p w14:paraId="71AD2B82" w14:textId="30BA6A9B" w:rsidR="00063B93" w:rsidRDefault="00063B93">
      <w:pPr>
        <w:pStyle w:val="Inhopg3"/>
        <w:tabs>
          <w:tab w:val="left" w:pos="694"/>
          <w:tab w:val="right" w:leader="dot" w:pos="7984"/>
        </w:tabs>
        <w:rPr>
          <w:rFonts w:asciiTheme="minorHAnsi" w:eastAsiaTheme="minorEastAsia" w:hAnsiTheme="minorHAnsi" w:cstheme="minorBidi"/>
          <w:noProof/>
          <w:color w:val="auto"/>
          <w:sz w:val="22"/>
          <w:szCs w:val="22"/>
        </w:rPr>
      </w:pPr>
      <w:r>
        <w:rPr>
          <w:noProof/>
        </w:rPr>
        <w:t>7.1.5</w:t>
      </w:r>
      <w:r>
        <w:rPr>
          <w:rFonts w:asciiTheme="minorHAnsi" w:eastAsiaTheme="minorEastAsia" w:hAnsiTheme="minorHAnsi" w:cstheme="minorBidi"/>
          <w:noProof/>
          <w:color w:val="auto"/>
          <w:sz w:val="22"/>
          <w:szCs w:val="22"/>
        </w:rPr>
        <w:tab/>
      </w:r>
      <w:r>
        <w:rPr>
          <w:noProof/>
        </w:rPr>
        <w:t>Totaaloordeel op het Gunningscriterium (prijs en kwaliteit)</w:t>
      </w:r>
      <w:r>
        <w:rPr>
          <w:noProof/>
        </w:rPr>
        <w:tab/>
      </w:r>
      <w:r>
        <w:rPr>
          <w:noProof/>
        </w:rPr>
        <w:fldChar w:fldCharType="begin"/>
      </w:r>
      <w:r>
        <w:rPr>
          <w:noProof/>
        </w:rPr>
        <w:instrText xml:space="preserve"> PAGEREF _Toc105606099 \h </w:instrText>
      </w:r>
      <w:r>
        <w:rPr>
          <w:noProof/>
        </w:rPr>
      </w:r>
      <w:r>
        <w:rPr>
          <w:noProof/>
        </w:rPr>
        <w:fldChar w:fldCharType="separate"/>
      </w:r>
      <w:r>
        <w:rPr>
          <w:noProof/>
        </w:rPr>
        <w:t>45</w:t>
      </w:r>
      <w:r>
        <w:rPr>
          <w:noProof/>
        </w:rPr>
        <w:fldChar w:fldCharType="end"/>
      </w:r>
    </w:p>
    <w:p w14:paraId="1B6AFBB7" w14:textId="4DC8D97D" w:rsidR="00063B93" w:rsidRDefault="00063B93">
      <w:pPr>
        <w:pStyle w:val="Inhopg1"/>
        <w:tabs>
          <w:tab w:val="left" w:pos="334"/>
          <w:tab w:val="right" w:leader="dot" w:pos="7984"/>
        </w:tabs>
        <w:rPr>
          <w:rFonts w:asciiTheme="minorHAnsi" w:eastAsiaTheme="minorEastAsia" w:hAnsiTheme="minorHAnsi" w:cstheme="minorBidi"/>
          <w:noProof/>
          <w:color w:val="auto"/>
          <w:sz w:val="22"/>
          <w:szCs w:val="22"/>
        </w:rPr>
      </w:pPr>
      <w:r>
        <w:rPr>
          <w:noProof/>
        </w:rPr>
        <w:t>8</w:t>
      </w:r>
      <w:r>
        <w:rPr>
          <w:rFonts w:asciiTheme="minorHAnsi" w:eastAsiaTheme="minorEastAsia" w:hAnsiTheme="minorHAnsi" w:cstheme="minorBidi"/>
          <w:noProof/>
          <w:color w:val="auto"/>
          <w:sz w:val="22"/>
          <w:szCs w:val="22"/>
        </w:rPr>
        <w:tab/>
      </w:r>
      <w:r>
        <w:rPr>
          <w:noProof/>
        </w:rPr>
        <w:t>Verificatie van de Inschrijving van de voorgenomen begunstigde</w:t>
      </w:r>
      <w:r>
        <w:rPr>
          <w:noProof/>
        </w:rPr>
        <w:tab/>
      </w:r>
      <w:r>
        <w:rPr>
          <w:noProof/>
        </w:rPr>
        <w:fldChar w:fldCharType="begin"/>
      </w:r>
      <w:r>
        <w:rPr>
          <w:noProof/>
        </w:rPr>
        <w:instrText xml:space="preserve"> PAGEREF _Toc105606100 \h </w:instrText>
      </w:r>
      <w:r>
        <w:rPr>
          <w:noProof/>
        </w:rPr>
      </w:r>
      <w:r>
        <w:rPr>
          <w:noProof/>
        </w:rPr>
        <w:fldChar w:fldCharType="separate"/>
      </w:r>
      <w:r>
        <w:rPr>
          <w:noProof/>
        </w:rPr>
        <w:t>47</w:t>
      </w:r>
      <w:r>
        <w:rPr>
          <w:noProof/>
        </w:rPr>
        <w:fldChar w:fldCharType="end"/>
      </w:r>
    </w:p>
    <w:p w14:paraId="72474BA8" w14:textId="15F2A9FD" w:rsidR="00063B93" w:rsidRDefault="00063B93">
      <w:pPr>
        <w:pStyle w:val="Inhopg2"/>
        <w:tabs>
          <w:tab w:val="left" w:pos="514"/>
          <w:tab w:val="right" w:leader="dot" w:pos="7984"/>
        </w:tabs>
        <w:rPr>
          <w:rFonts w:asciiTheme="minorHAnsi" w:eastAsiaTheme="minorEastAsia" w:hAnsiTheme="minorHAnsi" w:cstheme="minorBidi"/>
          <w:noProof/>
          <w:color w:val="auto"/>
          <w:sz w:val="22"/>
          <w:szCs w:val="22"/>
        </w:rPr>
      </w:pPr>
      <w:r>
        <w:rPr>
          <w:noProof/>
        </w:rPr>
        <w:t>8.1</w:t>
      </w:r>
      <w:r>
        <w:rPr>
          <w:rFonts w:asciiTheme="minorHAnsi" w:eastAsiaTheme="minorEastAsia" w:hAnsiTheme="minorHAnsi" w:cstheme="minorBidi"/>
          <w:noProof/>
          <w:color w:val="auto"/>
          <w:sz w:val="22"/>
          <w:szCs w:val="22"/>
        </w:rPr>
        <w:tab/>
      </w:r>
      <w:r>
        <w:rPr>
          <w:noProof/>
        </w:rPr>
        <w:t>Indiening en beoordeling bewijsstukken en overige gegevens</w:t>
      </w:r>
      <w:r>
        <w:rPr>
          <w:noProof/>
        </w:rPr>
        <w:tab/>
      </w:r>
      <w:r>
        <w:rPr>
          <w:noProof/>
        </w:rPr>
        <w:fldChar w:fldCharType="begin"/>
      </w:r>
      <w:r>
        <w:rPr>
          <w:noProof/>
        </w:rPr>
        <w:instrText xml:space="preserve"> PAGEREF _Toc105606101 \h </w:instrText>
      </w:r>
      <w:r>
        <w:rPr>
          <w:noProof/>
        </w:rPr>
      </w:r>
      <w:r>
        <w:rPr>
          <w:noProof/>
        </w:rPr>
        <w:fldChar w:fldCharType="separate"/>
      </w:r>
      <w:r>
        <w:rPr>
          <w:noProof/>
        </w:rPr>
        <w:t>47</w:t>
      </w:r>
      <w:r>
        <w:rPr>
          <w:noProof/>
        </w:rPr>
        <w:fldChar w:fldCharType="end"/>
      </w:r>
    </w:p>
    <w:p w14:paraId="342E645E" w14:textId="2D679ADC" w:rsidR="00063B93" w:rsidRDefault="00063B93">
      <w:pPr>
        <w:pStyle w:val="Inhopg2"/>
        <w:tabs>
          <w:tab w:val="left" w:pos="514"/>
          <w:tab w:val="right" w:leader="dot" w:pos="7984"/>
        </w:tabs>
        <w:rPr>
          <w:rFonts w:asciiTheme="minorHAnsi" w:eastAsiaTheme="minorEastAsia" w:hAnsiTheme="minorHAnsi" w:cstheme="minorBidi"/>
          <w:noProof/>
          <w:color w:val="auto"/>
          <w:sz w:val="22"/>
          <w:szCs w:val="22"/>
        </w:rPr>
      </w:pPr>
      <w:r>
        <w:rPr>
          <w:noProof/>
        </w:rPr>
        <w:t>8.2</w:t>
      </w:r>
      <w:r>
        <w:rPr>
          <w:rFonts w:asciiTheme="minorHAnsi" w:eastAsiaTheme="minorEastAsia" w:hAnsiTheme="minorHAnsi" w:cstheme="minorBidi"/>
          <w:noProof/>
          <w:color w:val="auto"/>
          <w:sz w:val="22"/>
          <w:szCs w:val="22"/>
        </w:rPr>
        <w:tab/>
      </w:r>
      <w:r>
        <w:rPr>
          <w:noProof/>
        </w:rPr>
        <w:t>Overeenkomst onder opschortende termijn</w:t>
      </w:r>
      <w:r>
        <w:rPr>
          <w:noProof/>
        </w:rPr>
        <w:tab/>
      </w:r>
      <w:r>
        <w:rPr>
          <w:noProof/>
        </w:rPr>
        <w:fldChar w:fldCharType="begin"/>
      </w:r>
      <w:r>
        <w:rPr>
          <w:noProof/>
        </w:rPr>
        <w:instrText xml:space="preserve"> PAGEREF _Toc105606102 \h </w:instrText>
      </w:r>
      <w:r>
        <w:rPr>
          <w:noProof/>
        </w:rPr>
      </w:r>
      <w:r>
        <w:rPr>
          <w:noProof/>
        </w:rPr>
        <w:fldChar w:fldCharType="separate"/>
      </w:r>
      <w:r>
        <w:rPr>
          <w:noProof/>
        </w:rPr>
        <w:t>47</w:t>
      </w:r>
      <w:r>
        <w:rPr>
          <w:noProof/>
        </w:rPr>
        <w:fldChar w:fldCharType="end"/>
      </w:r>
    </w:p>
    <w:p w14:paraId="18BDD52C" w14:textId="2A7ACEBF" w:rsidR="00732067" w:rsidRDefault="00DF60D9">
      <w:pPr>
        <w:rPr>
          <w:b/>
        </w:rPr>
      </w:pPr>
      <w:r>
        <w:rPr>
          <w:b/>
        </w:rPr>
        <w:lastRenderedPageBreak/>
        <w:fldChar w:fldCharType="end"/>
      </w:r>
    </w:p>
    <w:p w14:paraId="1E34B98F" w14:textId="5AAC40AC" w:rsidR="00106B60" w:rsidRDefault="00106B60">
      <w:pPr>
        <w:rPr>
          <w:b/>
        </w:rPr>
      </w:pPr>
    </w:p>
    <w:tbl>
      <w:tblPr>
        <w:tblStyle w:val="Tabelraster"/>
        <w:tblW w:w="0" w:type="auto"/>
        <w:tblLook w:val="04A0" w:firstRow="1" w:lastRow="0" w:firstColumn="1" w:lastColumn="0" w:noHBand="0" w:noVBand="1"/>
      </w:tblPr>
      <w:tblGrid>
        <w:gridCol w:w="7984"/>
      </w:tblGrid>
      <w:tr w:rsidR="00106B60" w:rsidRPr="00284DEE" w14:paraId="5F7C1087" w14:textId="77777777" w:rsidTr="009246FC">
        <w:tc>
          <w:tcPr>
            <w:tcW w:w="7984" w:type="dxa"/>
            <w:shd w:val="clear" w:color="auto" w:fill="121469"/>
          </w:tcPr>
          <w:p w14:paraId="350EDAEB" w14:textId="77777777" w:rsidR="00106B60" w:rsidRDefault="00106B60" w:rsidP="009246FC">
            <w:pPr>
              <w:jc w:val="center"/>
              <w:rPr>
                <w:b/>
                <w:color w:val="FFFFFF" w:themeColor="background1"/>
              </w:rPr>
            </w:pPr>
            <w:r>
              <w:rPr>
                <w:b/>
                <w:color w:val="FFFFFF" w:themeColor="background1"/>
              </w:rPr>
              <w:t>1- Bijlagen ten behoeve van</w:t>
            </w:r>
          </w:p>
          <w:p w14:paraId="15F12744" w14:textId="77777777" w:rsidR="00106B60" w:rsidRPr="00284DEE" w:rsidRDefault="00106B60" w:rsidP="009246FC">
            <w:pPr>
              <w:jc w:val="center"/>
              <w:rPr>
                <w:b/>
                <w:color w:val="FFFFFF" w:themeColor="background1"/>
              </w:rPr>
            </w:pPr>
            <w:r>
              <w:rPr>
                <w:b/>
                <w:color w:val="FFFFFF" w:themeColor="background1"/>
              </w:rPr>
              <w:t>het indienen van de Inschrijving</w:t>
            </w:r>
          </w:p>
        </w:tc>
      </w:tr>
      <w:tr w:rsidR="00106B60" w:rsidRPr="00C7155E" w14:paraId="5FB6E005" w14:textId="77777777" w:rsidTr="009246FC">
        <w:tc>
          <w:tcPr>
            <w:tcW w:w="7984" w:type="dxa"/>
          </w:tcPr>
          <w:p w14:paraId="3592E70E" w14:textId="77777777" w:rsidR="00106B60" w:rsidRPr="00C7155E" w:rsidRDefault="00106B60" w:rsidP="009246FC">
            <w:pPr>
              <w:rPr>
                <w:highlight w:val="yellow"/>
              </w:rPr>
            </w:pPr>
          </w:p>
        </w:tc>
      </w:tr>
      <w:tr w:rsidR="00106B60" w:rsidRPr="00C7155E" w14:paraId="42C759E5" w14:textId="77777777" w:rsidTr="009246FC">
        <w:tc>
          <w:tcPr>
            <w:tcW w:w="7984" w:type="dxa"/>
          </w:tcPr>
          <w:p w14:paraId="05BD1B27" w14:textId="615BE5B9" w:rsidR="00106B60" w:rsidRPr="00C7155E" w:rsidRDefault="00106B60" w:rsidP="009246FC">
            <w:pPr>
              <w:rPr>
                <w:highlight w:val="yellow"/>
              </w:rPr>
            </w:pPr>
            <w:r w:rsidRPr="00D80750">
              <w:rPr>
                <w:b/>
              </w:rPr>
              <w:t>Bijlage 1.1</w:t>
            </w:r>
            <w:r>
              <w:t xml:space="preserve">: </w:t>
            </w:r>
            <w:r w:rsidRPr="00D80750">
              <w:t>Eigen Verklaring</w:t>
            </w:r>
            <w:r w:rsidR="00026934">
              <w:t xml:space="preserve"> (</w:t>
            </w:r>
            <w:r w:rsidR="0097415C">
              <w:t xml:space="preserve">UEA, </w:t>
            </w:r>
            <w:r w:rsidR="00026934">
              <w:t>t.b.v. Inschrijver en eventueel Derde(n))</w:t>
            </w:r>
          </w:p>
        </w:tc>
      </w:tr>
      <w:tr w:rsidR="00106B60" w14:paraId="376828A9" w14:textId="77777777" w:rsidTr="009246FC">
        <w:tc>
          <w:tcPr>
            <w:tcW w:w="7984" w:type="dxa"/>
          </w:tcPr>
          <w:p w14:paraId="33E6C6DF" w14:textId="1EB4E6AB" w:rsidR="00106B60" w:rsidRDefault="00106B60" w:rsidP="00FE2AB9">
            <w:r w:rsidRPr="00D80750">
              <w:rPr>
                <w:b/>
              </w:rPr>
              <w:t>Bijlage 1.</w:t>
            </w:r>
            <w:r w:rsidR="00FE2AB9">
              <w:rPr>
                <w:b/>
              </w:rPr>
              <w:t>2</w:t>
            </w:r>
            <w:r>
              <w:t>: Format referentieprojecten</w:t>
            </w:r>
          </w:p>
        </w:tc>
      </w:tr>
      <w:tr w:rsidR="00106B60" w:rsidRPr="00C7155E" w14:paraId="7BA91E7D" w14:textId="77777777" w:rsidTr="009246FC">
        <w:tc>
          <w:tcPr>
            <w:tcW w:w="7984" w:type="dxa"/>
          </w:tcPr>
          <w:p w14:paraId="3413EE48" w14:textId="77777777" w:rsidR="00106B60" w:rsidRPr="00C7155E" w:rsidRDefault="00106B60" w:rsidP="009246FC">
            <w:pPr>
              <w:rPr>
                <w:highlight w:val="yellow"/>
              </w:rPr>
            </w:pPr>
          </w:p>
        </w:tc>
      </w:tr>
      <w:tr w:rsidR="00106B60" w:rsidRPr="00C7155E" w14:paraId="03DF817E" w14:textId="77777777" w:rsidTr="009246FC">
        <w:tc>
          <w:tcPr>
            <w:tcW w:w="7984" w:type="dxa"/>
            <w:shd w:val="clear" w:color="auto" w:fill="121469"/>
          </w:tcPr>
          <w:p w14:paraId="2203958D" w14:textId="77777777" w:rsidR="00106B60" w:rsidRDefault="00106B60" w:rsidP="009246FC">
            <w:pPr>
              <w:jc w:val="center"/>
              <w:rPr>
                <w:b/>
                <w:color w:val="FFFFFF" w:themeColor="background1"/>
              </w:rPr>
            </w:pPr>
            <w:r>
              <w:rPr>
                <w:b/>
                <w:color w:val="FFFFFF" w:themeColor="background1"/>
              </w:rPr>
              <w:t>Bijlage ten behoeve van</w:t>
            </w:r>
          </w:p>
          <w:p w14:paraId="7E8D0AAD" w14:textId="77777777" w:rsidR="00106B60" w:rsidRPr="00C7155E" w:rsidRDefault="00106B60" w:rsidP="009246FC">
            <w:pPr>
              <w:jc w:val="center"/>
              <w:rPr>
                <w:strike/>
                <w:highlight w:val="green"/>
              </w:rPr>
            </w:pPr>
            <w:r>
              <w:rPr>
                <w:b/>
                <w:color w:val="FFFFFF" w:themeColor="background1"/>
              </w:rPr>
              <w:t>het stellen van vragen</w:t>
            </w:r>
          </w:p>
        </w:tc>
      </w:tr>
      <w:tr w:rsidR="00106B60" w:rsidRPr="00D80750" w14:paraId="70E8589C" w14:textId="77777777" w:rsidTr="009246FC">
        <w:tc>
          <w:tcPr>
            <w:tcW w:w="7984" w:type="dxa"/>
          </w:tcPr>
          <w:p w14:paraId="30776EF4" w14:textId="77777777" w:rsidR="00106B60" w:rsidRPr="00D80750" w:rsidRDefault="00106B60" w:rsidP="009246FC">
            <w:pPr>
              <w:rPr>
                <w:highlight w:val="green"/>
              </w:rPr>
            </w:pPr>
          </w:p>
        </w:tc>
      </w:tr>
      <w:tr w:rsidR="00106B60" w:rsidRPr="00D80750" w14:paraId="3366AE01" w14:textId="77777777" w:rsidTr="009246FC">
        <w:tc>
          <w:tcPr>
            <w:tcW w:w="7984" w:type="dxa"/>
          </w:tcPr>
          <w:p w14:paraId="1C9C4DF0" w14:textId="2F25AE54" w:rsidR="00106B60" w:rsidRPr="00D80750" w:rsidRDefault="00106B60" w:rsidP="009246FC">
            <w:r w:rsidRPr="00D80750">
              <w:rPr>
                <w:b/>
              </w:rPr>
              <w:t>Bijlage 2.1</w:t>
            </w:r>
            <w:r w:rsidR="00DD73F2">
              <w:t>: Vragenformulier</w:t>
            </w:r>
          </w:p>
        </w:tc>
      </w:tr>
      <w:tr w:rsidR="00106B60" w:rsidRPr="00D80750" w14:paraId="580AA443" w14:textId="77777777" w:rsidTr="009246FC">
        <w:tc>
          <w:tcPr>
            <w:tcW w:w="7984" w:type="dxa"/>
          </w:tcPr>
          <w:p w14:paraId="052E3096" w14:textId="77777777" w:rsidR="00106B60" w:rsidRPr="00D80750" w:rsidRDefault="00106B60" w:rsidP="009246FC">
            <w:pPr>
              <w:rPr>
                <w:highlight w:val="green"/>
              </w:rPr>
            </w:pPr>
          </w:p>
        </w:tc>
      </w:tr>
      <w:tr w:rsidR="00106B60" w:rsidRPr="00C7155E" w14:paraId="423E627A" w14:textId="77777777" w:rsidTr="009246FC">
        <w:tc>
          <w:tcPr>
            <w:tcW w:w="7984" w:type="dxa"/>
            <w:shd w:val="clear" w:color="auto" w:fill="121469"/>
          </w:tcPr>
          <w:p w14:paraId="2B4C79E7" w14:textId="77777777" w:rsidR="00106B60" w:rsidRDefault="00106B60" w:rsidP="009246FC">
            <w:pPr>
              <w:jc w:val="center"/>
              <w:rPr>
                <w:b/>
                <w:color w:val="FFFFFF" w:themeColor="background1"/>
              </w:rPr>
            </w:pPr>
            <w:r>
              <w:rPr>
                <w:b/>
                <w:color w:val="FFFFFF" w:themeColor="background1"/>
              </w:rPr>
              <w:t>Bijlagen die de voorgenomen begunstigde moet gebruiken voor</w:t>
            </w:r>
          </w:p>
          <w:p w14:paraId="2FED6B69" w14:textId="77777777" w:rsidR="00106B60" w:rsidRPr="00C7155E" w:rsidRDefault="00106B60" w:rsidP="009246FC">
            <w:pPr>
              <w:jc w:val="center"/>
              <w:rPr>
                <w:strike/>
              </w:rPr>
            </w:pPr>
            <w:r>
              <w:rPr>
                <w:b/>
                <w:color w:val="FFFFFF" w:themeColor="background1"/>
              </w:rPr>
              <w:t>het indienen van bewijsstukken ter verificatie van de Inschrijving</w:t>
            </w:r>
          </w:p>
        </w:tc>
      </w:tr>
      <w:tr w:rsidR="00106B60" w14:paraId="435047BD" w14:textId="77777777" w:rsidTr="009246FC">
        <w:tc>
          <w:tcPr>
            <w:tcW w:w="7984" w:type="dxa"/>
          </w:tcPr>
          <w:p w14:paraId="6E54B929" w14:textId="77777777" w:rsidR="00106B60" w:rsidRDefault="00106B60" w:rsidP="009246FC"/>
        </w:tc>
      </w:tr>
      <w:tr w:rsidR="00106B60" w14:paraId="2EB92808" w14:textId="77777777" w:rsidTr="009246FC">
        <w:tc>
          <w:tcPr>
            <w:tcW w:w="7984" w:type="dxa"/>
          </w:tcPr>
          <w:p w14:paraId="79DD0296" w14:textId="04453217" w:rsidR="00106B60" w:rsidRDefault="00106B60" w:rsidP="009246FC">
            <w:r w:rsidRPr="007606C5">
              <w:rPr>
                <w:b/>
              </w:rPr>
              <w:t>Bijlage 3.1</w:t>
            </w:r>
            <w:r>
              <w:t xml:space="preserve">: Eigen Verklaring </w:t>
            </w:r>
            <w:r w:rsidR="00026934">
              <w:t>(</w:t>
            </w:r>
            <w:r>
              <w:t>t.b.v. onderaannemer voor de uitvoering</w:t>
            </w:r>
            <w:r w:rsidR="00026934">
              <w:t>)</w:t>
            </w:r>
          </w:p>
        </w:tc>
      </w:tr>
      <w:tr w:rsidR="00106B60" w14:paraId="3F7E2EDA" w14:textId="77777777" w:rsidTr="009246FC">
        <w:tc>
          <w:tcPr>
            <w:tcW w:w="7984" w:type="dxa"/>
          </w:tcPr>
          <w:p w14:paraId="10419858" w14:textId="77777777" w:rsidR="00106B60" w:rsidRDefault="00106B60" w:rsidP="009246FC">
            <w:r w:rsidRPr="007606C5">
              <w:rPr>
                <w:b/>
              </w:rPr>
              <w:t>Bijlage 3.2</w:t>
            </w:r>
            <w:r>
              <w:t>: Derdenverklaring i.v.m. beroep op fin. en econ. bekwaamheid</w:t>
            </w:r>
          </w:p>
        </w:tc>
      </w:tr>
      <w:tr w:rsidR="00106B60" w14:paraId="0F666511" w14:textId="77777777" w:rsidTr="009246FC">
        <w:tc>
          <w:tcPr>
            <w:tcW w:w="7984" w:type="dxa"/>
          </w:tcPr>
          <w:p w14:paraId="66D83497" w14:textId="77777777" w:rsidR="00106B60" w:rsidRDefault="00106B60" w:rsidP="009246FC">
            <w:r w:rsidRPr="007606C5">
              <w:rPr>
                <w:b/>
              </w:rPr>
              <w:t>Bijlage 3.3</w:t>
            </w:r>
            <w:r>
              <w:t>: Derdenverklaring i.v.m. beroep technische en beroepsbekwaamheid</w:t>
            </w:r>
          </w:p>
        </w:tc>
      </w:tr>
      <w:tr w:rsidR="00106B60" w14:paraId="3F4D7957" w14:textId="77777777" w:rsidTr="009246FC">
        <w:tc>
          <w:tcPr>
            <w:tcW w:w="7984" w:type="dxa"/>
          </w:tcPr>
          <w:p w14:paraId="663FF957" w14:textId="77777777" w:rsidR="00106B60" w:rsidRDefault="00106B60" w:rsidP="009246FC">
            <w:r w:rsidRPr="007606C5">
              <w:rPr>
                <w:b/>
              </w:rPr>
              <w:t>Bijlage 3.4</w:t>
            </w:r>
            <w:r>
              <w:t>: Polis / Verklaring verzekering / Bereidverklaring</w:t>
            </w:r>
          </w:p>
        </w:tc>
      </w:tr>
      <w:tr w:rsidR="00106B60" w14:paraId="75A8BE61" w14:textId="77777777" w:rsidTr="009246FC">
        <w:tc>
          <w:tcPr>
            <w:tcW w:w="7984" w:type="dxa"/>
          </w:tcPr>
          <w:p w14:paraId="1A34C651" w14:textId="77777777" w:rsidR="00106B60" w:rsidRDefault="00106B60" w:rsidP="009246FC"/>
        </w:tc>
      </w:tr>
      <w:tr w:rsidR="00106B60" w14:paraId="7BC62A57" w14:textId="77777777" w:rsidTr="009246FC">
        <w:tc>
          <w:tcPr>
            <w:tcW w:w="7984" w:type="dxa"/>
            <w:shd w:val="clear" w:color="auto" w:fill="121469"/>
          </w:tcPr>
          <w:p w14:paraId="659C8ED7" w14:textId="77777777" w:rsidR="00106B60" w:rsidRDefault="00106B60" w:rsidP="009246FC">
            <w:pPr>
              <w:jc w:val="center"/>
              <w:rPr>
                <w:b/>
                <w:color w:val="FFFFFF" w:themeColor="background1"/>
              </w:rPr>
            </w:pPr>
            <w:r>
              <w:rPr>
                <w:b/>
                <w:color w:val="FFFFFF" w:themeColor="background1"/>
              </w:rPr>
              <w:t xml:space="preserve">Bijlagen die deel uitmaken van de Aanbestedingsleidraad en </w:t>
            </w:r>
          </w:p>
          <w:p w14:paraId="4220B4D5" w14:textId="77777777" w:rsidR="00106B60" w:rsidRDefault="00106B60" w:rsidP="009246FC">
            <w:pPr>
              <w:jc w:val="center"/>
            </w:pPr>
            <w:r>
              <w:rPr>
                <w:b/>
                <w:color w:val="FFFFFF" w:themeColor="background1"/>
              </w:rPr>
              <w:t>niet bedoeld zijn voor indiening</w:t>
            </w:r>
          </w:p>
        </w:tc>
      </w:tr>
      <w:tr w:rsidR="00106B60" w14:paraId="1FC17648" w14:textId="77777777" w:rsidTr="009246FC">
        <w:tc>
          <w:tcPr>
            <w:tcW w:w="7984" w:type="dxa"/>
          </w:tcPr>
          <w:p w14:paraId="7C533913" w14:textId="77777777" w:rsidR="00106B60" w:rsidRDefault="00106B60" w:rsidP="009246FC"/>
        </w:tc>
      </w:tr>
      <w:tr w:rsidR="00106B60" w14:paraId="3C6765B7" w14:textId="77777777" w:rsidTr="009246FC">
        <w:tc>
          <w:tcPr>
            <w:tcW w:w="7984" w:type="dxa"/>
          </w:tcPr>
          <w:p w14:paraId="5BE35CAE" w14:textId="77777777" w:rsidR="00106B60" w:rsidRDefault="00106B60" w:rsidP="009246FC">
            <w:r w:rsidRPr="007606C5">
              <w:rPr>
                <w:b/>
              </w:rPr>
              <w:t>Bijlage 4.1</w:t>
            </w:r>
            <w:r>
              <w:t>: Programma van Eisen</w:t>
            </w:r>
          </w:p>
        </w:tc>
      </w:tr>
      <w:tr w:rsidR="00106B60" w:rsidRPr="007606C5" w14:paraId="0DE6F89B" w14:textId="77777777" w:rsidTr="009246FC">
        <w:tc>
          <w:tcPr>
            <w:tcW w:w="7984" w:type="dxa"/>
          </w:tcPr>
          <w:p w14:paraId="65B5E389" w14:textId="77777777" w:rsidR="00106B60" w:rsidRPr="007606C5" w:rsidRDefault="00106B60" w:rsidP="009246FC">
            <w:r w:rsidRPr="007606C5">
              <w:rPr>
                <w:b/>
              </w:rPr>
              <w:t>Bijlage 4.2</w:t>
            </w:r>
            <w:r w:rsidRPr="007606C5">
              <w:t>: Conceptovereenkomst</w:t>
            </w:r>
          </w:p>
        </w:tc>
      </w:tr>
      <w:tr w:rsidR="00106B60" w:rsidRPr="007606C5" w14:paraId="45D66AAC" w14:textId="77777777" w:rsidTr="009246FC">
        <w:tc>
          <w:tcPr>
            <w:tcW w:w="7984" w:type="dxa"/>
          </w:tcPr>
          <w:p w14:paraId="70DC131E" w14:textId="7283A7A2" w:rsidR="00106B60" w:rsidRPr="007606C5" w:rsidRDefault="00B12139" w:rsidP="0097415C">
            <w:r>
              <w:rPr>
                <w:b/>
              </w:rPr>
              <w:t>Bijlage 4.3</w:t>
            </w:r>
            <w:r w:rsidR="00B453AC">
              <w:rPr>
                <w:b/>
              </w:rPr>
              <w:t>a-b</w:t>
            </w:r>
            <w:r w:rsidR="00106B60" w:rsidRPr="007606C5">
              <w:t xml:space="preserve">: </w:t>
            </w:r>
            <w:r w:rsidR="00106B60" w:rsidRPr="00E7485F">
              <w:t xml:space="preserve">ARBIT </w:t>
            </w:r>
            <w:r w:rsidR="0097415C" w:rsidRPr="00E7485F">
              <w:t>2018</w:t>
            </w:r>
            <w:r w:rsidR="001A5209">
              <w:t xml:space="preserve"> + Toelichting</w:t>
            </w:r>
          </w:p>
        </w:tc>
      </w:tr>
      <w:tr w:rsidR="00106B60" w:rsidRPr="002249A1" w14:paraId="6AB9249E" w14:textId="77777777" w:rsidTr="009246FC">
        <w:tc>
          <w:tcPr>
            <w:tcW w:w="7984" w:type="dxa"/>
          </w:tcPr>
          <w:p w14:paraId="4DC71D3A" w14:textId="72E72AEB" w:rsidR="00106B60" w:rsidRPr="002249A1" w:rsidRDefault="00B12139" w:rsidP="00B12139">
            <w:r>
              <w:rPr>
                <w:b/>
              </w:rPr>
              <w:t>Bijlage 4.4</w:t>
            </w:r>
            <w:r w:rsidR="00106B60">
              <w:t xml:space="preserve">: </w:t>
            </w:r>
            <w:r w:rsidR="00106B60" w:rsidRPr="002249A1">
              <w:t>Klachtenregeling Tweede Kamer april 2015</w:t>
            </w:r>
          </w:p>
        </w:tc>
      </w:tr>
      <w:tr w:rsidR="00B12139" w:rsidRPr="002249A1" w14:paraId="665BC088" w14:textId="77777777" w:rsidTr="009246FC">
        <w:tc>
          <w:tcPr>
            <w:tcW w:w="7984" w:type="dxa"/>
          </w:tcPr>
          <w:p w14:paraId="4CFECF19" w14:textId="7C44F95F" w:rsidR="00EA0EDB" w:rsidRPr="00B12139" w:rsidRDefault="00B12139" w:rsidP="00EA0EDB">
            <w:r>
              <w:rPr>
                <w:b/>
              </w:rPr>
              <w:t>Bijlage 4.5</w:t>
            </w:r>
            <w:r>
              <w:t>: Huisreglement van Opdrachtgever</w:t>
            </w:r>
          </w:p>
        </w:tc>
      </w:tr>
      <w:tr w:rsidR="00EA0EDB" w:rsidRPr="002249A1" w14:paraId="39B74269" w14:textId="77777777" w:rsidTr="009246FC">
        <w:tc>
          <w:tcPr>
            <w:tcW w:w="7984" w:type="dxa"/>
          </w:tcPr>
          <w:p w14:paraId="74D8BC28" w14:textId="7D3942E3" w:rsidR="00EA0EDB" w:rsidRPr="00383133" w:rsidRDefault="00EA0EDB" w:rsidP="00EA0EDB">
            <w:r>
              <w:rPr>
                <w:b/>
              </w:rPr>
              <w:t xml:space="preserve">Bijlage 4.6: </w:t>
            </w:r>
            <w:r w:rsidR="00383133">
              <w:t>Concept-wachtkamerovereenkomst</w:t>
            </w:r>
          </w:p>
        </w:tc>
      </w:tr>
      <w:tr w:rsidR="00106B60" w14:paraId="3C05716F" w14:textId="77777777" w:rsidTr="009246FC">
        <w:tc>
          <w:tcPr>
            <w:tcW w:w="7984" w:type="dxa"/>
          </w:tcPr>
          <w:p w14:paraId="5BBEA67A" w14:textId="5E2ACB78" w:rsidR="00106B60" w:rsidRDefault="00A41B51" w:rsidP="009246FC">
            <w:r w:rsidRPr="00A41B51">
              <w:rPr>
                <w:b/>
              </w:rPr>
              <w:t>Bijlage 4.7</w:t>
            </w:r>
            <w:r>
              <w:t>:</w:t>
            </w:r>
            <w:r w:rsidRPr="00A41B51">
              <w:t xml:space="preserve"> Holdingverklaring EA Ondertiteling DG</w:t>
            </w:r>
          </w:p>
        </w:tc>
      </w:tr>
      <w:tr w:rsidR="0045705D" w14:paraId="29DE6B99" w14:textId="77777777" w:rsidTr="009246FC">
        <w:tc>
          <w:tcPr>
            <w:tcW w:w="7984" w:type="dxa"/>
          </w:tcPr>
          <w:p w14:paraId="4C42630B" w14:textId="74BC4EF3" w:rsidR="0045705D" w:rsidRPr="0045705D" w:rsidRDefault="0045705D" w:rsidP="009246FC">
            <w:r>
              <w:rPr>
                <w:b/>
              </w:rPr>
              <w:t xml:space="preserve">Bijlage 4.8: </w:t>
            </w:r>
            <w:r>
              <w:t>Geheimhoudingsverklaring</w:t>
            </w:r>
          </w:p>
        </w:tc>
      </w:tr>
    </w:tbl>
    <w:p w14:paraId="1D39EC3D" w14:textId="09584608" w:rsidR="009B479E" w:rsidRDefault="009B479E"/>
    <w:p w14:paraId="797543C1" w14:textId="77777777" w:rsidR="009B479E" w:rsidRPr="009B479E" w:rsidRDefault="009B479E" w:rsidP="009B479E"/>
    <w:p w14:paraId="1B21576D" w14:textId="77777777" w:rsidR="009B479E" w:rsidRPr="009B479E" w:rsidRDefault="009B479E" w:rsidP="009B479E"/>
    <w:p w14:paraId="1734E042" w14:textId="77777777" w:rsidR="009B479E" w:rsidRPr="009B479E" w:rsidRDefault="009B479E" w:rsidP="009B479E"/>
    <w:p w14:paraId="30D73556" w14:textId="77777777" w:rsidR="009B479E" w:rsidRPr="009B479E" w:rsidRDefault="009B479E" w:rsidP="009B479E"/>
    <w:p w14:paraId="0A9168D0" w14:textId="77777777" w:rsidR="009B479E" w:rsidRPr="009B479E" w:rsidRDefault="009B479E" w:rsidP="009B479E"/>
    <w:p w14:paraId="1A8351B0" w14:textId="53AC1A8C" w:rsidR="009B479E" w:rsidRDefault="009B479E" w:rsidP="009B479E"/>
    <w:p w14:paraId="0C8361FA" w14:textId="109680FE" w:rsidR="00106B60" w:rsidRPr="009B479E" w:rsidRDefault="009B479E" w:rsidP="009B479E">
      <w:pPr>
        <w:tabs>
          <w:tab w:val="left" w:pos="3195"/>
        </w:tabs>
      </w:pPr>
      <w:r>
        <w:tab/>
      </w:r>
    </w:p>
    <w:p w14:paraId="7A819ECE" w14:textId="6D9201B3" w:rsidR="00AE0F0C" w:rsidRPr="00AE0F0C" w:rsidRDefault="00AE0F0C" w:rsidP="00AE0F0C">
      <w:pPr>
        <w:pStyle w:val="RapportKop1zondernummer"/>
      </w:pPr>
      <w:bookmarkStart w:id="1" w:name="_Toc105606064"/>
      <w:r>
        <w:lastRenderedPageBreak/>
        <w:t>Begrippenlijst</w:t>
      </w:r>
      <w:bookmarkEnd w:id="1"/>
      <w:r w:rsidRPr="00AE0F0C">
        <w:t> </w:t>
      </w:r>
    </w:p>
    <w:p w14:paraId="59B62BDD" w14:textId="3E282963" w:rsidR="00AE0F0C" w:rsidRPr="00AE0F0C" w:rsidRDefault="00AE0F0C" w:rsidP="00AE0F0C">
      <w:pPr>
        <w:spacing w:line="240" w:lineRule="auto"/>
      </w:pPr>
      <w:r>
        <w:t>In deze Aanbestedingsleidraad hebben de woorden die met een beginhoofdletter worden geschreven, zowel in enkelvoud als in meervoud, de hieronder vermelde betekenis. Termen die niet in deze begrippenlijst zijn vermeld, maar wel zijn gedefinieerd in de Aanbestedingswet, hebben de betekenis conform de Aanbestedingswet.</w:t>
      </w:r>
    </w:p>
    <w:p w14:paraId="3CBD995F" w14:textId="77777777" w:rsidR="00AE0F0C" w:rsidRPr="00AE0F0C" w:rsidRDefault="00AE0F0C" w:rsidP="00AE0F0C">
      <w:pPr>
        <w:spacing w:line="240" w:lineRule="auto"/>
      </w:pPr>
    </w:p>
    <w:tbl>
      <w:tblPr>
        <w:tblW w:w="0" w:type="auto"/>
        <w:tblLook w:val="01E0" w:firstRow="1" w:lastRow="1" w:firstColumn="1" w:lastColumn="1" w:noHBand="0" w:noVBand="0"/>
      </w:tblPr>
      <w:tblGrid>
        <w:gridCol w:w="2554"/>
        <w:gridCol w:w="85"/>
        <w:gridCol w:w="5355"/>
      </w:tblGrid>
      <w:tr w:rsidR="00AE0F0C" w:rsidRPr="00AE0F0C" w14:paraId="39C3CCE5" w14:textId="77777777" w:rsidTr="00B33FF0">
        <w:tc>
          <w:tcPr>
            <w:tcW w:w="2554" w:type="dxa"/>
          </w:tcPr>
          <w:p w14:paraId="50B1B46B" w14:textId="59D84ABD" w:rsidR="00AE0F0C" w:rsidRPr="00AE0F0C" w:rsidRDefault="00AE0F0C" w:rsidP="00AE0F0C">
            <w:pPr>
              <w:spacing w:line="240" w:lineRule="auto"/>
              <w:rPr>
                <w:u w:val="single"/>
              </w:rPr>
            </w:pPr>
            <w:r>
              <w:rPr>
                <w:u w:val="single"/>
              </w:rPr>
              <w:t>Aanbestedende Dienst</w:t>
            </w:r>
          </w:p>
        </w:tc>
        <w:tc>
          <w:tcPr>
            <w:tcW w:w="5440" w:type="dxa"/>
            <w:gridSpan w:val="2"/>
          </w:tcPr>
          <w:p w14:paraId="4C633DB8" w14:textId="7D96F91B" w:rsidR="00AE0F0C" w:rsidRPr="00AE0F0C" w:rsidRDefault="00AE0F0C" w:rsidP="00AE0F0C">
            <w:pPr>
              <w:spacing w:line="240" w:lineRule="auto"/>
            </w:pPr>
            <w:r>
              <w:t xml:space="preserve">De </w:t>
            </w:r>
            <w:r w:rsidR="00767A04">
              <w:t xml:space="preserve">Staat der Nederlanden, </w:t>
            </w:r>
            <w:r w:rsidR="00EB35BD">
              <w:t>meer in het bijzonder</w:t>
            </w:r>
            <w:r w:rsidR="00767A04">
              <w:t xml:space="preserve"> de </w:t>
            </w:r>
            <w:r>
              <w:t xml:space="preserve">Tweede Kamer der </w:t>
            </w:r>
            <w:r w:rsidR="000F6015">
              <w:t>Staten-Generaal</w:t>
            </w:r>
            <w:r w:rsidR="00EB35BD">
              <w:t>, althans de Stafdienst Financieel Economisc</w:t>
            </w:r>
            <w:r w:rsidR="0029182E">
              <w:t>he Zaken, die de inkoop van de o</w:t>
            </w:r>
            <w:r w:rsidR="00EB35BD">
              <w:t xml:space="preserve">pdracht verricht namens de onder de Tweede Kamer der </w:t>
            </w:r>
            <w:r w:rsidR="000F6015">
              <w:t>Staten-Generaal</w:t>
            </w:r>
            <w:r w:rsidR="00EB35BD">
              <w:t xml:space="preserve"> ressorterende dienst </w:t>
            </w:r>
            <w:r w:rsidR="00277EBF" w:rsidRPr="00277EBF">
              <w:t>De Dienst Verslag en Redactie (DVR)</w:t>
            </w:r>
            <w:r>
              <w:t>.</w:t>
            </w:r>
            <w:r w:rsidR="00387230">
              <w:t xml:space="preserve"> De Aanbestedende Dienst wordt in de Aanbestedingsleidraad ook aangeduid als “</w:t>
            </w:r>
            <w:r w:rsidR="00387230" w:rsidRPr="00006D64">
              <w:t>de Tweede Kamer</w:t>
            </w:r>
            <w:r w:rsidR="00387230">
              <w:t xml:space="preserve">”. </w:t>
            </w:r>
            <w:r w:rsidR="005F5279">
              <w:t xml:space="preserve">Zie ook </w:t>
            </w:r>
            <w:r w:rsidR="00006D64">
              <w:t xml:space="preserve">de </w:t>
            </w:r>
            <w:r w:rsidR="005F5279">
              <w:t>paragraaf</w:t>
            </w:r>
            <w:r w:rsidR="00006D64">
              <w:t xml:space="preserve"> getiteld “</w:t>
            </w:r>
            <w:r w:rsidR="00006D64" w:rsidRPr="00006D64">
              <w:rPr>
                <w:i/>
              </w:rPr>
              <w:t>De Tweede Kamer</w:t>
            </w:r>
            <w:r w:rsidR="00006D64">
              <w:t>”</w:t>
            </w:r>
            <w:r w:rsidR="005F5279">
              <w:t>.</w:t>
            </w:r>
          </w:p>
          <w:p w14:paraId="16439550" w14:textId="77777777" w:rsidR="00AE0F0C" w:rsidRPr="00AE0F0C" w:rsidRDefault="00AE0F0C" w:rsidP="00AE0F0C">
            <w:pPr>
              <w:spacing w:line="240" w:lineRule="auto"/>
            </w:pPr>
          </w:p>
        </w:tc>
      </w:tr>
      <w:tr w:rsidR="00AE0F0C" w:rsidRPr="00AE0F0C" w14:paraId="5DCCBD7C" w14:textId="77777777" w:rsidTr="00B33FF0">
        <w:tc>
          <w:tcPr>
            <w:tcW w:w="2554" w:type="dxa"/>
          </w:tcPr>
          <w:p w14:paraId="279834D3" w14:textId="4D689CE5" w:rsidR="00AE0F0C" w:rsidRPr="00AE0F0C" w:rsidRDefault="00AE0F0C" w:rsidP="00AE0F0C">
            <w:pPr>
              <w:spacing w:line="240" w:lineRule="auto"/>
              <w:rPr>
                <w:u w:val="single"/>
              </w:rPr>
            </w:pPr>
            <w:r>
              <w:rPr>
                <w:u w:val="single"/>
              </w:rPr>
              <w:t>Aanbestedingsleidraad</w:t>
            </w:r>
          </w:p>
        </w:tc>
        <w:tc>
          <w:tcPr>
            <w:tcW w:w="5440" w:type="dxa"/>
            <w:gridSpan w:val="2"/>
          </w:tcPr>
          <w:p w14:paraId="152F4F02" w14:textId="58CF6CC4" w:rsidR="00AE0F0C" w:rsidRPr="00AE0F0C" w:rsidRDefault="00AE0F0C" w:rsidP="00AE0F0C">
            <w:pPr>
              <w:spacing w:line="240" w:lineRule="auto"/>
            </w:pPr>
            <w:r>
              <w:t>Het voorliggende document waarin de Aanbestedingsprocedure wordt beschreven.</w:t>
            </w:r>
          </w:p>
          <w:p w14:paraId="52F6B6B9" w14:textId="77777777" w:rsidR="00AE0F0C" w:rsidRPr="00AE0F0C" w:rsidRDefault="00AE0F0C" w:rsidP="00AE0F0C">
            <w:pPr>
              <w:spacing w:line="240" w:lineRule="auto"/>
            </w:pPr>
          </w:p>
        </w:tc>
      </w:tr>
      <w:tr w:rsidR="00AE0F0C" w:rsidRPr="00AE0F0C" w14:paraId="6032F94F" w14:textId="77777777" w:rsidTr="00B33FF0">
        <w:tc>
          <w:tcPr>
            <w:tcW w:w="2554" w:type="dxa"/>
          </w:tcPr>
          <w:p w14:paraId="7379D5C8" w14:textId="04D3384B" w:rsidR="00AE0F0C" w:rsidRDefault="00AE0F0C" w:rsidP="00AE0F0C">
            <w:pPr>
              <w:spacing w:line="240" w:lineRule="auto"/>
              <w:rPr>
                <w:u w:val="single"/>
              </w:rPr>
            </w:pPr>
            <w:r>
              <w:rPr>
                <w:u w:val="single"/>
              </w:rPr>
              <w:t>Aanbestedingsprocedure</w:t>
            </w:r>
          </w:p>
        </w:tc>
        <w:tc>
          <w:tcPr>
            <w:tcW w:w="5440" w:type="dxa"/>
            <w:gridSpan w:val="2"/>
          </w:tcPr>
          <w:p w14:paraId="0DD2DAF6" w14:textId="77777777" w:rsidR="00AE0F0C" w:rsidRDefault="00AE0F0C" w:rsidP="00AE0F0C">
            <w:pPr>
              <w:spacing w:line="240" w:lineRule="auto"/>
            </w:pPr>
            <w:r>
              <w:t xml:space="preserve">De onderhavige Europese aanbestedingsprocedure waarmee het sluiten van de Overeenkomst wordt aanbesteed. </w:t>
            </w:r>
          </w:p>
          <w:p w14:paraId="240B4A6D" w14:textId="381EBA03" w:rsidR="00AE0F0C" w:rsidRDefault="00AE0F0C" w:rsidP="00AE0F0C">
            <w:pPr>
              <w:spacing w:line="240" w:lineRule="auto"/>
            </w:pPr>
          </w:p>
        </w:tc>
      </w:tr>
      <w:tr w:rsidR="009079D4" w:rsidRPr="00AE0F0C" w14:paraId="06670B0B" w14:textId="77777777" w:rsidTr="00B33FF0">
        <w:tc>
          <w:tcPr>
            <w:tcW w:w="2554" w:type="dxa"/>
          </w:tcPr>
          <w:p w14:paraId="0BFA5051" w14:textId="37BEAB9E" w:rsidR="009079D4" w:rsidRDefault="009079D4" w:rsidP="00AE0F0C">
            <w:pPr>
              <w:spacing w:line="240" w:lineRule="auto"/>
              <w:rPr>
                <w:u w:val="single"/>
              </w:rPr>
            </w:pPr>
            <w:r>
              <w:rPr>
                <w:u w:val="single"/>
              </w:rPr>
              <w:t>Aanbestedingsstukken</w:t>
            </w:r>
          </w:p>
        </w:tc>
        <w:tc>
          <w:tcPr>
            <w:tcW w:w="5440" w:type="dxa"/>
            <w:gridSpan w:val="2"/>
          </w:tcPr>
          <w:p w14:paraId="33EC2DF7" w14:textId="74F569E1" w:rsidR="009079D4" w:rsidRDefault="009079D4" w:rsidP="00AE0F0C">
            <w:pPr>
              <w:spacing w:line="240" w:lineRule="auto"/>
            </w:pPr>
            <w:r>
              <w:t xml:space="preserve">Alle stukken die door of namens de </w:t>
            </w:r>
            <w:r w:rsidR="00387230">
              <w:t>Tweede Kamer</w:t>
            </w:r>
            <w:r>
              <w:t xml:space="preserve"> in de Aanbestedingsprocedure zijn gebracht, zoals de Aankondiging, de Aanbestedingsleidraad, de Nota(‘s) van Inlichtingen, etc.</w:t>
            </w:r>
          </w:p>
          <w:p w14:paraId="1CE7DF1D" w14:textId="3B1BC89E" w:rsidR="009079D4" w:rsidRDefault="009079D4" w:rsidP="00AE0F0C">
            <w:pPr>
              <w:spacing w:line="240" w:lineRule="auto"/>
            </w:pPr>
          </w:p>
        </w:tc>
      </w:tr>
      <w:tr w:rsidR="00AE0F0C" w:rsidRPr="00AE0F0C" w14:paraId="237854E6" w14:textId="77777777" w:rsidTr="00B33FF0">
        <w:tc>
          <w:tcPr>
            <w:tcW w:w="2554" w:type="dxa"/>
          </w:tcPr>
          <w:p w14:paraId="128E1591" w14:textId="450E7A0C" w:rsidR="00AE0F0C" w:rsidRPr="00AE0F0C" w:rsidRDefault="00AE0F0C" w:rsidP="00AE0F0C">
            <w:pPr>
              <w:spacing w:line="240" w:lineRule="auto"/>
            </w:pPr>
            <w:r>
              <w:rPr>
                <w:u w:val="single"/>
              </w:rPr>
              <w:t>Aanbestedingswet</w:t>
            </w:r>
          </w:p>
        </w:tc>
        <w:tc>
          <w:tcPr>
            <w:tcW w:w="5440" w:type="dxa"/>
            <w:gridSpan w:val="2"/>
          </w:tcPr>
          <w:p w14:paraId="6FDE1525" w14:textId="16BBFCAF" w:rsidR="00AE0F0C" w:rsidRPr="00AE0F0C" w:rsidRDefault="00AE0F0C" w:rsidP="00AE0F0C">
            <w:pPr>
              <w:spacing w:line="240" w:lineRule="auto"/>
            </w:pPr>
            <w:r>
              <w:t>Aanbestedingswet 2012 zijnde de w</w:t>
            </w:r>
            <w:r w:rsidRPr="00AE0F0C">
              <w:t>et van 1 november 2012, waarin de nieuwe regels voor aanbestedingen staan (Staatsblad 2012/542)</w:t>
            </w:r>
            <w:r>
              <w:t>, per 1 juli 2016 gewijzigd bij wet van 22 juni 2016 tot wijziging van de Aanbestedingswet 2012 in verband met de implementatie van aanbestedingsrichtlijnen 2014/23/</w:t>
            </w:r>
            <w:r w:rsidR="00CA783B">
              <w:t>EU, 2014/24/EU en 2014/25EU, ook welk afgekort als ‘Aanbestedingswet’ of ‘Aw’</w:t>
            </w:r>
            <w:r w:rsidRPr="00AE0F0C">
              <w:t>.</w:t>
            </w:r>
          </w:p>
          <w:p w14:paraId="35DE127F" w14:textId="77777777" w:rsidR="00AE0F0C" w:rsidRPr="00AE0F0C" w:rsidRDefault="00AE0F0C" w:rsidP="00AE0F0C">
            <w:pPr>
              <w:spacing w:line="240" w:lineRule="auto"/>
            </w:pPr>
          </w:p>
        </w:tc>
      </w:tr>
      <w:tr w:rsidR="00CA783B" w:rsidRPr="00AE0F0C" w14:paraId="50907FAF" w14:textId="77777777" w:rsidTr="00B33FF0">
        <w:tc>
          <w:tcPr>
            <w:tcW w:w="2554" w:type="dxa"/>
          </w:tcPr>
          <w:p w14:paraId="4E6AC426" w14:textId="3CE4A63C" w:rsidR="00CA783B" w:rsidRDefault="00CA783B" w:rsidP="00AE0F0C">
            <w:pPr>
              <w:spacing w:line="240" w:lineRule="auto"/>
              <w:rPr>
                <w:u w:val="single"/>
              </w:rPr>
            </w:pPr>
            <w:r>
              <w:rPr>
                <w:u w:val="single"/>
              </w:rPr>
              <w:t>Aankondiging</w:t>
            </w:r>
          </w:p>
        </w:tc>
        <w:tc>
          <w:tcPr>
            <w:tcW w:w="5440" w:type="dxa"/>
            <w:gridSpan w:val="2"/>
          </w:tcPr>
          <w:p w14:paraId="2D9F834B" w14:textId="77777777" w:rsidR="00CA783B" w:rsidRDefault="00CA783B" w:rsidP="00AE0F0C">
            <w:pPr>
              <w:spacing w:line="240" w:lineRule="auto"/>
            </w:pPr>
            <w:r>
              <w:t xml:space="preserve">De aankondiging van de Aanbestedingsprocedure op </w:t>
            </w:r>
            <w:hyperlink r:id="rId14" w:history="1">
              <w:r w:rsidRPr="00505B16">
                <w:rPr>
                  <w:rStyle w:val="Hyperlink"/>
                </w:rPr>
                <w:t>www.tenderned.nl</w:t>
              </w:r>
            </w:hyperlink>
            <w:r>
              <w:t xml:space="preserve">. </w:t>
            </w:r>
          </w:p>
          <w:p w14:paraId="70F3B5C0" w14:textId="5E6A432A" w:rsidR="00CA783B" w:rsidRDefault="00CA783B" w:rsidP="00AE0F0C">
            <w:pPr>
              <w:spacing w:line="240" w:lineRule="auto"/>
            </w:pPr>
          </w:p>
        </w:tc>
      </w:tr>
      <w:tr w:rsidR="00AE0F0C" w:rsidRPr="00AE0F0C" w14:paraId="3493F6B4" w14:textId="77777777" w:rsidTr="00B33FF0">
        <w:tc>
          <w:tcPr>
            <w:tcW w:w="2554" w:type="dxa"/>
          </w:tcPr>
          <w:p w14:paraId="66070444" w14:textId="7D0C93FC" w:rsidR="00AE0F0C" w:rsidRPr="00AE0F0C" w:rsidRDefault="00AE0F0C" w:rsidP="00AE0F0C">
            <w:pPr>
              <w:spacing w:line="240" w:lineRule="auto"/>
              <w:rPr>
                <w:u w:val="single"/>
              </w:rPr>
            </w:pPr>
            <w:r w:rsidRPr="00AE0F0C">
              <w:rPr>
                <w:u w:val="single"/>
              </w:rPr>
              <w:t>Bijlage</w:t>
            </w:r>
            <w:r w:rsidR="00767A04">
              <w:rPr>
                <w:u w:val="single"/>
              </w:rPr>
              <w:t>(n)</w:t>
            </w:r>
          </w:p>
        </w:tc>
        <w:tc>
          <w:tcPr>
            <w:tcW w:w="5440" w:type="dxa"/>
            <w:gridSpan w:val="2"/>
          </w:tcPr>
          <w:p w14:paraId="363B843D" w14:textId="1B826B44" w:rsidR="00AE0F0C" w:rsidRPr="00AE0F0C" w:rsidRDefault="00B33FF0" w:rsidP="00106B60">
            <w:pPr>
              <w:spacing w:line="240" w:lineRule="auto"/>
            </w:pPr>
            <w:r>
              <w:t>De bijlagen bij de Aanbestedingsleidraad</w:t>
            </w:r>
            <w:r w:rsidR="00106B60">
              <w:t xml:space="preserve"> (zie inhoudsopgave).</w:t>
            </w:r>
          </w:p>
          <w:p w14:paraId="244CE257" w14:textId="77777777" w:rsidR="00AE0F0C" w:rsidRPr="00AE0F0C" w:rsidRDefault="00AE0F0C" w:rsidP="00AE0F0C">
            <w:pPr>
              <w:spacing w:line="240" w:lineRule="auto"/>
            </w:pPr>
          </w:p>
        </w:tc>
      </w:tr>
      <w:tr w:rsidR="00AE0F0C" w:rsidRPr="00AE0F0C" w14:paraId="44331DEC" w14:textId="77777777" w:rsidTr="00B33FF0">
        <w:tc>
          <w:tcPr>
            <w:tcW w:w="2554" w:type="dxa"/>
          </w:tcPr>
          <w:p w14:paraId="7A0B89B4" w14:textId="77777777" w:rsidR="00AE0F0C" w:rsidRPr="00AE0F0C" w:rsidRDefault="00AE0F0C" w:rsidP="00AE0F0C">
            <w:pPr>
              <w:spacing w:line="240" w:lineRule="auto"/>
            </w:pPr>
            <w:r w:rsidRPr="00AE0F0C">
              <w:rPr>
                <w:u w:val="single"/>
              </w:rPr>
              <w:t>Combinatie</w:t>
            </w:r>
          </w:p>
        </w:tc>
        <w:tc>
          <w:tcPr>
            <w:tcW w:w="5440" w:type="dxa"/>
            <w:gridSpan w:val="2"/>
          </w:tcPr>
          <w:p w14:paraId="27AEAE43" w14:textId="753214E1" w:rsidR="00AE0F0C" w:rsidRPr="00AE0F0C" w:rsidRDefault="005D50DA" w:rsidP="00AE0F0C">
            <w:pPr>
              <w:spacing w:line="240" w:lineRule="auto"/>
            </w:pPr>
            <w:r>
              <w:t>Een</w:t>
            </w:r>
            <w:r w:rsidR="00AE0F0C" w:rsidRPr="00AE0F0C">
              <w:t xml:space="preserve"> samenwerkingsverband </w:t>
            </w:r>
            <w:r>
              <w:t xml:space="preserve">van ondernemers die gezamenlijk </w:t>
            </w:r>
            <w:r w:rsidR="00AE0F0C" w:rsidRPr="00AE0F0C">
              <w:t xml:space="preserve">inschrijven </w:t>
            </w:r>
            <w:r>
              <w:t>als één Inschrijver</w:t>
            </w:r>
            <w:r w:rsidR="00AE0F0C" w:rsidRPr="00AE0F0C">
              <w:t xml:space="preserve">. Elk lid van de Combinatie </w:t>
            </w:r>
            <w:r>
              <w:t xml:space="preserve">is </w:t>
            </w:r>
            <w:r w:rsidR="00AE0F0C" w:rsidRPr="00AE0F0C">
              <w:t>hoofdelijk aansprakelijk vo</w:t>
            </w:r>
            <w:r>
              <w:t>or de uitvoering van de Overeenkomst</w:t>
            </w:r>
            <w:r w:rsidR="00AE0F0C" w:rsidRPr="00AE0F0C">
              <w:t>.</w:t>
            </w:r>
          </w:p>
          <w:p w14:paraId="735FFB28" w14:textId="77777777" w:rsidR="00AE0F0C" w:rsidRPr="00AE0F0C" w:rsidRDefault="00AE0F0C" w:rsidP="00AE0F0C">
            <w:pPr>
              <w:spacing w:line="240" w:lineRule="auto"/>
            </w:pPr>
          </w:p>
        </w:tc>
      </w:tr>
      <w:tr w:rsidR="00AE0F0C" w:rsidRPr="00AE0F0C" w14:paraId="24778611" w14:textId="77777777" w:rsidTr="00B33FF0">
        <w:tc>
          <w:tcPr>
            <w:tcW w:w="2554" w:type="dxa"/>
          </w:tcPr>
          <w:p w14:paraId="780FD241" w14:textId="183EE380" w:rsidR="00AE0F0C" w:rsidRPr="00AE0F0C" w:rsidRDefault="00AE0F0C" w:rsidP="00AE0F0C">
            <w:pPr>
              <w:spacing w:line="240" w:lineRule="auto"/>
              <w:rPr>
                <w:u w:val="single"/>
              </w:rPr>
            </w:pPr>
            <w:r w:rsidRPr="00AE0F0C">
              <w:rPr>
                <w:u w:val="single"/>
              </w:rPr>
              <w:t>Derde</w:t>
            </w:r>
            <w:r w:rsidR="005D50DA">
              <w:rPr>
                <w:u w:val="single"/>
              </w:rPr>
              <w:t>(n)</w:t>
            </w:r>
          </w:p>
        </w:tc>
        <w:tc>
          <w:tcPr>
            <w:tcW w:w="5440" w:type="dxa"/>
            <w:gridSpan w:val="2"/>
          </w:tcPr>
          <w:p w14:paraId="1201FA8E" w14:textId="6B286699" w:rsidR="00AE0F0C" w:rsidRPr="00AE0F0C" w:rsidRDefault="005D50DA" w:rsidP="00AE0F0C">
            <w:pPr>
              <w:spacing w:line="240" w:lineRule="auto"/>
            </w:pPr>
            <w:r>
              <w:t>Natuurlijke personen en/of rechtspersonen, waarop de Inschrijver zich beroept om te kunnen voldoen aan de Geschiktheidseisen</w:t>
            </w:r>
            <w:r w:rsidR="00AE0F0C" w:rsidRPr="00AE0F0C">
              <w:t>.</w:t>
            </w:r>
          </w:p>
          <w:p w14:paraId="70F5E5A3" w14:textId="77777777" w:rsidR="00AE0F0C" w:rsidRPr="00AE0F0C" w:rsidRDefault="00AE0F0C" w:rsidP="00AE0F0C">
            <w:pPr>
              <w:spacing w:line="240" w:lineRule="auto"/>
            </w:pPr>
          </w:p>
        </w:tc>
      </w:tr>
      <w:tr w:rsidR="0067251D" w:rsidRPr="00AE0F0C" w14:paraId="43D252E7" w14:textId="77777777" w:rsidTr="00B33FF0">
        <w:tc>
          <w:tcPr>
            <w:tcW w:w="2554" w:type="dxa"/>
          </w:tcPr>
          <w:p w14:paraId="7829B120" w14:textId="77777777" w:rsidR="0067251D" w:rsidRDefault="0067251D" w:rsidP="00AE0F0C">
            <w:pPr>
              <w:spacing w:line="240" w:lineRule="auto"/>
              <w:rPr>
                <w:u w:val="single"/>
              </w:rPr>
            </w:pPr>
          </w:p>
        </w:tc>
        <w:tc>
          <w:tcPr>
            <w:tcW w:w="5440" w:type="dxa"/>
            <w:gridSpan w:val="2"/>
          </w:tcPr>
          <w:p w14:paraId="727D166D" w14:textId="77777777" w:rsidR="0067251D" w:rsidRDefault="0067251D" w:rsidP="00AE0F0C">
            <w:pPr>
              <w:spacing w:line="240" w:lineRule="auto"/>
            </w:pPr>
          </w:p>
        </w:tc>
      </w:tr>
      <w:tr w:rsidR="00DA4AFD" w:rsidRPr="00AE0F0C" w14:paraId="5123E886" w14:textId="77777777" w:rsidTr="00B33FF0">
        <w:tc>
          <w:tcPr>
            <w:tcW w:w="2554" w:type="dxa"/>
          </w:tcPr>
          <w:p w14:paraId="4A5B298F" w14:textId="3B36AE85" w:rsidR="00DA4AFD" w:rsidRPr="00AE0F0C" w:rsidRDefault="00DA4AFD" w:rsidP="00AE0F0C">
            <w:pPr>
              <w:spacing w:line="240" w:lineRule="auto"/>
              <w:rPr>
                <w:u w:val="single"/>
              </w:rPr>
            </w:pPr>
            <w:r>
              <w:rPr>
                <w:u w:val="single"/>
              </w:rPr>
              <w:lastRenderedPageBreak/>
              <w:t>Eigen Verklaring</w:t>
            </w:r>
          </w:p>
        </w:tc>
        <w:tc>
          <w:tcPr>
            <w:tcW w:w="5440" w:type="dxa"/>
            <w:gridSpan w:val="2"/>
          </w:tcPr>
          <w:p w14:paraId="3414BF66" w14:textId="10E146C8" w:rsidR="00DA4AFD" w:rsidRDefault="00DA4AFD" w:rsidP="00AE0F0C">
            <w:pPr>
              <w:spacing w:line="240" w:lineRule="auto"/>
            </w:pPr>
            <w:r>
              <w:t>De verklaring als bedoeld in artikel 2.84 lid 1 Aanbestedingswet</w:t>
            </w:r>
            <w:r w:rsidR="00BE7A60">
              <w:t xml:space="preserve">, ook </w:t>
            </w:r>
            <w:r w:rsidR="005931A6">
              <w:t>wel genoemd</w:t>
            </w:r>
            <w:r w:rsidR="00BE7A60">
              <w:t xml:space="preserve"> Uniform Europees Aanbestedingsdocument of UEA</w:t>
            </w:r>
            <w:r>
              <w:t xml:space="preserve"> (zie ook </w:t>
            </w:r>
            <w:r w:rsidR="00006D64">
              <w:t>de Eigen Verklaring, zoals bijgevoegd als Bijlag</w:t>
            </w:r>
            <w:r w:rsidR="00E7485F">
              <w:t>e</w:t>
            </w:r>
            <w:r>
              <w:t>).</w:t>
            </w:r>
          </w:p>
          <w:p w14:paraId="2656205A" w14:textId="087CBABE" w:rsidR="00DA4AFD" w:rsidRDefault="00DA4AFD" w:rsidP="00AE0F0C">
            <w:pPr>
              <w:spacing w:line="240" w:lineRule="auto"/>
            </w:pPr>
            <w:r>
              <w:t xml:space="preserve"> </w:t>
            </w:r>
          </w:p>
        </w:tc>
      </w:tr>
      <w:tr w:rsidR="00AE0F0C" w:rsidRPr="00AE0F0C" w14:paraId="3A9C46D1" w14:textId="77777777" w:rsidTr="00B33FF0">
        <w:tc>
          <w:tcPr>
            <w:tcW w:w="2554" w:type="dxa"/>
          </w:tcPr>
          <w:p w14:paraId="07475E31" w14:textId="77777777" w:rsidR="00AE0F0C" w:rsidRPr="00AE0F0C" w:rsidRDefault="00AE0F0C" w:rsidP="00AE0F0C">
            <w:pPr>
              <w:spacing w:line="240" w:lineRule="auto"/>
            </w:pPr>
            <w:r w:rsidRPr="00AE0F0C">
              <w:rPr>
                <w:u w:val="single"/>
              </w:rPr>
              <w:t>Geschiktheidseisen</w:t>
            </w:r>
          </w:p>
        </w:tc>
        <w:tc>
          <w:tcPr>
            <w:tcW w:w="5440" w:type="dxa"/>
            <w:gridSpan w:val="2"/>
          </w:tcPr>
          <w:p w14:paraId="57F542F5" w14:textId="23E7766A" w:rsidR="00AE0F0C" w:rsidRPr="00AE0F0C" w:rsidRDefault="00B31BB3" w:rsidP="00AE0F0C">
            <w:pPr>
              <w:spacing w:line="240" w:lineRule="auto"/>
            </w:pPr>
            <w:r>
              <w:t>De e</w:t>
            </w:r>
            <w:r w:rsidR="00AE0F0C" w:rsidRPr="00AE0F0C">
              <w:t xml:space="preserve">isen </w:t>
            </w:r>
            <w:r>
              <w:t xml:space="preserve">die de </w:t>
            </w:r>
            <w:r w:rsidR="00387230">
              <w:t>Tweede Kamer</w:t>
            </w:r>
            <w:r>
              <w:t xml:space="preserve"> stelt aan de Inschrijver die niet is uitgesloten op basis van de U</w:t>
            </w:r>
            <w:r w:rsidR="00D23BF3">
              <w:t xml:space="preserve">itsluitingsgronden, en waaraan de Inschrijver minimaal moet voldoen om in aanmerking te komen voor gunning van de </w:t>
            </w:r>
            <w:r w:rsidR="001918A6">
              <w:t>o</w:t>
            </w:r>
            <w:r w:rsidR="00D23BF3">
              <w:t>pdracht</w:t>
            </w:r>
            <w:r w:rsidR="00AE0F0C" w:rsidRPr="00AE0F0C">
              <w:t xml:space="preserve">. </w:t>
            </w:r>
          </w:p>
          <w:p w14:paraId="7716A3F1" w14:textId="77777777" w:rsidR="00AE0F0C" w:rsidRPr="00AE0F0C" w:rsidRDefault="00AE0F0C" w:rsidP="00AE0F0C">
            <w:pPr>
              <w:spacing w:line="240" w:lineRule="auto"/>
            </w:pPr>
          </w:p>
        </w:tc>
      </w:tr>
      <w:tr w:rsidR="00AE0F0C" w:rsidRPr="00AE0F0C" w14:paraId="231EFCD6" w14:textId="77777777" w:rsidTr="00B33FF0">
        <w:tc>
          <w:tcPr>
            <w:tcW w:w="2554" w:type="dxa"/>
          </w:tcPr>
          <w:p w14:paraId="185599EB" w14:textId="77777777" w:rsidR="00AE0F0C" w:rsidRPr="00AE0F0C" w:rsidRDefault="00AE0F0C" w:rsidP="00AE0F0C">
            <w:pPr>
              <w:spacing w:line="240" w:lineRule="auto"/>
              <w:rPr>
                <w:u w:val="single"/>
              </w:rPr>
            </w:pPr>
            <w:r w:rsidRPr="00AE0F0C">
              <w:rPr>
                <w:u w:val="single"/>
              </w:rPr>
              <w:t>Gunningscriterium</w:t>
            </w:r>
          </w:p>
        </w:tc>
        <w:tc>
          <w:tcPr>
            <w:tcW w:w="5440" w:type="dxa"/>
            <w:gridSpan w:val="2"/>
          </w:tcPr>
          <w:p w14:paraId="26FE859E" w14:textId="46A2B10E" w:rsidR="00AE0F0C" w:rsidRPr="00AE0F0C" w:rsidRDefault="00AE0F0C" w:rsidP="00AE0F0C">
            <w:pPr>
              <w:spacing w:line="240" w:lineRule="auto"/>
            </w:pPr>
            <w:r w:rsidRPr="00AE0F0C">
              <w:t xml:space="preserve">Het criterium dat </w:t>
            </w:r>
            <w:r w:rsidR="00FF5E78">
              <w:t xml:space="preserve">de </w:t>
            </w:r>
            <w:r w:rsidR="00387230">
              <w:t>Tweede Kamer</w:t>
            </w:r>
            <w:r w:rsidR="00FF5E78">
              <w:t xml:space="preserve"> hanteert om de Inschrijvingen te beoordelen en te rangschikken ten behoeve van de gunning van de </w:t>
            </w:r>
            <w:r w:rsidR="001918A6">
              <w:t>o</w:t>
            </w:r>
            <w:r w:rsidR="00FF5E78">
              <w:t xml:space="preserve">pdracht (zie ook hoofdstuk </w:t>
            </w:r>
            <w:r w:rsidR="00006D64">
              <w:t>“</w:t>
            </w:r>
            <w:r w:rsidR="00006D64" w:rsidRPr="00006D64">
              <w:rPr>
                <w:i/>
              </w:rPr>
              <w:t>Gunningscriterium</w:t>
            </w:r>
            <w:r w:rsidR="00006D64">
              <w:t>”</w:t>
            </w:r>
            <w:r w:rsidR="00FF5E78">
              <w:t>)</w:t>
            </w:r>
            <w:r w:rsidRPr="00AE0F0C">
              <w:t>.</w:t>
            </w:r>
          </w:p>
          <w:p w14:paraId="0D58CF8D" w14:textId="77777777" w:rsidR="00AE0F0C" w:rsidRPr="00AE0F0C" w:rsidRDefault="00AE0F0C" w:rsidP="00AE0F0C">
            <w:pPr>
              <w:spacing w:line="240" w:lineRule="auto"/>
            </w:pPr>
          </w:p>
        </w:tc>
      </w:tr>
      <w:tr w:rsidR="00AE0F0C" w:rsidRPr="00AE0F0C" w14:paraId="40AA7B50" w14:textId="77777777" w:rsidTr="00B33FF0">
        <w:tc>
          <w:tcPr>
            <w:tcW w:w="2554" w:type="dxa"/>
          </w:tcPr>
          <w:p w14:paraId="577BA449" w14:textId="77777777" w:rsidR="00AE0F0C" w:rsidRPr="00AE0F0C" w:rsidRDefault="00AE0F0C" w:rsidP="00AE0F0C">
            <w:pPr>
              <w:spacing w:line="240" w:lineRule="auto"/>
              <w:rPr>
                <w:u w:val="single"/>
              </w:rPr>
            </w:pPr>
            <w:r w:rsidRPr="00AE0F0C">
              <w:rPr>
                <w:u w:val="single"/>
              </w:rPr>
              <w:t>Inschrijver</w:t>
            </w:r>
          </w:p>
        </w:tc>
        <w:tc>
          <w:tcPr>
            <w:tcW w:w="5440" w:type="dxa"/>
            <w:gridSpan w:val="2"/>
          </w:tcPr>
          <w:p w14:paraId="3D5A6255" w14:textId="67783553" w:rsidR="00AE0F0C" w:rsidRPr="00AE0F0C" w:rsidRDefault="00FF5E78" w:rsidP="00AE0F0C">
            <w:pPr>
              <w:spacing w:line="240" w:lineRule="auto"/>
            </w:pPr>
            <w:r>
              <w:t>Een geïnteresseerde marktpartij die deelneemt aan de Aanbestedingsprocedure</w:t>
            </w:r>
            <w:r w:rsidR="00AE0F0C" w:rsidRPr="00AE0F0C">
              <w:t>.</w:t>
            </w:r>
          </w:p>
          <w:p w14:paraId="4F7B1A3D" w14:textId="77777777" w:rsidR="00AE0F0C" w:rsidRPr="00AE0F0C" w:rsidRDefault="00AE0F0C" w:rsidP="00AE0F0C">
            <w:pPr>
              <w:spacing w:line="240" w:lineRule="auto"/>
            </w:pPr>
          </w:p>
        </w:tc>
      </w:tr>
      <w:tr w:rsidR="00AE0F0C" w:rsidRPr="00AE0F0C" w14:paraId="6768C76A" w14:textId="77777777" w:rsidTr="00B33FF0">
        <w:tc>
          <w:tcPr>
            <w:tcW w:w="2554" w:type="dxa"/>
          </w:tcPr>
          <w:p w14:paraId="67498E24" w14:textId="77777777" w:rsidR="00AE0F0C" w:rsidRPr="00AE0F0C" w:rsidRDefault="00AE0F0C" w:rsidP="00AE0F0C">
            <w:pPr>
              <w:spacing w:line="240" w:lineRule="auto"/>
              <w:rPr>
                <w:u w:val="single"/>
              </w:rPr>
            </w:pPr>
            <w:r w:rsidRPr="00AE0F0C">
              <w:rPr>
                <w:u w:val="single"/>
              </w:rPr>
              <w:t>Inschrijving</w:t>
            </w:r>
          </w:p>
        </w:tc>
        <w:tc>
          <w:tcPr>
            <w:tcW w:w="5440" w:type="dxa"/>
            <w:gridSpan w:val="2"/>
          </w:tcPr>
          <w:p w14:paraId="0BDEF25E" w14:textId="201BAD72" w:rsidR="00AE0F0C" w:rsidRPr="00AE0F0C" w:rsidRDefault="00AE0F0C" w:rsidP="00AE0F0C">
            <w:pPr>
              <w:spacing w:line="240" w:lineRule="auto"/>
            </w:pPr>
            <w:r w:rsidRPr="00AE0F0C">
              <w:t xml:space="preserve">Een </w:t>
            </w:r>
            <w:r w:rsidR="00666589">
              <w:t>offerte die een Inschrijver heeft ingediend in het kader van de Aanbestedingsprocedure</w:t>
            </w:r>
            <w:r w:rsidRPr="00AE0F0C">
              <w:t>.</w:t>
            </w:r>
          </w:p>
          <w:p w14:paraId="0304BA39" w14:textId="77777777" w:rsidR="00AE0F0C" w:rsidRPr="00AE0F0C" w:rsidRDefault="00AE0F0C" w:rsidP="00AE0F0C">
            <w:pPr>
              <w:spacing w:line="240" w:lineRule="auto"/>
            </w:pPr>
          </w:p>
        </w:tc>
      </w:tr>
      <w:tr w:rsidR="00387230" w:rsidRPr="00AE0F0C" w14:paraId="13CF8575" w14:textId="77777777" w:rsidTr="00B33FF0">
        <w:tc>
          <w:tcPr>
            <w:tcW w:w="2554" w:type="dxa"/>
          </w:tcPr>
          <w:p w14:paraId="314AACCC" w14:textId="69AE26C0" w:rsidR="00387230" w:rsidRPr="00AE0F0C" w:rsidRDefault="00387230" w:rsidP="00AE0F0C">
            <w:pPr>
              <w:spacing w:line="240" w:lineRule="auto"/>
              <w:rPr>
                <w:u w:val="single"/>
              </w:rPr>
            </w:pPr>
            <w:r>
              <w:rPr>
                <w:u w:val="single"/>
              </w:rPr>
              <w:t>Minimumeisen</w:t>
            </w:r>
          </w:p>
        </w:tc>
        <w:tc>
          <w:tcPr>
            <w:tcW w:w="5440" w:type="dxa"/>
            <w:gridSpan w:val="2"/>
          </w:tcPr>
          <w:p w14:paraId="140B2197" w14:textId="77777777" w:rsidR="00387230" w:rsidRDefault="00387230" w:rsidP="00AE0F0C">
            <w:pPr>
              <w:spacing w:line="240" w:lineRule="auto"/>
            </w:pPr>
            <w:r>
              <w:t>De eisen die de Tweede Kamer stelt aan de wijze waarop de Opdrachtnemer de opdracht dient uit te voeren.</w:t>
            </w:r>
          </w:p>
          <w:p w14:paraId="18D3E39C" w14:textId="6DDEB679" w:rsidR="00387230" w:rsidRPr="00AE0F0C" w:rsidRDefault="00387230" w:rsidP="00AE0F0C">
            <w:pPr>
              <w:spacing w:line="240" w:lineRule="auto"/>
            </w:pPr>
          </w:p>
        </w:tc>
      </w:tr>
      <w:tr w:rsidR="00AE0F0C" w:rsidRPr="00AE0F0C" w14:paraId="50BFF689" w14:textId="77777777" w:rsidTr="00B33FF0">
        <w:tc>
          <w:tcPr>
            <w:tcW w:w="2554" w:type="dxa"/>
          </w:tcPr>
          <w:p w14:paraId="39B71BE1" w14:textId="1834B016" w:rsidR="00AE0F0C" w:rsidRPr="00AE0F0C" w:rsidRDefault="00AE0F0C" w:rsidP="00AE0F0C">
            <w:pPr>
              <w:spacing w:line="240" w:lineRule="auto"/>
            </w:pPr>
            <w:r w:rsidRPr="00AE0F0C">
              <w:rPr>
                <w:u w:val="single"/>
              </w:rPr>
              <w:t>Nota van Inlichtingen</w:t>
            </w:r>
          </w:p>
        </w:tc>
        <w:tc>
          <w:tcPr>
            <w:tcW w:w="5440" w:type="dxa"/>
            <w:gridSpan w:val="2"/>
          </w:tcPr>
          <w:p w14:paraId="5F00CEB6" w14:textId="300C2D8D" w:rsidR="00AE0F0C" w:rsidRPr="00AE0F0C" w:rsidRDefault="009079D4" w:rsidP="00AE0F0C">
            <w:pPr>
              <w:spacing w:line="240" w:lineRule="auto"/>
            </w:pPr>
            <w:r>
              <w:t xml:space="preserve">Het document </w:t>
            </w:r>
            <w:r w:rsidR="001918A6">
              <w:t xml:space="preserve">waarin de </w:t>
            </w:r>
            <w:r w:rsidR="00387230">
              <w:t>Tweede Kamer</w:t>
            </w:r>
            <w:r w:rsidR="001918A6">
              <w:t xml:space="preserve"> de vragen van Inschrijvers geanonimiseerd weergeeft en beantwoordt, en </w:t>
            </w:r>
            <w:r>
              <w:t xml:space="preserve">dat nadere </w:t>
            </w:r>
            <w:r w:rsidR="001918A6">
              <w:t>informatie bevat over de Aanbestedingsprocedure en/of de Aanbestedingsstukken</w:t>
            </w:r>
            <w:r w:rsidR="00AE0F0C" w:rsidRPr="00AE0F0C">
              <w:t>.</w:t>
            </w:r>
          </w:p>
          <w:p w14:paraId="3D07010C" w14:textId="77777777" w:rsidR="00AE0F0C" w:rsidRPr="00AE0F0C" w:rsidRDefault="00AE0F0C" w:rsidP="00AE0F0C">
            <w:pPr>
              <w:spacing w:line="240" w:lineRule="auto"/>
            </w:pPr>
          </w:p>
        </w:tc>
      </w:tr>
      <w:tr w:rsidR="00916A73" w:rsidRPr="00AE0F0C" w14:paraId="174AF987" w14:textId="77777777" w:rsidTr="00B33FF0">
        <w:tc>
          <w:tcPr>
            <w:tcW w:w="2554" w:type="dxa"/>
          </w:tcPr>
          <w:p w14:paraId="5E6202F9" w14:textId="77777777" w:rsidR="00916A73" w:rsidRDefault="00916A73" w:rsidP="00AE0F0C">
            <w:pPr>
              <w:spacing w:line="240" w:lineRule="auto"/>
              <w:rPr>
                <w:u w:val="single"/>
              </w:rPr>
            </w:pPr>
            <w:r>
              <w:rPr>
                <w:u w:val="single"/>
              </w:rPr>
              <w:t>Opdracht</w:t>
            </w:r>
          </w:p>
          <w:p w14:paraId="18EFAA98" w14:textId="628689D1" w:rsidR="00916A73" w:rsidRPr="00AE0F0C" w:rsidRDefault="00916A73" w:rsidP="00AE0F0C">
            <w:pPr>
              <w:spacing w:line="240" w:lineRule="auto"/>
              <w:rPr>
                <w:u w:val="single"/>
              </w:rPr>
            </w:pPr>
          </w:p>
        </w:tc>
        <w:tc>
          <w:tcPr>
            <w:tcW w:w="5440" w:type="dxa"/>
            <w:gridSpan w:val="2"/>
          </w:tcPr>
          <w:p w14:paraId="33A14E0C" w14:textId="73B597E3" w:rsidR="00916A73" w:rsidRDefault="009E6013" w:rsidP="00576F29">
            <w:pPr>
              <w:spacing w:line="240" w:lineRule="auto"/>
            </w:pPr>
            <w:r>
              <w:t>Het oplijnen van de Handelingen met de video’s van de corresponderende debatten op de website Debat Gemist,</w:t>
            </w:r>
            <w:r w:rsidR="00916A73" w:rsidRPr="00576F29">
              <w:t xml:space="preserve"> </w:t>
            </w:r>
            <w:r w:rsidR="00916A73" w:rsidRPr="00914458">
              <w:t>een en ander conform beschrijving in de Aanbestedingsstukken.</w:t>
            </w:r>
          </w:p>
          <w:p w14:paraId="3D704670" w14:textId="77777777" w:rsidR="00916A73" w:rsidRDefault="00916A73" w:rsidP="00AE0F0C">
            <w:pPr>
              <w:spacing w:line="240" w:lineRule="auto"/>
            </w:pPr>
          </w:p>
        </w:tc>
      </w:tr>
      <w:tr w:rsidR="00BC35AC" w:rsidRPr="00AE0F0C" w14:paraId="70C7217E" w14:textId="77777777" w:rsidTr="00B33FF0">
        <w:tc>
          <w:tcPr>
            <w:tcW w:w="2554" w:type="dxa"/>
          </w:tcPr>
          <w:p w14:paraId="04092F5E" w14:textId="28EFA5D1" w:rsidR="00BC35AC" w:rsidRPr="00AE0F0C" w:rsidRDefault="00BC35AC" w:rsidP="00AE0F0C">
            <w:pPr>
              <w:spacing w:line="240" w:lineRule="auto"/>
              <w:rPr>
                <w:u w:val="single"/>
              </w:rPr>
            </w:pPr>
            <w:r>
              <w:rPr>
                <w:u w:val="single"/>
              </w:rPr>
              <w:t>Opdrachtgever</w:t>
            </w:r>
          </w:p>
        </w:tc>
        <w:tc>
          <w:tcPr>
            <w:tcW w:w="5440" w:type="dxa"/>
            <w:gridSpan w:val="2"/>
          </w:tcPr>
          <w:p w14:paraId="633BF46D" w14:textId="63AB4CBE" w:rsidR="00BC35AC" w:rsidRDefault="00BC35AC" w:rsidP="00AE0F0C">
            <w:pPr>
              <w:spacing w:line="240" w:lineRule="auto"/>
            </w:pPr>
            <w:r>
              <w:t xml:space="preserve">De </w:t>
            </w:r>
            <w:r w:rsidR="00106B60">
              <w:t>Tweede Kamer</w:t>
            </w:r>
            <w:r w:rsidR="004838E3">
              <w:t xml:space="preserve"> der Staten-Generaal</w:t>
            </w:r>
            <w:r w:rsidR="000F6015">
              <w:t xml:space="preserve">, </w:t>
            </w:r>
            <w:r w:rsidR="004838E3">
              <w:t xml:space="preserve">althans </w:t>
            </w:r>
            <w:r w:rsidR="009E6013">
              <w:t>d</w:t>
            </w:r>
            <w:r w:rsidR="00277EBF" w:rsidRPr="00277EBF">
              <w:t>e Dienst Verslag en Redactie (DVR</w:t>
            </w:r>
            <w:r w:rsidR="00CB1B05">
              <w:t>)</w:t>
            </w:r>
            <w:r w:rsidR="00277EBF">
              <w:t xml:space="preserve">, </w:t>
            </w:r>
            <w:r w:rsidR="004838E3">
              <w:t xml:space="preserve">vertegenwoordigd door </w:t>
            </w:r>
            <w:r w:rsidR="00CB1B05">
              <w:t>diensthoofd van de Dienst Verslag en Redactie mevrouw A.C.J. Schwarz</w:t>
            </w:r>
            <w:r w:rsidR="004838E3">
              <w:t xml:space="preserve">. </w:t>
            </w:r>
          </w:p>
          <w:p w14:paraId="6F6AD701" w14:textId="6477CE8D" w:rsidR="00BC35AC" w:rsidRDefault="00BC35AC" w:rsidP="00AE0F0C">
            <w:pPr>
              <w:spacing w:line="240" w:lineRule="auto"/>
            </w:pPr>
          </w:p>
        </w:tc>
      </w:tr>
      <w:tr w:rsidR="00AE0F0C" w:rsidRPr="00AE0F0C" w14:paraId="23DA44F7" w14:textId="77777777" w:rsidTr="00B33FF0">
        <w:tc>
          <w:tcPr>
            <w:tcW w:w="2554" w:type="dxa"/>
          </w:tcPr>
          <w:p w14:paraId="659038B4" w14:textId="77777777" w:rsidR="00AE0F0C" w:rsidRPr="00AE0F0C" w:rsidRDefault="00AE0F0C" w:rsidP="00AE0F0C">
            <w:pPr>
              <w:spacing w:line="240" w:lineRule="auto"/>
            </w:pPr>
            <w:r w:rsidRPr="00AE0F0C">
              <w:rPr>
                <w:u w:val="single"/>
              </w:rPr>
              <w:t>Opdrachtnemer</w:t>
            </w:r>
          </w:p>
        </w:tc>
        <w:tc>
          <w:tcPr>
            <w:tcW w:w="5440" w:type="dxa"/>
            <w:gridSpan w:val="2"/>
          </w:tcPr>
          <w:p w14:paraId="68DC46CD" w14:textId="0A0BA8B0" w:rsidR="00AE0F0C" w:rsidRPr="00AE0F0C" w:rsidRDefault="00AE0F0C" w:rsidP="00AE0F0C">
            <w:pPr>
              <w:spacing w:line="240" w:lineRule="auto"/>
            </w:pPr>
            <w:r w:rsidRPr="00AE0F0C">
              <w:t xml:space="preserve">De Inschrijver </w:t>
            </w:r>
            <w:r w:rsidR="00387230">
              <w:t>waarmee de Tweede Kamer de</w:t>
            </w:r>
            <w:r w:rsidRPr="00AE0F0C">
              <w:t xml:space="preserve"> Overeenkoms</w:t>
            </w:r>
            <w:r w:rsidR="00387230">
              <w:t xml:space="preserve">t </w:t>
            </w:r>
            <w:r w:rsidRPr="00AE0F0C">
              <w:t>sluit.</w:t>
            </w:r>
          </w:p>
          <w:p w14:paraId="65951883" w14:textId="77777777" w:rsidR="00AE0F0C" w:rsidRPr="00AE0F0C" w:rsidRDefault="00AE0F0C" w:rsidP="00AE0F0C">
            <w:pPr>
              <w:spacing w:line="240" w:lineRule="auto"/>
            </w:pPr>
          </w:p>
        </w:tc>
      </w:tr>
      <w:tr w:rsidR="00AE0F0C" w:rsidRPr="00AE0F0C" w14:paraId="33EE69D9" w14:textId="77777777" w:rsidTr="00B33FF0">
        <w:tc>
          <w:tcPr>
            <w:tcW w:w="2554" w:type="dxa"/>
          </w:tcPr>
          <w:p w14:paraId="07947660" w14:textId="77777777" w:rsidR="00AE0F0C" w:rsidRPr="00AE0F0C" w:rsidRDefault="00AE0F0C" w:rsidP="00AE0F0C">
            <w:pPr>
              <w:spacing w:line="240" w:lineRule="auto"/>
            </w:pPr>
            <w:r w:rsidRPr="00AE0F0C">
              <w:rPr>
                <w:u w:val="single"/>
              </w:rPr>
              <w:t>Overeenkomst</w:t>
            </w:r>
          </w:p>
        </w:tc>
        <w:tc>
          <w:tcPr>
            <w:tcW w:w="5440" w:type="dxa"/>
            <w:gridSpan w:val="2"/>
          </w:tcPr>
          <w:p w14:paraId="658DEEA7" w14:textId="55EA3409" w:rsidR="00AE0F0C" w:rsidRPr="00AE0F0C" w:rsidRDefault="004838E3" w:rsidP="00AE0F0C">
            <w:pPr>
              <w:spacing w:line="240" w:lineRule="auto"/>
            </w:pPr>
            <w:r>
              <w:t xml:space="preserve">De </w:t>
            </w:r>
            <w:r w:rsidR="00277EBF">
              <w:t>o</w:t>
            </w:r>
            <w:r w:rsidR="00AE0F0C" w:rsidRPr="00AE0F0C">
              <w:t xml:space="preserve">vereenkomst </w:t>
            </w:r>
            <w:r w:rsidR="00387230">
              <w:t>die de Tweede Kamer sluit met de Opdrachtnemer op grond van de uitkomst van de Aanbestedingsprocedure</w:t>
            </w:r>
            <w:r w:rsidR="00AE0F0C" w:rsidRPr="00AE0F0C">
              <w:t>.</w:t>
            </w:r>
          </w:p>
          <w:p w14:paraId="11097C33" w14:textId="77777777" w:rsidR="00AE0F0C" w:rsidRPr="00AE0F0C" w:rsidRDefault="00AE0F0C" w:rsidP="00AE0F0C">
            <w:pPr>
              <w:spacing w:line="240" w:lineRule="auto"/>
            </w:pPr>
          </w:p>
        </w:tc>
      </w:tr>
      <w:tr w:rsidR="00AE0F0C" w:rsidRPr="00AE0F0C" w14:paraId="30332864" w14:textId="77777777" w:rsidTr="00B33FF0">
        <w:tc>
          <w:tcPr>
            <w:tcW w:w="2554" w:type="dxa"/>
          </w:tcPr>
          <w:p w14:paraId="0DD1F94D" w14:textId="77777777" w:rsidR="00AE0F0C" w:rsidRPr="00AE0F0C" w:rsidRDefault="00AE0F0C" w:rsidP="00AE0F0C">
            <w:pPr>
              <w:spacing w:line="240" w:lineRule="auto"/>
              <w:rPr>
                <w:u w:val="single"/>
              </w:rPr>
            </w:pPr>
          </w:p>
        </w:tc>
        <w:tc>
          <w:tcPr>
            <w:tcW w:w="5440" w:type="dxa"/>
            <w:gridSpan w:val="2"/>
          </w:tcPr>
          <w:p w14:paraId="4B55A8A2" w14:textId="77777777" w:rsidR="00AE0F0C" w:rsidRPr="00AE0F0C" w:rsidRDefault="00AE0F0C" w:rsidP="00AE0F0C">
            <w:pPr>
              <w:spacing w:line="240" w:lineRule="auto"/>
            </w:pPr>
          </w:p>
        </w:tc>
      </w:tr>
      <w:tr w:rsidR="00AE0F0C" w:rsidRPr="00AE0F0C" w14:paraId="7B9460B9" w14:textId="77777777" w:rsidTr="00B33FF0">
        <w:tc>
          <w:tcPr>
            <w:tcW w:w="2554" w:type="dxa"/>
          </w:tcPr>
          <w:p w14:paraId="35A1607E" w14:textId="77777777" w:rsidR="00AE0F0C" w:rsidRPr="00AE0F0C" w:rsidRDefault="00AE0F0C" w:rsidP="00AE0F0C">
            <w:pPr>
              <w:spacing w:line="240" w:lineRule="auto"/>
              <w:rPr>
                <w:u w:val="single"/>
              </w:rPr>
            </w:pPr>
            <w:r w:rsidRPr="00AE0F0C">
              <w:rPr>
                <w:u w:val="single"/>
              </w:rPr>
              <w:t>Programma van Eisen</w:t>
            </w:r>
          </w:p>
        </w:tc>
        <w:tc>
          <w:tcPr>
            <w:tcW w:w="5440" w:type="dxa"/>
            <w:gridSpan w:val="2"/>
          </w:tcPr>
          <w:p w14:paraId="0AFF854A" w14:textId="196B364B" w:rsidR="00AE0F0C" w:rsidRPr="00AE0F0C" w:rsidRDefault="00387230" w:rsidP="00AE0F0C">
            <w:pPr>
              <w:spacing w:line="240" w:lineRule="auto"/>
            </w:pPr>
            <w:r>
              <w:t xml:space="preserve">Het programma van eisen </w:t>
            </w:r>
            <w:r w:rsidR="000F6015">
              <w:t>(</w:t>
            </w:r>
            <w:r w:rsidR="00006D64">
              <w:t>zie gelijknamige Bijlage</w:t>
            </w:r>
            <w:r w:rsidR="000F6015">
              <w:t>)</w:t>
            </w:r>
            <w:r w:rsidR="00AE0F0C" w:rsidRPr="00AE0F0C">
              <w:t>.</w:t>
            </w:r>
          </w:p>
          <w:p w14:paraId="07A90E40" w14:textId="77777777" w:rsidR="00AE0F0C" w:rsidRPr="00AE0F0C" w:rsidRDefault="00AE0F0C" w:rsidP="00AE0F0C">
            <w:pPr>
              <w:spacing w:line="240" w:lineRule="auto"/>
            </w:pPr>
          </w:p>
        </w:tc>
      </w:tr>
      <w:tr w:rsidR="00AE0F0C" w:rsidRPr="00AE0F0C" w14:paraId="529D596B" w14:textId="77777777" w:rsidTr="00B33FF0">
        <w:tc>
          <w:tcPr>
            <w:tcW w:w="2554" w:type="dxa"/>
          </w:tcPr>
          <w:p w14:paraId="3BC6B99B" w14:textId="77777777" w:rsidR="00AE0F0C" w:rsidRPr="00AE0F0C" w:rsidRDefault="00AE0F0C" w:rsidP="00AE0F0C">
            <w:pPr>
              <w:spacing w:line="240" w:lineRule="auto"/>
              <w:rPr>
                <w:u w:val="single"/>
              </w:rPr>
            </w:pPr>
            <w:r w:rsidRPr="00AE0F0C">
              <w:rPr>
                <w:u w:val="single"/>
              </w:rPr>
              <w:t>Uitsluitingsgronden</w:t>
            </w:r>
          </w:p>
          <w:p w14:paraId="51CB4926" w14:textId="77777777" w:rsidR="00AE0F0C" w:rsidRPr="00AE0F0C" w:rsidRDefault="00AE0F0C" w:rsidP="00AE0F0C">
            <w:pPr>
              <w:spacing w:line="240" w:lineRule="auto"/>
              <w:rPr>
                <w:u w:val="single"/>
              </w:rPr>
            </w:pPr>
          </w:p>
        </w:tc>
        <w:tc>
          <w:tcPr>
            <w:tcW w:w="5440" w:type="dxa"/>
            <w:gridSpan w:val="2"/>
          </w:tcPr>
          <w:p w14:paraId="74CC09B5" w14:textId="33342F23" w:rsidR="00AE0F0C" w:rsidRPr="00AE0F0C" w:rsidRDefault="00DA4AFD" w:rsidP="00AE0F0C">
            <w:pPr>
              <w:spacing w:line="240" w:lineRule="auto"/>
            </w:pPr>
            <w:r>
              <w:t xml:space="preserve">De gronden voor uitsluiting van de Inschrijver tot deelname aan de Aanbestedingsprocedure (zie ook </w:t>
            </w:r>
            <w:r w:rsidR="00006D64">
              <w:t xml:space="preserve">de </w:t>
            </w:r>
            <w:r>
              <w:t>paragraaf</w:t>
            </w:r>
            <w:r w:rsidR="00006D64">
              <w:t xml:space="preserve"> “</w:t>
            </w:r>
            <w:r w:rsidR="00006D64" w:rsidRPr="00006D64">
              <w:rPr>
                <w:i/>
              </w:rPr>
              <w:t>Uitsluitingsgronden</w:t>
            </w:r>
            <w:r w:rsidR="00006D64">
              <w:t>”)</w:t>
            </w:r>
            <w:r w:rsidR="008D0431">
              <w:t>.</w:t>
            </w:r>
          </w:p>
        </w:tc>
      </w:tr>
      <w:tr w:rsidR="008D0431" w:rsidRPr="00AE0F0C" w14:paraId="07949505" w14:textId="77777777" w:rsidTr="00B33FF0">
        <w:tc>
          <w:tcPr>
            <w:tcW w:w="2554" w:type="dxa"/>
          </w:tcPr>
          <w:p w14:paraId="1AFA189B" w14:textId="77777777" w:rsidR="008D0431" w:rsidRPr="00AE0F0C" w:rsidRDefault="008D0431" w:rsidP="00AE0F0C">
            <w:pPr>
              <w:spacing w:line="240" w:lineRule="auto"/>
              <w:rPr>
                <w:u w:val="single"/>
              </w:rPr>
            </w:pPr>
          </w:p>
        </w:tc>
        <w:tc>
          <w:tcPr>
            <w:tcW w:w="5440" w:type="dxa"/>
            <w:gridSpan w:val="2"/>
          </w:tcPr>
          <w:p w14:paraId="078EAD22" w14:textId="77777777" w:rsidR="008D0431" w:rsidRDefault="008D0431" w:rsidP="00AE0F0C">
            <w:pPr>
              <w:spacing w:line="240" w:lineRule="auto"/>
            </w:pPr>
          </w:p>
        </w:tc>
      </w:tr>
      <w:tr w:rsidR="008D0431" w:rsidRPr="00F641AE" w14:paraId="65D38BA3" w14:textId="77777777" w:rsidTr="00E95C4C">
        <w:tc>
          <w:tcPr>
            <w:tcW w:w="2639" w:type="dxa"/>
            <w:gridSpan w:val="2"/>
          </w:tcPr>
          <w:p w14:paraId="4FDA2B79" w14:textId="77777777" w:rsidR="008D0431" w:rsidRPr="00277EBF" w:rsidRDefault="008D0431" w:rsidP="00E95C4C">
            <w:pPr>
              <w:spacing w:line="240" w:lineRule="auto"/>
              <w:rPr>
                <w:u w:val="single"/>
              </w:rPr>
            </w:pPr>
            <w:r w:rsidRPr="00277EBF">
              <w:rPr>
                <w:u w:val="single"/>
              </w:rPr>
              <w:lastRenderedPageBreak/>
              <w:t>Wachtkamerovereenkomst</w:t>
            </w:r>
          </w:p>
        </w:tc>
        <w:tc>
          <w:tcPr>
            <w:tcW w:w="5355" w:type="dxa"/>
          </w:tcPr>
          <w:p w14:paraId="7FC28E21" w14:textId="77777777" w:rsidR="008D0431" w:rsidRPr="00277EBF" w:rsidRDefault="008D0431" w:rsidP="00E95C4C">
            <w:pPr>
              <w:spacing w:line="240" w:lineRule="auto"/>
            </w:pPr>
            <w:r w:rsidRPr="00277EBF">
              <w:t xml:space="preserve">De overeenkomst die de Aanbestedende Dienst sluit met de Inschrijver die op grond van de Aanbestedingsprocedure eindigt als tweede in rang (zie gelijknamige Bijlage voor het concept van de Wachtkamerovereenkomst). </w:t>
            </w:r>
          </w:p>
        </w:tc>
      </w:tr>
    </w:tbl>
    <w:p w14:paraId="3BD8EF99" w14:textId="77777777" w:rsidR="00AE0F0C" w:rsidRPr="00AE0F0C" w:rsidRDefault="00AE0F0C" w:rsidP="00AE0F0C">
      <w:pPr>
        <w:spacing w:line="240" w:lineRule="auto"/>
      </w:pPr>
    </w:p>
    <w:p w14:paraId="579F4480" w14:textId="3C3F9673" w:rsidR="00A034A8" w:rsidRDefault="00A034A8" w:rsidP="005F5279">
      <w:pPr>
        <w:spacing w:line="240" w:lineRule="auto"/>
      </w:pPr>
    </w:p>
    <w:p w14:paraId="4D4DB401" w14:textId="5115A97A" w:rsidR="00732067" w:rsidRDefault="00732067"/>
    <w:p w14:paraId="38FF604F" w14:textId="6556E7FA" w:rsidR="00732067" w:rsidRDefault="00D02FBC">
      <w:pPr>
        <w:pStyle w:val="RapportKop1"/>
      </w:pPr>
      <w:bookmarkStart w:id="2" w:name="_Toc105606065"/>
      <w:r>
        <w:lastRenderedPageBreak/>
        <w:t>Aanbestedende Dienst en opdracht</w:t>
      </w:r>
      <w:bookmarkEnd w:id="2"/>
    </w:p>
    <w:p w14:paraId="381E774A" w14:textId="74AF7AD9" w:rsidR="00732067" w:rsidRPr="00937750" w:rsidRDefault="00732067" w:rsidP="00937750"/>
    <w:p w14:paraId="54CE8612" w14:textId="7F86AE18" w:rsidR="00732067" w:rsidRPr="00937750" w:rsidRDefault="00D02FBC" w:rsidP="00937750">
      <w:pPr>
        <w:pStyle w:val="RapportKop2"/>
      </w:pPr>
      <w:bookmarkStart w:id="3" w:name="_Toc105606066"/>
      <w:r>
        <w:t xml:space="preserve">De </w:t>
      </w:r>
      <w:r w:rsidR="00435B12" w:rsidRPr="00937750">
        <w:t>Tweede Kamer</w:t>
      </w:r>
      <w:bookmarkEnd w:id="3"/>
    </w:p>
    <w:p w14:paraId="2544ACE8" w14:textId="3E53927D" w:rsidR="00D02FBC" w:rsidRDefault="00823885" w:rsidP="00937750">
      <w:pPr>
        <w:rPr>
          <w:rFonts w:eastAsia="Verdana" w:cs="Verdana"/>
        </w:rPr>
      </w:pPr>
      <w:r w:rsidRPr="00937750">
        <w:rPr>
          <w:rFonts w:eastAsia="Verdana" w:cs="Verdana"/>
        </w:rPr>
        <w:t xml:space="preserve">De meeste mensen denken </w:t>
      </w:r>
      <w:r w:rsidR="00D02FBC">
        <w:rPr>
          <w:rFonts w:eastAsia="Verdana" w:cs="Verdana"/>
        </w:rPr>
        <w:t xml:space="preserve">bij de Tweede Kamer aan de 150 </w:t>
      </w:r>
      <w:r w:rsidR="003147E1">
        <w:rPr>
          <w:rFonts w:eastAsia="Verdana" w:cs="Verdana"/>
        </w:rPr>
        <w:t>K</w:t>
      </w:r>
      <w:r w:rsidR="003147E1" w:rsidRPr="00937750">
        <w:rPr>
          <w:rFonts w:eastAsia="Verdana" w:cs="Verdana"/>
        </w:rPr>
        <w:t>amerleden</w:t>
      </w:r>
      <w:r w:rsidRPr="00937750">
        <w:rPr>
          <w:rFonts w:eastAsia="Verdana" w:cs="Verdana"/>
        </w:rPr>
        <w:t xml:space="preserve"> en de debatten in de plenaire zaal. Daar speelt zich het parlementaire werk af dat iedereen kent: onze democratie in actie! </w:t>
      </w:r>
    </w:p>
    <w:p w14:paraId="235B4876" w14:textId="17CA0F57" w:rsidR="00D02FBC" w:rsidRDefault="00D02FBC" w:rsidP="00937750">
      <w:pPr>
        <w:rPr>
          <w:rFonts w:eastAsia="Verdana" w:cs="Verdana"/>
        </w:rPr>
      </w:pPr>
    </w:p>
    <w:p w14:paraId="3ED60ECA" w14:textId="059F5784" w:rsidR="00DD2C88" w:rsidRDefault="005A13EC" w:rsidP="00DD2C88">
      <w:pPr>
        <w:rPr>
          <w:rFonts w:eastAsia="Verdana" w:cs="Verdana"/>
        </w:rPr>
      </w:pPr>
      <w:r>
        <w:rPr>
          <w:rFonts w:eastAsia="Verdana" w:cs="Verdana"/>
        </w:rPr>
        <w:t xml:space="preserve">Los van het feit dat het parlementaire werk meer omvat dan </w:t>
      </w:r>
      <w:r w:rsidR="002823E5">
        <w:rPr>
          <w:rFonts w:eastAsia="Verdana" w:cs="Verdana"/>
        </w:rPr>
        <w:t>de debatten -</w:t>
      </w:r>
      <w:r w:rsidR="005D3898">
        <w:rPr>
          <w:rFonts w:eastAsia="Verdana" w:cs="Verdana"/>
        </w:rPr>
        <w:t xml:space="preserve"> </w:t>
      </w:r>
      <w:r w:rsidR="002823E5">
        <w:rPr>
          <w:rFonts w:eastAsia="Verdana" w:cs="Verdana"/>
        </w:rPr>
        <w:t xml:space="preserve">namelijk bijvoorbeeld ook </w:t>
      </w:r>
      <w:r w:rsidR="005D3898" w:rsidRPr="00937750">
        <w:rPr>
          <w:rFonts w:eastAsia="Verdana" w:cs="Verdana"/>
        </w:rPr>
        <w:t>commissievergaderingen, hoorzittingen, rondet</w:t>
      </w:r>
      <w:r w:rsidR="005D3898">
        <w:rPr>
          <w:rFonts w:eastAsia="Verdana" w:cs="Verdana"/>
        </w:rPr>
        <w:t>afelgesprekken en werkbezoeken</w:t>
      </w:r>
      <w:r w:rsidR="002823E5">
        <w:rPr>
          <w:rFonts w:eastAsia="Verdana" w:cs="Verdana"/>
        </w:rPr>
        <w:t xml:space="preserve"> -</w:t>
      </w:r>
      <w:r w:rsidR="005D3898">
        <w:rPr>
          <w:rFonts w:eastAsia="Verdana" w:cs="Verdana"/>
        </w:rPr>
        <w:t xml:space="preserve"> gaat achter </w:t>
      </w:r>
      <w:r w:rsidR="00DD2C88">
        <w:rPr>
          <w:rFonts w:eastAsia="Verdana" w:cs="Verdana"/>
        </w:rPr>
        <w:t xml:space="preserve">de Kamerleden die </w:t>
      </w:r>
      <w:r w:rsidR="005D3898">
        <w:rPr>
          <w:rFonts w:eastAsia="Verdana" w:cs="Verdana"/>
        </w:rPr>
        <w:t xml:space="preserve">het parlementaire werk </w:t>
      </w:r>
      <w:r w:rsidR="00DD2C88">
        <w:rPr>
          <w:rFonts w:eastAsia="Verdana" w:cs="Verdana"/>
        </w:rPr>
        <w:t xml:space="preserve">verrichten, </w:t>
      </w:r>
      <w:r w:rsidR="005D3898">
        <w:rPr>
          <w:rFonts w:eastAsia="Verdana" w:cs="Verdana"/>
        </w:rPr>
        <w:t>een organisatie schuil van ruim duizend mensen (ambtelijk personeel en ondersteunend personeel van de fracties)</w:t>
      </w:r>
      <w:r w:rsidR="00DD2C88">
        <w:rPr>
          <w:rFonts w:eastAsia="Verdana" w:cs="Verdana"/>
        </w:rPr>
        <w:t>. D</w:t>
      </w:r>
      <w:r w:rsidR="00A548BF">
        <w:rPr>
          <w:rFonts w:eastAsia="Verdana" w:cs="Verdana"/>
        </w:rPr>
        <w:t>i</w:t>
      </w:r>
      <w:r w:rsidR="00DD2C88">
        <w:rPr>
          <w:rFonts w:eastAsia="Verdana" w:cs="Verdana"/>
        </w:rPr>
        <w:t>e achterliggende organisatie zet zich</w:t>
      </w:r>
      <w:r w:rsidR="005D3898">
        <w:rPr>
          <w:rFonts w:eastAsia="Verdana" w:cs="Verdana"/>
        </w:rPr>
        <w:t xml:space="preserve"> dagelijks in </w:t>
      </w:r>
      <w:r w:rsidR="00DD2C88">
        <w:rPr>
          <w:rFonts w:eastAsia="Verdana" w:cs="Verdana"/>
        </w:rPr>
        <w:t xml:space="preserve">voor een soepel, professioneel en veilig verloop van het parlementaire werk. De ondersteuning </w:t>
      </w:r>
      <w:r w:rsidR="00A548BF">
        <w:rPr>
          <w:rFonts w:eastAsia="Verdana" w:cs="Verdana"/>
        </w:rPr>
        <w:t xml:space="preserve">door de organisatie </w:t>
      </w:r>
      <w:r w:rsidR="00DD2C88">
        <w:rPr>
          <w:rFonts w:eastAsia="Verdana" w:cs="Verdana"/>
        </w:rPr>
        <w:t>loopt uiteen van</w:t>
      </w:r>
      <w:r w:rsidR="00DD2C88" w:rsidRPr="00937750">
        <w:rPr>
          <w:rFonts w:eastAsia="Verdana" w:cs="Verdana"/>
        </w:rPr>
        <w:t xml:space="preserve"> het inhoudelijk en organisatorisch voorbereiden van vergaderingen tot catering, beveiliging, huisvesting, administratie en informatievoorziening.</w:t>
      </w:r>
      <w:r w:rsidR="00DD2C88">
        <w:rPr>
          <w:rFonts w:eastAsia="Verdana" w:cs="Verdana"/>
        </w:rPr>
        <w:t xml:space="preserve"> </w:t>
      </w:r>
    </w:p>
    <w:p w14:paraId="29F3FE34" w14:textId="23EF4F52" w:rsidR="005A13EC" w:rsidRDefault="005A13EC" w:rsidP="00937750">
      <w:pPr>
        <w:rPr>
          <w:rFonts w:eastAsia="Verdana" w:cs="Verdana"/>
        </w:rPr>
      </w:pPr>
    </w:p>
    <w:p w14:paraId="3F8D2D59" w14:textId="7103F75E" w:rsidR="00A548BF" w:rsidRDefault="002823E5" w:rsidP="00937750">
      <w:pPr>
        <w:rPr>
          <w:rFonts w:eastAsia="Verdana" w:cs="Verdana"/>
        </w:rPr>
      </w:pPr>
      <w:r>
        <w:rPr>
          <w:rFonts w:eastAsia="Verdana" w:cs="Verdana"/>
        </w:rPr>
        <w:t>D</w:t>
      </w:r>
      <w:r w:rsidR="00343F68">
        <w:rPr>
          <w:rFonts w:eastAsia="Verdana" w:cs="Verdana"/>
        </w:rPr>
        <w:t xml:space="preserve">e </w:t>
      </w:r>
      <w:r>
        <w:rPr>
          <w:rFonts w:eastAsia="Verdana" w:cs="Verdana"/>
        </w:rPr>
        <w:t xml:space="preserve">Aanbestedingsprocedure wordt gevoerd door </w:t>
      </w:r>
      <w:r w:rsidR="00343F68">
        <w:rPr>
          <w:rFonts w:eastAsia="Verdana" w:cs="Verdana"/>
        </w:rPr>
        <w:t>de ondersteunende</w:t>
      </w:r>
      <w:r w:rsidR="000F6015">
        <w:rPr>
          <w:rFonts w:eastAsia="Verdana" w:cs="Verdana"/>
        </w:rPr>
        <w:t xml:space="preserve"> ambtelijke organisatie</w:t>
      </w:r>
      <w:r w:rsidR="00343F68">
        <w:rPr>
          <w:rFonts w:eastAsia="Verdana" w:cs="Verdana"/>
        </w:rPr>
        <w:t xml:space="preserve"> van de Tweede Kamer der </w:t>
      </w:r>
      <w:r w:rsidR="005931A6">
        <w:rPr>
          <w:rFonts w:eastAsia="Verdana" w:cs="Verdana"/>
        </w:rPr>
        <w:t>Staten-Generaal ten behoeve van</w:t>
      </w:r>
      <w:r w:rsidR="005931A6" w:rsidRPr="005931A6">
        <w:t xml:space="preserve"> </w:t>
      </w:r>
      <w:r w:rsidR="008B162A" w:rsidRPr="008B162A">
        <w:t>Dienst Verslag en Redactie (DVR</w:t>
      </w:r>
      <w:r w:rsidR="008B162A">
        <w:t>)</w:t>
      </w:r>
      <w:r w:rsidR="005931A6">
        <w:rPr>
          <w:rFonts w:eastAsia="Verdana" w:cs="Verdana"/>
        </w:rPr>
        <w:t>.</w:t>
      </w:r>
    </w:p>
    <w:p w14:paraId="5314B961" w14:textId="3A87B046" w:rsidR="00B36855" w:rsidRDefault="00B36855" w:rsidP="00937750">
      <w:pPr>
        <w:rPr>
          <w:rFonts w:eastAsia="Verdana" w:cs="Verdana"/>
        </w:rPr>
      </w:pPr>
    </w:p>
    <w:p w14:paraId="36DECE19" w14:textId="25035873" w:rsidR="00B36855" w:rsidRPr="00B01284" w:rsidRDefault="008B162A" w:rsidP="00B36855">
      <w:pPr>
        <w:rPr>
          <w:b/>
          <w:u w:val="single"/>
        </w:rPr>
      </w:pPr>
      <w:r w:rsidRPr="00B01284">
        <w:rPr>
          <w:b/>
          <w:u w:val="single"/>
        </w:rPr>
        <w:t>Dienst Verslag en Redactie (DVR)</w:t>
      </w:r>
    </w:p>
    <w:p w14:paraId="0AEE8605" w14:textId="246EB672" w:rsidR="008B162A" w:rsidRPr="00B01284" w:rsidRDefault="008B162A" w:rsidP="008B162A"/>
    <w:p w14:paraId="1D931415" w14:textId="77777777" w:rsidR="00B01284" w:rsidRPr="00B01284" w:rsidRDefault="00B01284" w:rsidP="00B01284">
      <w:pPr>
        <w:rPr>
          <w:iCs/>
        </w:rPr>
      </w:pPr>
      <w:r w:rsidRPr="00B01284">
        <w:rPr>
          <w:iCs/>
        </w:rPr>
        <w:t>De Dienst Verslag en Redactie (DVR) maakt geredigeerd woordelijke verslagen van de plenaire vergaderingen van de Tweede en de Eerste Kamer, wetgevings- en nota overleggen, algemeen overleggen, mondelinge overleggen van commissies van de Eerste Kamer, rondetafelgesprekken, hoorzittingen en gesprekken in het kader van onderzoeks- en enquêtecommissies, zowel besloten als openbaar.</w:t>
      </w:r>
    </w:p>
    <w:p w14:paraId="10C325BD" w14:textId="77777777" w:rsidR="00B01284" w:rsidRDefault="00B01284" w:rsidP="00B01284">
      <w:pPr>
        <w:rPr>
          <w:iCs/>
        </w:rPr>
      </w:pPr>
    </w:p>
    <w:p w14:paraId="2E763E73" w14:textId="37B75EF8" w:rsidR="00B01284" w:rsidRPr="00B01284" w:rsidRDefault="00B01284" w:rsidP="00B01284">
      <w:pPr>
        <w:rPr>
          <w:iCs/>
        </w:rPr>
      </w:pPr>
      <w:r w:rsidRPr="00B01284">
        <w:rPr>
          <w:iCs/>
        </w:rPr>
        <w:t>Daarnaast maakt de DVR korte web verslagen over onderwerpen die in de plenaire vergadering van de Tweede Kamer aan de orde komen. Voor andere diensten van de Tweede Kamer verricht de DVR redigeer- en vertaalwerkzaamheden. Verder levert de DVR-gegevens aan voor de ontsluiting van de video's van debatten die te zien zijn in de applicaties Debat Direct en Debat Gemist. Tevens zorgt de DVR voor live ondertiteling van het vragenuur van de Tweede Kamer op dinsdag.</w:t>
      </w:r>
    </w:p>
    <w:p w14:paraId="09468CEF" w14:textId="77777777" w:rsidR="00B01284" w:rsidRPr="00B01284" w:rsidRDefault="00B01284" w:rsidP="00B01284">
      <w:pPr>
        <w:rPr>
          <w:iCs/>
        </w:rPr>
      </w:pPr>
    </w:p>
    <w:p w14:paraId="7299676A" w14:textId="77777777" w:rsidR="00B01284" w:rsidRPr="00B01284" w:rsidRDefault="00B01284" w:rsidP="00B01284">
      <w:pPr>
        <w:rPr>
          <w:iCs/>
        </w:rPr>
      </w:pPr>
      <w:r w:rsidRPr="00B01284">
        <w:rPr>
          <w:iCs/>
        </w:rPr>
        <w:t xml:space="preserve">De medewerkers Verslag en Redactie (V&amp;R) noteren in de vergaderzaal wie er aan het woord is en wat er gebeurt. Deze markeringen worden gebruikt voor duiding van het debat voor het publiek. Ook maken de medewerkers aantekeningen bij het debat, die zij op hun eigen werkplek verder uitwerken tot een geredigeerd woordelijk verslag. Dit wordt ook wel het stenogram of de Handelingen genoemd. </w:t>
      </w:r>
    </w:p>
    <w:p w14:paraId="02214F5D" w14:textId="7DB5D74D" w:rsidR="00B01284" w:rsidRPr="00B01284" w:rsidRDefault="00B01284" w:rsidP="00B01284">
      <w:pPr>
        <w:rPr>
          <w:iCs/>
        </w:rPr>
      </w:pPr>
      <w:r w:rsidRPr="00B01284">
        <w:rPr>
          <w:iCs/>
        </w:rPr>
        <w:lastRenderedPageBreak/>
        <w:t>VLOS, het Verslag Legging Ondersteunend Systeem, een softwareapplicatie, is in de afgelopen jaren ontwikkeld en in gebruik genomen door de Dienst Verslag en Redactie (DVR) ter ondersteuning van de werkprocessen.</w:t>
      </w:r>
      <w:r>
        <w:rPr>
          <w:iCs/>
        </w:rPr>
        <w:t xml:space="preserve"> Vergelijk in dit verband bijlage @@.</w:t>
      </w:r>
    </w:p>
    <w:p w14:paraId="52EE4E05" w14:textId="77777777" w:rsidR="00B01284" w:rsidRPr="00B01284" w:rsidRDefault="00B01284" w:rsidP="00B01284">
      <w:pPr>
        <w:rPr>
          <w:iCs/>
        </w:rPr>
      </w:pPr>
    </w:p>
    <w:p w14:paraId="63A4C782" w14:textId="77777777" w:rsidR="00B01284" w:rsidRPr="00B01284" w:rsidRDefault="00B01284" w:rsidP="00B01284">
      <w:pPr>
        <w:rPr>
          <w:iCs/>
          <w:u w:val="single"/>
        </w:rPr>
      </w:pPr>
      <w:r w:rsidRPr="00B01284">
        <w:rPr>
          <w:iCs/>
          <w:u w:val="single"/>
        </w:rPr>
        <w:t>Geredigeerde woordelijke verslagen (in VLOS)</w:t>
      </w:r>
    </w:p>
    <w:p w14:paraId="1B33E83E" w14:textId="0AA7D50B" w:rsidR="00B01284" w:rsidRPr="00B01284" w:rsidRDefault="00B01284" w:rsidP="00B01284">
      <w:pPr>
        <w:rPr>
          <w:iCs/>
        </w:rPr>
      </w:pPr>
      <w:r w:rsidRPr="00B01284">
        <w:rPr>
          <w:iCs/>
        </w:rPr>
        <w:t xml:space="preserve"> </w:t>
      </w:r>
    </w:p>
    <w:p w14:paraId="31615583" w14:textId="77777777" w:rsidR="00B01284" w:rsidRPr="00B01284" w:rsidRDefault="00B01284" w:rsidP="00B01284">
      <w:pPr>
        <w:rPr>
          <w:iCs/>
        </w:rPr>
      </w:pPr>
      <w:r w:rsidRPr="00B01284">
        <w:rPr>
          <w:iCs/>
        </w:rPr>
        <w:t xml:space="preserve">Kerntaak van de DVR is het maken van geredigeerde woordelijke verslagen van: </w:t>
      </w:r>
    </w:p>
    <w:p w14:paraId="7E1A44E6" w14:textId="77777777" w:rsidR="00B01284" w:rsidRPr="00B01284" w:rsidRDefault="00B01284" w:rsidP="00B01284">
      <w:pPr>
        <w:numPr>
          <w:ilvl w:val="0"/>
          <w:numId w:val="36"/>
        </w:numPr>
        <w:rPr>
          <w:iCs/>
        </w:rPr>
      </w:pPr>
      <w:r w:rsidRPr="00B01284">
        <w:rPr>
          <w:iCs/>
        </w:rPr>
        <w:t xml:space="preserve">De plenaire vergadering van de Tweede en de Eerste Kamer en de Verenigde Vergadering van beide Kamers; </w:t>
      </w:r>
    </w:p>
    <w:p w14:paraId="50D2223E" w14:textId="77777777" w:rsidR="00B01284" w:rsidRPr="00B01284" w:rsidRDefault="00B01284" w:rsidP="00B01284">
      <w:pPr>
        <w:numPr>
          <w:ilvl w:val="0"/>
          <w:numId w:val="37"/>
        </w:numPr>
        <w:rPr>
          <w:iCs/>
        </w:rPr>
      </w:pPr>
      <w:r w:rsidRPr="00B01284">
        <w:rPr>
          <w:iCs/>
        </w:rPr>
        <w:t xml:space="preserve">Wetgevings-, begrotings- en nota overleggen; </w:t>
      </w:r>
    </w:p>
    <w:p w14:paraId="28787393" w14:textId="77777777" w:rsidR="00B01284" w:rsidRPr="00B01284" w:rsidRDefault="00B01284" w:rsidP="00B01284">
      <w:pPr>
        <w:numPr>
          <w:ilvl w:val="0"/>
          <w:numId w:val="37"/>
        </w:numPr>
        <w:rPr>
          <w:iCs/>
        </w:rPr>
      </w:pPr>
      <w:r w:rsidRPr="00B01284">
        <w:rPr>
          <w:iCs/>
        </w:rPr>
        <w:t xml:space="preserve">Commissiedebatten; </w:t>
      </w:r>
    </w:p>
    <w:p w14:paraId="2FF69A15" w14:textId="77777777" w:rsidR="00B01284" w:rsidRPr="00B01284" w:rsidRDefault="00B01284" w:rsidP="00B01284">
      <w:pPr>
        <w:numPr>
          <w:ilvl w:val="0"/>
          <w:numId w:val="37"/>
        </w:numPr>
        <w:rPr>
          <w:iCs/>
        </w:rPr>
      </w:pPr>
      <w:r w:rsidRPr="00B01284">
        <w:rPr>
          <w:iCs/>
        </w:rPr>
        <w:t xml:space="preserve">Mondelinge overleggen van commissies, commissiedebatten van de Eerste Kamer; </w:t>
      </w:r>
    </w:p>
    <w:p w14:paraId="2281DCA4" w14:textId="77777777" w:rsidR="00B01284" w:rsidRPr="00B01284" w:rsidRDefault="00B01284" w:rsidP="00B01284">
      <w:pPr>
        <w:numPr>
          <w:ilvl w:val="0"/>
          <w:numId w:val="37"/>
        </w:numPr>
        <w:rPr>
          <w:iCs/>
        </w:rPr>
      </w:pPr>
      <w:r w:rsidRPr="00B01284">
        <w:rPr>
          <w:iCs/>
        </w:rPr>
        <w:t xml:space="preserve">Rondetafelgesprekken, hoorzittingen, technische briefings en procedurevergaderingen; </w:t>
      </w:r>
    </w:p>
    <w:p w14:paraId="6AFA3E37" w14:textId="77777777" w:rsidR="00B01284" w:rsidRPr="00B01284" w:rsidRDefault="00B01284" w:rsidP="00B01284">
      <w:pPr>
        <w:numPr>
          <w:ilvl w:val="0"/>
          <w:numId w:val="37"/>
        </w:numPr>
        <w:rPr>
          <w:iCs/>
        </w:rPr>
      </w:pPr>
      <w:r w:rsidRPr="00B01284">
        <w:rPr>
          <w:iCs/>
        </w:rPr>
        <w:t xml:space="preserve">Gesprekken in het kader van onderzoek- en enquêtecommissies (zowel besloten als openbaar). </w:t>
      </w:r>
    </w:p>
    <w:p w14:paraId="1D31BE7E" w14:textId="77777777" w:rsidR="00B01284" w:rsidRPr="00B01284" w:rsidRDefault="00B01284" w:rsidP="00B01284">
      <w:pPr>
        <w:numPr>
          <w:ilvl w:val="0"/>
          <w:numId w:val="37"/>
        </w:numPr>
        <w:rPr>
          <w:iCs/>
        </w:rPr>
      </w:pPr>
      <w:r w:rsidRPr="00B01284">
        <w:rPr>
          <w:iCs/>
        </w:rPr>
        <w:t xml:space="preserve">Aan één verslag werken soms meer dan dertig mensen, voornamelijk medewerkers Verslag en Redactie. Het verslag van de plenaire vergadering is uiterlijk twee uur na uitspreken in conceptvorm op internet en intranet te lezen. Correcties op spreekteksten kunnen worden door de sprekers ingediend via een specifiek ontwikkelde speciale VLOS-correctiewebsite. </w:t>
      </w:r>
    </w:p>
    <w:p w14:paraId="18659AA7" w14:textId="77777777" w:rsidR="00B01284" w:rsidRPr="00B01284" w:rsidRDefault="00B01284" w:rsidP="00B01284">
      <w:pPr>
        <w:rPr>
          <w:iCs/>
        </w:rPr>
      </w:pPr>
    </w:p>
    <w:p w14:paraId="0CEAB8F6" w14:textId="77777777" w:rsidR="00B01284" w:rsidRPr="00B01284" w:rsidRDefault="00B01284" w:rsidP="00B01284">
      <w:pPr>
        <w:rPr>
          <w:iCs/>
        </w:rPr>
      </w:pPr>
      <w:r w:rsidRPr="00B01284">
        <w:rPr>
          <w:iCs/>
        </w:rPr>
        <w:t xml:space="preserve">De verslagen van de commissiedebatten worden door enkele medewerkers Verslag en Redactie uitgewerkt. Het duurt gemiddeld vijf werkdagen voordat zo'n verslag in conceptvorm gereed is. </w:t>
      </w:r>
    </w:p>
    <w:p w14:paraId="23C66300" w14:textId="77777777" w:rsidR="00B01284" w:rsidRPr="00B01284" w:rsidRDefault="00B01284" w:rsidP="00B01284">
      <w:pPr>
        <w:rPr>
          <w:iCs/>
        </w:rPr>
      </w:pPr>
    </w:p>
    <w:p w14:paraId="0CD0C23B" w14:textId="11D23B85" w:rsidR="00B01284" w:rsidRPr="00B01284" w:rsidRDefault="00B01284" w:rsidP="00B01284">
      <w:pPr>
        <w:rPr>
          <w:iCs/>
          <w:u w:val="single"/>
        </w:rPr>
      </w:pPr>
      <w:r w:rsidRPr="00B01284">
        <w:rPr>
          <w:iCs/>
          <w:u w:val="single"/>
        </w:rPr>
        <w:t xml:space="preserve">Debat Gemist (op basis van VLOS) </w:t>
      </w:r>
    </w:p>
    <w:p w14:paraId="5ED2A967" w14:textId="77777777" w:rsidR="00B01284" w:rsidRDefault="00B01284" w:rsidP="00B01284">
      <w:pPr>
        <w:rPr>
          <w:iCs/>
        </w:rPr>
      </w:pPr>
    </w:p>
    <w:p w14:paraId="3FB812FF" w14:textId="5844B4A3" w:rsidR="00B01284" w:rsidRPr="00B01284" w:rsidRDefault="00B01284" w:rsidP="00B01284">
      <w:pPr>
        <w:rPr>
          <w:iCs/>
        </w:rPr>
      </w:pPr>
      <w:r w:rsidRPr="00B01284">
        <w:rPr>
          <w:iCs/>
        </w:rPr>
        <w:t xml:space="preserve">De DVR is eigenaar van de applicatie Debat Gemist. De VLOS-markeringen die door de medewerkers V&amp;R tijdens het debat in de Tweede Kamer ten behoeve van verslaglegging worden gemaakt, worden ook gebruikt voor de videoapplicatie Debat Gemist. Met deze applicatie kunnen op debatgemist.tweedekamer.nl plenaire debatten van de Tweede Kamer worden teruggekeken. De DVR heeft in 2014 het beheer van de applicatie Debat Gemist overgenomen van de Dienst Communicatie en controleert de gepubliceerde debatten dagelijks op volledigheid. Functioneel beheer van de DVR handelt ook foutmeldingen, opmerkingen en suggesties af die gebruikers via het Debat Gemist-contactformulier sturen. De website zelf wordt beheerd door Communicatie. </w:t>
      </w:r>
    </w:p>
    <w:p w14:paraId="13BD9802" w14:textId="77777777" w:rsidR="00B01284" w:rsidRPr="00B01284" w:rsidRDefault="00B01284" w:rsidP="00B01284">
      <w:pPr>
        <w:rPr>
          <w:iCs/>
        </w:rPr>
      </w:pPr>
    </w:p>
    <w:p w14:paraId="6B7D3042" w14:textId="2BB46D32" w:rsidR="00B01284" w:rsidRPr="00B01284" w:rsidRDefault="00B01284" w:rsidP="00B01284">
      <w:pPr>
        <w:rPr>
          <w:iCs/>
          <w:u w:val="single"/>
        </w:rPr>
      </w:pPr>
      <w:r w:rsidRPr="00B01284">
        <w:rPr>
          <w:iCs/>
          <w:u w:val="single"/>
        </w:rPr>
        <w:t xml:space="preserve">Debat Direct (op basis van VLOS) </w:t>
      </w:r>
    </w:p>
    <w:p w14:paraId="05C5C282" w14:textId="77777777" w:rsidR="00B01284" w:rsidRDefault="00B01284" w:rsidP="00B01284">
      <w:pPr>
        <w:rPr>
          <w:iCs/>
        </w:rPr>
      </w:pPr>
    </w:p>
    <w:p w14:paraId="3CB14246" w14:textId="7DF6F299" w:rsidR="00B01284" w:rsidRPr="00B01284" w:rsidRDefault="00B01284" w:rsidP="00B01284">
      <w:pPr>
        <w:rPr>
          <w:iCs/>
        </w:rPr>
      </w:pPr>
      <w:r w:rsidRPr="00B01284">
        <w:rPr>
          <w:iCs/>
        </w:rPr>
        <w:t xml:space="preserve">De DVR is eigenaar van de applicatie Debat Direct. Middels deze app kunnen alle vergaderingen van de Tweede Kamer live gevolgd worden, inclusief live metadata over </w:t>
      </w:r>
      <w:r w:rsidRPr="00B01284">
        <w:rPr>
          <w:iCs/>
        </w:rPr>
        <w:lastRenderedPageBreak/>
        <w:t>sprekers en agenda, bio's van Kamer- en kabinetsleden, plek in de zaal, notificaties wanneer een gekozen Kamerlid het woord voert, etc. De app wordt hiervoor gevoed met de hierboven genoemde markeringen van de medewerkers V&amp;R. De agenda-informatie wordt voorbereid door de procesmedewerkers. De webversie van Debat Direct is te vinden op debatdirect.tweedekamer.nl.</w:t>
      </w:r>
    </w:p>
    <w:p w14:paraId="7748394A" w14:textId="77777777" w:rsidR="00B01284" w:rsidRPr="00B01284" w:rsidRDefault="00B01284" w:rsidP="00B01284"/>
    <w:p w14:paraId="28CABF20" w14:textId="0CFDF40E" w:rsidR="00B01284" w:rsidRDefault="00B01284" w:rsidP="00B01284">
      <w:pPr>
        <w:rPr>
          <w:iCs/>
        </w:rPr>
      </w:pPr>
      <w:r w:rsidRPr="00B01284">
        <w:rPr>
          <w:iCs/>
        </w:rPr>
        <w:t xml:space="preserve">Indicatie vergadertijden Tweede Kamer: </w:t>
      </w:r>
    </w:p>
    <w:p w14:paraId="058872D0" w14:textId="77777777" w:rsidR="00B01284" w:rsidRPr="00B01284" w:rsidRDefault="00B01284" w:rsidP="00B01284">
      <w:pPr>
        <w:rPr>
          <w:iCs/>
        </w:rPr>
      </w:pPr>
    </w:p>
    <w:p w14:paraId="0512F031" w14:textId="77777777" w:rsidR="00B01284" w:rsidRPr="00B01284" w:rsidRDefault="00B01284" w:rsidP="00B01284">
      <w:pPr>
        <w:numPr>
          <w:ilvl w:val="0"/>
          <w:numId w:val="38"/>
        </w:numPr>
        <w:rPr>
          <w:iCs/>
        </w:rPr>
      </w:pPr>
      <w:r w:rsidRPr="00B01284">
        <w:rPr>
          <w:iCs/>
        </w:rPr>
        <w:t xml:space="preserve">Plenaire Vergaderingen: </w:t>
      </w:r>
    </w:p>
    <w:p w14:paraId="429538CE" w14:textId="77777777" w:rsidR="00B01284" w:rsidRPr="00B01284" w:rsidRDefault="00B01284" w:rsidP="00B01284">
      <w:pPr>
        <w:numPr>
          <w:ilvl w:val="1"/>
          <w:numId w:val="38"/>
        </w:numPr>
        <w:rPr>
          <w:iCs/>
        </w:rPr>
      </w:pPr>
      <w:r w:rsidRPr="00B01284">
        <w:rPr>
          <w:iCs/>
        </w:rPr>
        <w:t>Dinsdag 13:00 – ca. 23:00 uur;</w:t>
      </w:r>
    </w:p>
    <w:p w14:paraId="71B108BB" w14:textId="77777777" w:rsidR="00B01284" w:rsidRPr="00B01284" w:rsidRDefault="00B01284" w:rsidP="00B01284">
      <w:pPr>
        <w:numPr>
          <w:ilvl w:val="1"/>
          <w:numId w:val="38"/>
        </w:numPr>
        <w:rPr>
          <w:iCs/>
        </w:rPr>
      </w:pPr>
      <w:r w:rsidRPr="00B01284">
        <w:rPr>
          <w:iCs/>
        </w:rPr>
        <w:t> Woensdag 10:00 – ca. 23:00 uur;</w:t>
      </w:r>
    </w:p>
    <w:p w14:paraId="2FA8DC3B" w14:textId="77777777" w:rsidR="00B01284" w:rsidRPr="00B01284" w:rsidRDefault="00B01284" w:rsidP="00B01284">
      <w:pPr>
        <w:numPr>
          <w:ilvl w:val="1"/>
          <w:numId w:val="38"/>
        </w:numPr>
        <w:rPr>
          <w:iCs/>
        </w:rPr>
      </w:pPr>
      <w:r w:rsidRPr="00B01284">
        <w:rPr>
          <w:iCs/>
        </w:rPr>
        <w:t> Donderdag 10:00 – ca. 23:00 uur.</w:t>
      </w:r>
    </w:p>
    <w:p w14:paraId="7C15854B" w14:textId="77777777" w:rsidR="00B01284" w:rsidRPr="00B01284" w:rsidRDefault="00B01284" w:rsidP="00B01284">
      <w:pPr>
        <w:numPr>
          <w:ilvl w:val="0"/>
          <w:numId w:val="38"/>
        </w:numPr>
        <w:rPr>
          <w:iCs/>
        </w:rPr>
      </w:pPr>
      <w:r w:rsidRPr="00B01284">
        <w:rPr>
          <w:iCs/>
        </w:rPr>
        <w:t xml:space="preserve">Openbare Commissie Vergaderingen: </w:t>
      </w:r>
    </w:p>
    <w:p w14:paraId="60A7817C" w14:textId="77777777" w:rsidR="00B01284" w:rsidRPr="00B01284" w:rsidRDefault="00B01284" w:rsidP="00B01284">
      <w:pPr>
        <w:numPr>
          <w:ilvl w:val="1"/>
          <w:numId w:val="38"/>
        </w:numPr>
        <w:rPr>
          <w:iCs/>
        </w:rPr>
      </w:pPr>
      <w:r w:rsidRPr="00B01284">
        <w:rPr>
          <w:iCs/>
        </w:rPr>
        <w:t>Maandag t/m donderdag, meestal onder kantoortijden;</w:t>
      </w:r>
    </w:p>
    <w:p w14:paraId="151F59FA" w14:textId="77777777" w:rsidR="00B01284" w:rsidRPr="00B01284" w:rsidRDefault="00B01284" w:rsidP="00B01284">
      <w:pPr>
        <w:numPr>
          <w:ilvl w:val="1"/>
          <w:numId w:val="38"/>
        </w:numPr>
        <w:rPr>
          <w:iCs/>
        </w:rPr>
      </w:pPr>
      <w:r w:rsidRPr="00B01284">
        <w:rPr>
          <w:iCs/>
        </w:rPr>
        <w:t xml:space="preserve"> Vrijdag: Zeldzaam. </w:t>
      </w:r>
    </w:p>
    <w:p w14:paraId="16CA1FF3" w14:textId="77777777" w:rsidR="00B01284" w:rsidRDefault="00B01284" w:rsidP="00B01284">
      <w:pPr>
        <w:rPr>
          <w:iCs/>
        </w:rPr>
      </w:pPr>
    </w:p>
    <w:p w14:paraId="6ECB7CD2" w14:textId="5D22B016" w:rsidR="00B01284" w:rsidRPr="00B01284" w:rsidRDefault="00B01284" w:rsidP="00B01284">
      <w:pPr>
        <w:rPr>
          <w:iCs/>
        </w:rPr>
      </w:pPr>
      <w:r w:rsidRPr="00B01284">
        <w:rPr>
          <w:iCs/>
        </w:rPr>
        <w:t xml:space="preserve">Eerste en Tweede Kamer: </w:t>
      </w:r>
    </w:p>
    <w:p w14:paraId="0F807C8D" w14:textId="77777777" w:rsidR="00B01284" w:rsidRPr="00B01284" w:rsidRDefault="00B01284" w:rsidP="00B01284">
      <w:pPr>
        <w:numPr>
          <w:ilvl w:val="0"/>
          <w:numId w:val="39"/>
        </w:numPr>
        <w:rPr>
          <w:iCs/>
        </w:rPr>
      </w:pPr>
      <w:r w:rsidRPr="00B01284">
        <w:rPr>
          <w:iCs/>
        </w:rPr>
        <w:t>Verenigde Vergaderingen (bij bijzondere gebeurtenissen zoals Prinsjesdag, Kroning, Overlijden, e.d.);</w:t>
      </w:r>
    </w:p>
    <w:p w14:paraId="5176BC3A" w14:textId="77777777" w:rsidR="00B01284" w:rsidRDefault="00B01284" w:rsidP="00B01284">
      <w:pPr>
        <w:rPr>
          <w:iCs/>
        </w:rPr>
      </w:pPr>
    </w:p>
    <w:p w14:paraId="4F36F53A" w14:textId="1EAF9869" w:rsidR="00B01284" w:rsidRPr="00B01284" w:rsidRDefault="00B01284" w:rsidP="00B01284">
      <w:pPr>
        <w:rPr>
          <w:iCs/>
        </w:rPr>
      </w:pPr>
      <w:r w:rsidRPr="00B01284">
        <w:rPr>
          <w:iCs/>
        </w:rPr>
        <w:t xml:space="preserve">Indicatie omvang vergaderuren: </w:t>
      </w:r>
    </w:p>
    <w:p w14:paraId="0A6AA144" w14:textId="77777777" w:rsidR="00B01284" w:rsidRPr="00B01284" w:rsidRDefault="00B01284" w:rsidP="00B01284">
      <w:pPr>
        <w:numPr>
          <w:ilvl w:val="0"/>
          <w:numId w:val="39"/>
        </w:numPr>
        <w:rPr>
          <w:iCs/>
        </w:rPr>
      </w:pPr>
      <w:r w:rsidRPr="00B01284">
        <w:rPr>
          <w:iCs/>
        </w:rPr>
        <w:t>Tweede Kamer plenair: ca. 1.100 uur/ jaar;</w:t>
      </w:r>
    </w:p>
    <w:p w14:paraId="37B97676" w14:textId="77777777" w:rsidR="00B01284" w:rsidRPr="00B01284" w:rsidRDefault="00B01284" w:rsidP="00B01284">
      <w:pPr>
        <w:numPr>
          <w:ilvl w:val="0"/>
          <w:numId w:val="39"/>
        </w:numPr>
        <w:rPr>
          <w:iCs/>
        </w:rPr>
      </w:pPr>
      <w:r w:rsidRPr="00B01284">
        <w:rPr>
          <w:iCs/>
        </w:rPr>
        <w:t>Tweede Kamer commissiedebatten: ca. 1.300 uur/ jaar;</w:t>
      </w:r>
    </w:p>
    <w:p w14:paraId="61024EA7" w14:textId="77777777" w:rsidR="00B01284" w:rsidRPr="00B01284" w:rsidRDefault="00B01284" w:rsidP="00B01284">
      <w:pPr>
        <w:numPr>
          <w:ilvl w:val="0"/>
          <w:numId w:val="39"/>
        </w:numPr>
        <w:rPr>
          <w:iCs/>
        </w:rPr>
      </w:pPr>
      <w:r w:rsidRPr="00B01284">
        <w:rPr>
          <w:iCs/>
        </w:rPr>
        <w:t xml:space="preserve">Verenigde Vergadering: ca 4 uur/ jaar. </w:t>
      </w:r>
    </w:p>
    <w:p w14:paraId="6D826C53" w14:textId="155F456B" w:rsidR="008B162A" w:rsidRPr="00B01284" w:rsidRDefault="008B162A" w:rsidP="008B162A"/>
    <w:p w14:paraId="1F786494" w14:textId="70FCDE86" w:rsidR="00183A1A" w:rsidRDefault="005931A6" w:rsidP="00937750">
      <w:pPr>
        <w:rPr>
          <w:rFonts w:eastAsia="Verdana" w:cs="Verdana"/>
        </w:rPr>
      </w:pPr>
      <w:r>
        <w:rPr>
          <w:rFonts w:eastAsia="Verdana" w:cs="Verdana"/>
        </w:rPr>
        <w:t>D</w:t>
      </w:r>
      <w:r w:rsidR="00183A1A">
        <w:rPr>
          <w:rFonts w:eastAsia="Verdana" w:cs="Verdana"/>
        </w:rPr>
        <w:t>e adresgegevens van de Tweede Kamer zijn:</w:t>
      </w:r>
    </w:p>
    <w:p w14:paraId="66E79958" w14:textId="65FF908C" w:rsidR="00435B12" w:rsidRDefault="005931A6" w:rsidP="00937750">
      <w:pPr>
        <w:rPr>
          <w:rFonts w:eastAsia="Verdana" w:cs="Verdana"/>
        </w:rPr>
      </w:pPr>
      <w:r>
        <w:rPr>
          <w:rFonts w:eastAsia="Verdana" w:cs="Verdana"/>
        </w:rPr>
        <w:t>Bezuidenhoutseweg 67, 2594 AC</w:t>
      </w:r>
      <w:r w:rsidR="00183A1A">
        <w:rPr>
          <w:rFonts w:eastAsia="Verdana" w:cs="Verdana"/>
        </w:rPr>
        <w:t xml:space="preserve"> Den Haag.</w:t>
      </w:r>
    </w:p>
    <w:p w14:paraId="1701581D" w14:textId="729D08A9" w:rsidR="00183A1A" w:rsidRDefault="00183A1A" w:rsidP="00DE67AC">
      <w:pPr>
        <w:jc w:val="right"/>
        <w:rPr>
          <w:rFonts w:eastAsia="Verdana" w:cs="Verdana"/>
        </w:rPr>
      </w:pPr>
    </w:p>
    <w:p w14:paraId="0D62281E" w14:textId="44B9F37C" w:rsidR="00183A1A" w:rsidRDefault="00183A1A" w:rsidP="00937750">
      <w:pPr>
        <w:rPr>
          <w:rFonts w:eastAsia="Verdana" w:cs="Verdana"/>
        </w:rPr>
      </w:pPr>
      <w:r>
        <w:rPr>
          <w:rFonts w:eastAsia="Verdana" w:cs="Verdana"/>
        </w:rPr>
        <w:t xml:space="preserve">Nadere informatie over de Tweede Kamer staat op de website: </w:t>
      </w:r>
      <w:hyperlink r:id="rId15" w:history="1">
        <w:r w:rsidRPr="00F866AA">
          <w:rPr>
            <w:rStyle w:val="Hyperlink"/>
            <w:rFonts w:eastAsia="Verdana" w:cs="Verdana"/>
          </w:rPr>
          <w:t>www.tweedekamer.nl</w:t>
        </w:r>
      </w:hyperlink>
      <w:r>
        <w:rPr>
          <w:rFonts w:eastAsia="Verdana" w:cs="Verdana"/>
        </w:rPr>
        <w:t xml:space="preserve">. </w:t>
      </w:r>
    </w:p>
    <w:p w14:paraId="2CBEAF72" w14:textId="77777777" w:rsidR="00183A1A" w:rsidRPr="00937750" w:rsidRDefault="00183A1A" w:rsidP="00937750"/>
    <w:p w14:paraId="004FB044" w14:textId="7FBC2B8D" w:rsidR="00D502A1" w:rsidRDefault="008B51A1" w:rsidP="008B51A1">
      <w:pPr>
        <w:pStyle w:val="RapportKop2"/>
      </w:pPr>
      <w:bookmarkStart w:id="4" w:name="_Toc105606067"/>
      <w:r>
        <w:t>Contactpersoon</w:t>
      </w:r>
      <w:bookmarkEnd w:id="4"/>
    </w:p>
    <w:p w14:paraId="5D29706D" w14:textId="605D0E7B" w:rsidR="002A2D37" w:rsidRDefault="002A2D37" w:rsidP="002A2D37">
      <w:r>
        <w:t xml:space="preserve">Communicatie in het kader van de Aanbestedingsprocedure dient – op straffe van uitsluiting - plaats te vinden via TenderNed. Rechtstreeks contact tussen de </w:t>
      </w:r>
      <w:r w:rsidR="008D0431">
        <w:t xml:space="preserve">Inschrijver </w:t>
      </w:r>
      <w:r>
        <w:t>en de Tweede Kamer is evenwel toegestaan in (uitsluitend) de onderstaande gevallen:</w:t>
      </w:r>
    </w:p>
    <w:p w14:paraId="19CAFE76" w14:textId="77777777" w:rsidR="002A2D37" w:rsidRDefault="002A2D37" w:rsidP="002A2D37"/>
    <w:p w14:paraId="1B90A7D2" w14:textId="3B017788" w:rsidR="002A2D37" w:rsidRDefault="002A2D37" w:rsidP="00B01284">
      <w:pPr>
        <w:pStyle w:val="Lijstalinea"/>
        <w:numPr>
          <w:ilvl w:val="0"/>
          <w:numId w:val="13"/>
        </w:numPr>
      </w:pPr>
      <w:r>
        <w:t>Er is een storing bij TenderNed. Daardoor ondervindt de Inschrijver problemen bij het indienen van vragen ten behoeve van de Nota van Inlichtingen. In dat geval moet de Inschrijver de instructies volgen die de paragraaf ‘</w:t>
      </w:r>
      <w:r w:rsidRPr="007A1353">
        <w:rPr>
          <w:i/>
        </w:rPr>
        <w:t>Inlichtingen</w:t>
      </w:r>
      <w:r>
        <w:t>’ in dat kader vermeldt;</w:t>
      </w:r>
    </w:p>
    <w:p w14:paraId="1782EA8C" w14:textId="216E8CC5" w:rsidR="002A2D37" w:rsidRDefault="002A2D37" w:rsidP="00B01284">
      <w:pPr>
        <w:pStyle w:val="Lijstalinea"/>
        <w:numPr>
          <w:ilvl w:val="0"/>
          <w:numId w:val="13"/>
        </w:numPr>
      </w:pPr>
      <w:r>
        <w:lastRenderedPageBreak/>
        <w:t>Er is een storing bij TenderNed. Daardoor ondervindt d</w:t>
      </w:r>
      <w:r w:rsidRPr="00E23C3D">
        <w:t xml:space="preserve">e </w:t>
      </w:r>
      <w:r>
        <w:t xml:space="preserve">Inschrijver </w:t>
      </w:r>
      <w:r w:rsidRPr="00E23C3D">
        <w:t xml:space="preserve">problemen bij het indienen van </w:t>
      </w:r>
      <w:r>
        <w:t>de Inschrijving</w:t>
      </w:r>
      <w:r w:rsidRPr="00E23C3D">
        <w:t xml:space="preserve">. In dat geval de </w:t>
      </w:r>
      <w:r>
        <w:t xml:space="preserve">Inschrijver </w:t>
      </w:r>
      <w:r w:rsidRPr="00E23C3D">
        <w:t xml:space="preserve">de instructies volgen die </w:t>
      </w:r>
      <w:r>
        <w:t xml:space="preserve">de </w:t>
      </w:r>
      <w:r w:rsidRPr="00E23C3D">
        <w:t>paragraaf</w:t>
      </w:r>
      <w:r>
        <w:t xml:space="preserve"> ‘</w:t>
      </w:r>
      <w:r w:rsidRPr="007A1353">
        <w:rPr>
          <w:i/>
        </w:rPr>
        <w:t xml:space="preserve">Indienen van de </w:t>
      </w:r>
      <w:r>
        <w:rPr>
          <w:i/>
        </w:rPr>
        <w:t>Inschrijv</w:t>
      </w:r>
      <w:r w:rsidRPr="007A1353">
        <w:rPr>
          <w:i/>
        </w:rPr>
        <w:t>ing</w:t>
      </w:r>
      <w:r>
        <w:t>’ in dat kader vermeldt;</w:t>
      </w:r>
    </w:p>
    <w:p w14:paraId="146CCCBC" w14:textId="36CBA345" w:rsidR="002A2D37" w:rsidRDefault="002A2D37" w:rsidP="00B01284">
      <w:pPr>
        <w:pStyle w:val="Lijstalinea"/>
        <w:numPr>
          <w:ilvl w:val="0"/>
          <w:numId w:val="13"/>
        </w:numPr>
      </w:pPr>
      <w:r>
        <w:t>De Inschrijver wil formeel bezwaar maken tegen de Aanbestedingsprocedure. In dat geval moet de Inschrijver de instructies volgen die in de paragraaf  ‘</w:t>
      </w:r>
      <w:r w:rsidRPr="007A1353">
        <w:rPr>
          <w:i/>
        </w:rPr>
        <w:t>Geschillen</w:t>
      </w:r>
      <w:r>
        <w:t>’ vermeld staan.</w:t>
      </w:r>
    </w:p>
    <w:p w14:paraId="717498E4" w14:textId="5BD75247" w:rsidR="00E23C3D" w:rsidRDefault="00E23C3D" w:rsidP="008B51A1"/>
    <w:p w14:paraId="6E7C5830" w14:textId="3E0787FA" w:rsidR="00E23C3D" w:rsidRDefault="00773BA0" w:rsidP="008B51A1">
      <w:r>
        <w:t>Rechtstreeks contact mag uitsluitend plaatsvinden met de contactpersoon</w:t>
      </w:r>
      <w:r w:rsidR="00EB6051">
        <w:t>,</w:t>
      </w:r>
      <w:r>
        <w:t xml:space="preserve"> te weten:</w:t>
      </w:r>
    </w:p>
    <w:p w14:paraId="3DDEA407" w14:textId="049912C9" w:rsidR="00E23C3D" w:rsidRDefault="00E23C3D" w:rsidP="008B51A1"/>
    <w:tbl>
      <w:tblPr>
        <w:tblStyle w:val="Tabelraster"/>
        <w:tblW w:w="0" w:type="auto"/>
        <w:tblLook w:val="04A0" w:firstRow="1" w:lastRow="0" w:firstColumn="1" w:lastColumn="0" w:noHBand="0" w:noVBand="1"/>
      </w:tblPr>
      <w:tblGrid>
        <w:gridCol w:w="1129"/>
        <w:gridCol w:w="3427"/>
        <w:gridCol w:w="3428"/>
      </w:tblGrid>
      <w:tr w:rsidR="00EB6051" w:rsidRPr="00EB6051" w14:paraId="3008B4F5" w14:textId="77777777" w:rsidTr="00EB6051">
        <w:tc>
          <w:tcPr>
            <w:tcW w:w="1129" w:type="dxa"/>
            <w:tcBorders>
              <w:bottom w:val="single" w:sz="4" w:space="0" w:color="auto"/>
            </w:tcBorders>
            <w:shd w:val="clear" w:color="auto" w:fill="1F3864" w:themeFill="accent5" w:themeFillShade="80"/>
          </w:tcPr>
          <w:p w14:paraId="6A042817" w14:textId="77777777" w:rsidR="00EB6051" w:rsidRPr="00EB6051" w:rsidRDefault="00EB6051" w:rsidP="008B51A1">
            <w:pPr>
              <w:rPr>
                <w:color w:val="FFFFFF" w:themeColor="background1"/>
              </w:rPr>
            </w:pPr>
          </w:p>
        </w:tc>
        <w:tc>
          <w:tcPr>
            <w:tcW w:w="3427" w:type="dxa"/>
            <w:shd w:val="clear" w:color="auto" w:fill="1F3864" w:themeFill="accent5" w:themeFillShade="80"/>
          </w:tcPr>
          <w:p w14:paraId="3C82EDAC" w14:textId="789C3591" w:rsidR="00EB6051" w:rsidRPr="00EB6051" w:rsidRDefault="00EB6051" w:rsidP="00B24A58">
            <w:pPr>
              <w:jc w:val="center"/>
              <w:rPr>
                <w:b/>
                <w:color w:val="FFFFFF" w:themeColor="background1"/>
              </w:rPr>
            </w:pPr>
            <w:r w:rsidRPr="00EB6051">
              <w:rPr>
                <w:b/>
                <w:color w:val="FFFFFF" w:themeColor="background1"/>
              </w:rPr>
              <w:t>Contactpersoon</w:t>
            </w:r>
          </w:p>
        </w:tc>
        <w:tc>
          <w:tcPr>
            <w:tcW w:w="3428" w:type="dxa"/>
            <w:shd w:val="clear" w:color="auto" w:fill="1F3864" w:themeFill="accent5" w:themeFillShade="80"/>
          </w:tcPr>
          <w:p w14:paraId="05E4A7DE" w14:textId="10FE8D3C" w:rsidR="00EB6051" w:rsidRPr="00EB6051" w:rsidRDefault="00EB6051" w:rsidP="00B24A58">
            <w:pPr>
              <w:jc w:val="center"/>
              <w:rPr>
                <w:b/>
                <w:color w:val="FFFFFF" w:themeColor="background1"/>
              </w:rPr>
            </w:pPr>
            <w:r w:rsidRPr="00EB6051">
              <w:rPr>
                <w:b/>
                <w:color w:val="FFFFFF" w:themeColor="background1"/>
              </w:rPr>
              <w:t>Vervangende contactpersoon</w:t>
            </w:r>
          </w:p>
        </w:tc>
      </w:tr>
      <w:tr w:rsidR="00EB6051" w14:paraId="6E8B95A4" w14:textId="77777777" w:rsidTr="00EB6051">
        <w:tc>
          <w:tcPr>
            <w:tcW w:w="1129" w:type="dxa"/>
            <w:shd w:val="clear" w:color="auto" w:fill="1F3864" w:themeFill="accent5" w:themeFillShade="80"/>
          </w:tcPr>
          <w:p w14:paraId="5912F584" w14:textId="3EF81803" w:rsidR="00EB6051" w:rsidRPr="00EB6051" w:rsidRDefault="00EB6051" w:rsidP="008B51A1">
            <w:pPr>
              <w:rPr>
                <w:b/>
                <w:color w:val="FFFFFF" w:themeColor="background1"/>
              </w:rPr>
            </w:pPr>
            <w:r w:rsidRPr="00EB6051">
              <w:rPr>
                <w:b/>
                <w:color w:val="FFFFFF" w:themeColor="background1"/>
              </w:rPr>
              <w:t>Naam</w:t>
            </w:r>
          </w:p>
        </w:tc>
        <w:tc>
          <w:tcPr>
            <w:tcW w:w="3427" w:type="dxa"/>
          </w:tcPr>
          <w:p w14:paraId="4761B2FA" w14:textId="7552509A" w:rsidR="00EB6051" w:rsidRDefault="00462133" w:rsidP="008B51A1">
            <w:r>
              <w:t>Evert Jan Stoffels</w:t>
            </w:r>
          </w:p>
        </w:tc>
        <w:tc>
          <w:tcPr>
            <w:tcW w:w="3428" w:type="dxa"/>
          </w:tcPr>
          <w:p w14:paraId="0A1BFB7D" w14:textId="4E057F81" w:rsidR="00EB6051" w:rsidRDefault="00576984" w:rsidP="008B51A1">
            <w:r>
              <w:t>Christine van Goor</w:t>
            </w:r>
          </w:p>
        </w:tc>
      </w:tr>
      <w:tr w:rsidR="00EB6051" w14:paraId="299CDF4E" w14:textId="77777777" w:rsidTr="00EB6051">
        <w:tc>
          <w:tcPr>
            <w:tcW w:w="1129" w:type="dxa"/>
            <w:shd w:val="clear" w:color="auto" w:fill="1F3864" w:themeFill="accent5" w:themeFillShade="80"/>
          </w:tcPr>
          <w:p w14:paraId="7BF8AD5C" w14:textId="62EBF667" w:rsidR="00EB6051" w:rsidRPr="00EB6051" w:rsidRDefault="00EB6051" w:rsidP="008B51A1">
            <w:pPr>
              <w:rPr>
                <w:b/>
                <w:color w:val="FFFFFF" w:themeColor="background1"/>
              </w:rPr>
            </w:pPr>
            <w:r w:rsidRPr="00EB6051">
              <w:rPr>
                <w:b/>
                <w:color w:val="FFFFFF" w:themeColor="background1"/>
              </w:rPr>
              <w:t>Functie</w:t>
            </w:r>
          </w:p>
        </w:tc>
        <w:tc>
          <w:tcPr>
            <w:tcW w:w="3427" w:type="dxa"/>
          </w:tcPr>
          <w:p w14:paraId="0E1F9B22" w14:textId="52F49A5F" w:rsidR="00EB6051" w:rsidRDefault="00462133" w:rsidP="008B51A1">
            <w:r>
              <w:t>Senior adviseur Inkoop</w:t>
            </w:r>
          </w:p>
        </w:tc>
        <w:tc>
          <w:tcPr>
            <w:tcW w:w="3428" w:type="dxa"/>
          </w:tcPr>
          <w:p w14:paraId="6D8F32CD" w14:textId="0B51AEC4" w:rsidR="00EB6051" w:rsidRDefault="00576984" w:rsidP="00EA0EDB">
            <w:r>
              <w:t xml:space="preserve">Senior Juridisch </w:t>
            </w:r>
            <w:r w:rsidR="00EA0EDB">
              <w:t>(Inkoop)a</w:t>
            </w:r>
            <w:r>
              <w:t>dviseur</w:t>
            </w:r>
          </w:p>
        </w:tc>
      </w:tr>
      <w:tr w:rsidR="00EB6051" w14:paraId="790FD4BD" w14:textId="77777777" w:rsidTr="00EB6051">
        <w:tc>
          <w:tcPr>
            <w:tcW w:w="1129" w:type="dxa"/>
            <w:shd w:val="clear" w:color="auto" w:fill="1F3864" w:themeFill="accent5" w:themeFillShade="80"/>
          </w:tcPr>
          <w:p w14:paraId="022F7E7E" w14:textId="15BC96A6" w:rsidR="00EB6051" w:rsidRPr="00EB6051" w:rsidRDefault="00EB6051" w:rsidP="008B51A1">
            <w:pPr>
              <w:rPr>
                <w:b/>
                <w:color w:val="FFFFFF" w:themeColor="background1"/>
              </w:rPr>
            </w:pPr>
            <w:r w:rsidRPr="00EB6051">
              <w:rPr>
                <w:b/>
                <w:color w:val="FFFFFF" w:themeColor="background1"/>
              </w:rPr>
              <w:t>Telefoon</w:t>
            </w:r>
          </w:p>
        </w:tc>
        <w:tc>
          <w:tcPr>
            <w:tcW w:w="3427" w:type="dxa"/>
          </w:tcPr>
          <w:p w14:paraId="7314625D" w14:textId="7C999E10" w:rsidR="00EB6051" w:rsidRDefault="00462133" w:rsidP="008B51A1">
            <w:r w:rsidRPr="00462133">
              <w:t>+(31)06 21 90 13 19</w:t>
            </w:r>
          </w:p>
        </w:tc>
        <w:tc>
          <w:tcPr>
            <w:tcW w:w="3428" w:type="dxa"/>
          </w:tcPr>
          <w:p w14:paraId="700E8BA3" w14:textId="50806750" w:rsidR="00EB6051" w:rsidRDefault="00EA0EDB" w:rsidP="008B51A1">
            <w:r>
              <w:t>n.v.t.</w:t>
            </w:r>
          </w:p>
        </w:tc>
      </w:tr>
      <w:tr w:rsidR="00EB6051" w14:paraId="6C5F206A" w14:textId="77777777" w:rsidTr="00EB6051">
        <w:tc>
          <w:tcPr>
            <w:tcW w:w="1129" w:type="dxa"/>
            <w:shd w:val="clear" w:color="auto" w:fill="1F3864" w:themeFill="accent5" w:themeFillShade="80"/>
          </w:tcPr>
          <w:p w14:paraId="6F613F7B" w14:textId="6DC75826" w:rsidR="00EB6051" w:rsidRPr="00EB6051" w:rsidRDefault="00EB6051" w:rsidP="00EB6051">
            <w:pPr>
              <w:rPr>
                <w:b/>
                <w:color w:val="FFFFFF" w:themeColor="background1"/>
              </w:rPr>
            </w:pPr>
            <w:r w:rsidRPr="00EB6051">
              <w:rPr>
                <w:b/>
                <w:color w:val="FFFFFF" w:themeColor="background1"/>
              </w:rPr>
              <w:t>E-mail</w:t>
            </w:r>
          </w:p>
        </w:tc>
        <w:tc>
          <w:tcPr>
            <w:tcW w:w="6855" w:type="dxa"/>
            <w:gridSpan w:val="2"/>
            <w:shd w:val="clear" w:color="auto" w:fill="FFFFFF" w:themeFill="background1"/>
          </w:tcPr>
          <w:p w14:paraId="6077BB73" w14:textId="6C9C5207" w:rsidR="00EB6051" w:rsidRDefault="00EB6051" w:rsidP="00EB6051">
            <w:pPr>
              <w:jc w:val="center"/>
            </w:pPr>
            <w:r w:rsidRPr="00D16AD7">
              <w:t>aanbestedingen@tweedekamer.nl</w:t>
            </w:r>
          </w:p>
        </w:tc>
      </w:tr>
    </w:tbl>
    <w:p w14:paraId="59D47D80" w14:textId="1EFE8FDF" w:rsidR="00E23C3D" w:rsidRDefault="00E23C3D" w:rsidP="008B51A1"/>
    <w:p w14:paraId="48225B6C" w14:textId="686A1661" w:rsidR="00435B12" w:rsidRPr="00576F29" w:rsidRDefault="00B52152" w:rsidP="00937750">
      <w:pPr>
        <w:pStyle w:val="RapportKop2"/>
      </w:pPr>
      <w:bookmarkStart w:id="5" w:name="_Toc105606068"/>
      <w:r w:rsidRPr="00576F29">
        <w:t xml:space="preserve">De </w:t>
      </w:r>
      <w:r w:rsidR="00730086" w:rsidRPr="00576F29">
        <w:t>achtergrond van de Aanbestedingsprocedure</w:t>
      </w:r>
      <w:bookmarkEnd w:id="5"/>
    </w:p>
    <w:p w14:paraId="52186427" w14:textId="13209C2A" w:rsidR="00D74FD7" w:rsidRPr="00576F29" w:rsidRDefault="00730086" w:rsidP="00937750">
      <w:r w:rsidRPr="00576F29">
        <w:t>De Aanbestedingsprocedure betreft</w:t>
      </w:r>
      <w:r w:rsidR="00F61A3A" w:rsidRPr="00576F29">
        <w:t xml:space="preserve"> </w:t>
      </w:r>
      <w:r w:rsidR="00A80A79" w:rsidRPr="00576F29">
        <w:t xml:space="preserve">een openbare aanbesteding voor </w:t>
      </w:r>
      <w:r w:rsidR="00F61A3A" w:rsidRPr="00576F29">
        <w:t xml:space="preserve">het </w:t>
      </w:r>
      <w:r w:rsidR="001F391A" w:rsidRPr="00576F29">
        <w:t>oplijnen van de Handelingen met de video</w:t>
      </w:r>
      <w:r w:rsidR="00A80A79" w:rsidRPr="00576F29">
        <w:t>’s</w:t>
      </w:r>
      <w:r w:rsidR="001F391A" w:rsidRPr="00576F29">
        <w:t xml:space="preserve"> van de corresponderende debatten op de website </w:t>
      </w:r>
      <w:r w:rsidR="00F61A3A" w:rsidRPr="00576F29">
        <w:t>Debat Gemist.</w:t>
      </w:r>
      <w:r w:rsidR="00576F29" w:rsidRPr="00576F29">
        <w:t xml:space="preserve"> </w:t>
      </w:r>
      <w:r w:rsidR="00A80A79" w:rsidRPr="00576F29">
        <w:t>De huidige overeenkomst met de betrokken leverancier loopt ten einde.</w:t>
      </w:r>
    </w:p>
    <w:p w14:paraId="4E16A026" w14:textId="77777777" w:rsidR="00D74FD7" w:rsidRPr="00576F29" w:rsidRDefault="00D74FD7" w:rsidP="00937750"/>
    <w:p w14:paraId="4BAD59BD" w14:textId="79DEC2DF" w:rsidR="00576F29" w:rsidRPr="00576F29" w:rsidRDefault="00A80A79" w:rsidP="00576F29">
      <w:r w:rsidRPr="00576F29">
        <w:t>Gedurende de looptijd van 4 jaar is de verwachting dat er gemiddeld 175 uur aan video’s van vergad</w:t>
      </w:r>
      <w:r w:rsidR="009E6013" w:rsidRPr="00576F29">
        <w:t>eringen van de Tweede Kamer der Staten-Generaal voor Debat Gemist van ondertiteling moeten worden voorzien.</w:t>
      </w:r>
      <w:r w:rsidR="00576F29" w:rsidRPr="00576F29">
        <w:t xml:space="preserve"> Voor het Programma van Eisen zie Bijlage 9.</w:t>
      </w:r>
    </w:p>
    <w:p w14:paraId="708F0157" w14:textId="008EE51B" w:rsidR="00291D4D" w:rsidRPr="00576F29" w:rsidRDefault="00291D4D" w:rsidP="00F61A3A"/>
    <w:p w14:paraId="0342A48D" w14:textId="36C3F723" w:rsidR="00730086" w:rsidRPr="00937750" w:rsidRDefault="00DE7CA8" w:rsidP="00730086">
      <w:pPr>
        <w:pStyle w:val="RapportKop2"/>
      </w:pPr>
      <w:bookmarkStart w:id="6" w:name="_Toc105606069"/>
      <w:r>
        <w:t>D</w:t>
      </w:r>
      <w:r w:rsidR="00006D64">
        <w:t>e opdracht</w:t>
      </w:r>
      <w:bookmarkEnd w:id="6"/>
    </w:p>
    <w:p w14:paraId="2EAF596A" w14:textId="5507BADA" w:rsidR="00730086" w:rsidRDefault="00730086" w:rsidP="00730086">
      <w:r>
        <w:t>De Tweede Kamer beoogt door middel van de Aanbestedingsprocedure een overeenkomst te sluiten met</w:t>
      </w:r>
      <w:r w:rsidR="00462133">
        <w:t xml:space="preserve"> één </w:t>
      </w:r>
      <w:r>
        <w:t>opdrachtnemer voor</w:t>
      </w:r>
      <w:r w:rsidR="00462133">
        <w:t xml:space="preserve"> het </w:t>
      </w:r>
      <w:r>
        <w:t xml:space="preserve"> </w:t>
      </w:r>
      <w:r w:rsidR="00870644">
        <w:t>ondertitelen van Debat Gemist</w:t>
      </w:r>
      <w:r>
        <w:t xml:space="preserve">. De Overeenkomst heeft een looptijd </w:t>
      </w:r>
      <w:r w:rsidRPr="00BE21ED">
        <w:t xml:space="preserve">van </w:t>
      </w:r>
      <w:r w:rsidR="00BE21ED" w:rsidRPr="00BE21ED">
        <w:t>4</w:t>
      </w:r>
      <w:r w:rsidRPr="00BE21ED">
        <w:t xml:space="preserve"> jaar, met een optionele verlenging van </w:t>
      </w:r>
      <w:r w:rsidR="00BE21ED" w:rsidRPr="00BE21ED">
        <w:t>2</w:t>
      </w:r>
      <w:r w:rsidRPr="00BE21ED">
        <w:t xml:space="preserve"> maal </w:t>
      </w:r>
      <w:r w:rsidR="00870644" w:rsidRPr="00BE21ED">
        <w:t>12</w:t>
      </w:r>
      <w:r w:rsidRPr="00BE21ED">
        <w:t xml:space="preserve"> </w:t>
      </w:r>
      <w:r w:rsidR="00B36855" w:rsidRPr="00BE21ED">
        <w:t>maand</w:t>
      </w:r>
      <w:r w:rsidR="00B36855">
        <w:t>en</w:t>
      </w:r>
      <w:r w:rsidR="00870644">
        <w:t xml:space="preserve"> </w:t>
      </w:r>
      <w:r>
        <w:t xml:space="preserve">en zal naar verwachting ingaan op </w:t>
      </w:r>
      <w:r w:rsidR="00870644" w:rsidRPr="00BE21ED">
        <w:t>1 september 2022</w:t>
      </w:r>
      <w:r w:rsidRPr="00BE21ED">
        <w:t>.</w:t>
      </w:r>
    </w:p>
    <w:p w14:paraId="655F7A68" w14:textId="77777777" w:rsidR="00BE21ED" w:rsidRDefault="00BE21ED" w:rsidP="002A2D37">
      <w:pPr>
        <w:rPr>
          <w:highlight w:val="yellow"/>
        </w:rPr>
      </w:pPr>
    </w:p>
    <w:p w14:paraId="07237A21" w14:textId="1ED44493" w:rsidR="00BE21ED" w:rsidRDefault="00BE21ED" w:rsidP="002A2D37">
      <w:pPr>
        <w:rPr>
          <w:highlight w:val="yellow"/>
        </w:rPr>
      </w:pPr>
      <w:r w:rsidRPr="00BE21ED">
        <w:t>V</w:t>
      </w:r>
      <w:r>
        <w:t>oor een algemene inleiding op het voorwerp van deze opdrachten, zie paragraaf 1.1</w:t>
      </w:r>
      <w:r w:rsidRPr="00BE21ED">
        <w:t xml:space="preserve">. Voor </w:t>
      </w:r>
      <w:r>
        <w:t xml:space="preserve">de specifieke omstandigheden en </w:t>
      </w:r>
      <w:r w:rsidRPr="00BE21ED">
        <w:t xml:space="preserve">een verdere uiteenzetting, zie </w:t>
      </w:r>
      <w:r>
        <w:t xml:space="preserve">hieronder voorts </w:t>
      </w:r>
      <w:r w:rsidRPr="00BE21ED">
        <w:t>paragraf</w:t>
      </w:r>
      <w:r w:rsidR="005E3C51">
        <w:t>en 1.7 en 7.1.1.</w:t>
      </w:r>
    </w:p>
    <w:p w14:paraId="16F9DA09" w14:textId="2A320092" w:rsidR="006767E5" w:rsidRDefault="006767E5" w:rsidP="00937750"/>
    <w:p w14:paraId="6FC944AD" w14:textId="77777777" w:rsidR="00F61A3A" w:rsidRPr="00F61A3A" w:rsidRDefault="00F61A3A" w:rsidP="00F61A3A">
      <w:pPr>
        <w:ind w:firstLine="708"/>
        <w:rPr>
          <w:b/>
        </w:rPr>
      </w:pPr>
      <w:r w:rsidRPr="00F61A3A">
        <w:rPr>
          <w:b/>
        </w:rPr>
        <w:t>Omschrijving dienst</w:t>
      </w:r>
    </w:p>
    <w:p w14:paraId="175C99DC" w14:textId="77777777" w:rsidR="00F61A3A" w:rsidRPr="00F61A3A" w:rsidRDefault="00F61A3A" w:rsidP="00F61A3A"/>
    <w:p w14:paraId="56874DE2" w14:textId="77777777" w:rsidR="00F61A3A" w:rsidRPr="00F61A3A" w:rsidRDefault="00F61A3A" w:rsidP="00F61A3A">
      <w:r w:rsidRPr="00F61A3A">
        <w:t xml:space="preserve">De aan te besteden dienst bestaat uit het verlenen van een geautomatiseerde oplossing die voorziet in het ondertitelen van debatten op </w:t>
      </w:r>
      <w:hyperlink r:id="rId16" w:history="1">
        <w:r w:rsidRPr="00F61A3A">
          <w:rPr>
            <w:rStyle w:val="Hyperlink"/>
          </w:rPr>
          <w:t>http://debatgemist.tweedekamer.nl</w:t>
        </w:r>
      </w:hyperlink>
      <w:r w:rsidRPr="00F61A3A">
        <w:t xml:space="preserve"> op basis van het ongecorrigeerde XML</w:t>
      </w:r>
      <w:r w:rsidRPr="00F61A3A">
        <w:rPr>
          <w:vertAlign w:val="superscript"/>
        </w:rPr>
        <w:footnoteReference w:id="1"/>
      </w:r>
      <w:r w:rsidRPr="00F61A3A">
        <w:t>-verslag van een debat, zoals die wordt geleverd door het VerslagLegging Ondersteunende Systeem (VLOS) van de Dienst Verslag en Redactie der Staten-Generaal (DVR). Uitgangspunt daarbij is een periode van vier jaar met de optie om twee keer een jaar te verlengen.</w:t>
      </w:r>
    </w:p>
    <w:p w14:paraId="1FC3C373" w14:textId="77777777" w:rsidR="00F61A3A" w:rsidRPr="00F61A3A" w:rsidRDefault="00F61A3A" w:rsidP="00F61A3A"/>
    <w:p w14:paraId="342DDF48" w14:textId="77777777" w:rsidR="00F61A3A" w:rsidRPr="00F61A3A" w:rsidRDefault="00F61A3A" w:rsidP="00F61A3A">
      <w:pPr>
        <w:ind w:firstLine="708"/>
        <w:rPr>
          <w:b/>
        </w:rPr>
      </w:pPr>
      <w:r w:rsidRPr="00F61A3A">
        <w:rPr>
          <w:b/>
        </w:rPr>
        <w:t>Achtergrond</w:t>
      </w:r>
    </w:p>
    <w:p w14:paraId="5EDB9217" w14:textId="77777777" w:rsidR="00F61A3A" w:rsidRPr="00F61A3A" w:rsidRDefault="00F61A3A" w:rsidP="00F61A3A"/>
    <w:p w14:paraId="28805A64" w14:textId="77777777" w:rsidR="00F61A3A" w:rsidRPr="00F61A3A" w:rsidRDefault="00F61A3A" w:rsidP="00F61A3A">
      <w:r w:rsidRPr="00F61A3A">
        <w:t xml:space="preserve">In 2012 is de website </w:t>
      </w:r>
      <w:hyperlink r:id="rId17" w:history="1">
        <w:r w:rsidRPr="00F61A3A">
          <w:rPr>
            <w:rStyle w:val="Hyperlink"/>
          </w:rPr>
          <w:t>http://debatgemist.tweedekamer.nl</w:t>
        </w:r>
      </w:hyperlink>
      <w:r w:rsidRPr="00F61A3A">
        <w:t xml:space="preserve"> gebouwd en live gegaan. Op deze website staan de video’s van (plenaire) debatten van de Tweede Kamer. Daarmee is het een soort “uitzending gemist” voor debatten oftewel een video on demand-functionaliteit genaamd Debat Gemist (DBG). De DBG-website voorziet in de behoefte om debatten online terug te kunnen kijken binnen en buiten de Tweede Kamer.</w:t>
      </w:r>
    </w:p>
    <w:p w14:paraId="5F188698" w14:textId="77777777" w:rsidR="00F61A3A" w:rsidRPr="00F61A3A" w:rsidRDefault="00F61A3A" w:rsidP="00F61A3A"/>
    <w:p w14:paraId="4AF04E02" w14:textId="77777777" w:rsidR="00F61A3A" w:rsidRPr="00F61A3A" w:rsidRDefault="00F61A3A" w:rsidP="00F61A3A">
      <w:r w:rsidRPr="00F61A3A">
        <w:t>Bij het beheer is een scherp onderscheid te maken. De website zelf is in beheer bij de Stafdienst Communicatie, met verantwoordelijkheid voor bijvoorbeeld de videoplayer, die hiervoor een webmaster heeft aangewezen. De inrichting, hosting, beheer en ondersteuning van de video-on-demand dienst zelf ligt bij een externe partij, namelijk Arbormedia. De controle op prestatie en kwaliteit ligt bij de afdeling Beheer en Ondersteuning van de Dienst Verslag en Redactie, de aanbestedende dienst namens de Tweede Kamer.</w:t>
      </w:r>
    </w:p>
    <w:p w14:paraId="7FED85EE" w14:textId="77777777" w:rsidR="00F61A3A" w:rsidRPr="00F61A3A" w:rsidRDefault="00F61A3A" w:rsidP="00F61A3A"/>
    <w:p w14:paraId="5637E82E" w14:textId="77777777" w:rsidR="00F61A3A" w:rsidRPr="00F61A3A" w:rsidRDefault="00F61A3A" w:rsidP="00F61A3A">
      <w:r w:rsidRPr="00F61A3A">
        <w:t>Op DBG zijn inmiddels alle plenaire debatten vanaf 26 oktober 2010 terug te kijken. Daarnaast bevat DBG commissievergaderingen (commissiedebatten, notaoverleggen en wetgevingsoverleggen) vanaf 14 juni 2016; rondetafelgesprekken, hoorzittingen en technische briefings vanaf 2017.  Sinds 7 juni 2017 zijn de openbare verhoren van de parlementaire ondervragingscommissie Fiscale constructies toegevoegd.</w:t>
      </w:r>
    </w:p>
    <w:p w14:paraId="39D31C21" w14:textId="77777777" w:rsidR="00F61A3A" w:rsidRPr="00F61A3A" w:rsidRDefault="00F61A3A" w:rsidP="00F61A3A">
      <w:pPr>
        <w:numPr>
          <w:ilvl w:val="0"/>
          <w:numId w:val="8"/>
        </w:numPr>
        <w:tabs>
          <w:tab w:val="clear" w:pos="432"/>
        </w:tabs>
        <w:rPr>
          <w:bCs/>
        </w:rPr>
      </w:pPr>
      <w:r w:rsidRPr="00F61A3A">
        <w:rPr>
          <w:bCs/>
        </w:rPr>
        <w:t>Het overgrote deel van de video’s</w:t>
      </w:r>
      <w:r w:rsidRPr="00F61A3A">
        <w:rPr>
          <w:bCs/>
          <w:vertAlign w:val="superscript"/>
        </w:rPr>
        <w:footnoteReference w:id="2"/>
      </w:r>
      <w:r w:rsidRPr="00F61A3A">
        <w:rPr>
          <w:bCs/>
        </w:rPr>
        <w:t xml:space="preserve"> wordt sinds 2016 tevens voorzien van ondertiteling, wat intern wordt aangeduid met de term “ondertiteling achteraf” ter onderscheid van de eveneens op sommige momenten door de DVR geleverde live ondertiteling van de streams.</w:t>
      </w:r>
    </w:p>
    <w:p w14:paraId="72EAFBA5" w14:textId="77777777" w:rsidR="00F61A3A" w:rsidRPr="00F61A3A" w:rsidRDefault="00F61A3A" w:rsidP="00F61A3A">
      <w:pPr>
        <w:numPr>
          <w:ilvl w:val="0"/>
          <w:numId w:val="8"/>
        </w:numPr>
        <w:tabs>
          <w:tab w:val="clear" w:pos="432"/>
        </w:tabs>
        <w:rPr>
          <w:bCs/>
        </w:rPr>
      </w:pPr>
      <w:r w:rsidRPr="00F61A3A">
        <w:rPr>
          <w:bCs/>
        </w:rPr>
        <w:t>Met deze ondertiteling wordt voldaan aan de zogeheten webrichtlijnen; specifiek aan 1.2.2 Ondertitels voor doven en slechthorenden (vooraf opgenomen). Deze zogeheten Richtlijnen voor Toegankelijkheid van Webcontent (WCAG) 2.1, bevat een groot aantal aanbevelingen om webcontent toegankelijker te maken.</w:t>
      </w:r>
    </w:p>
    <w:p w14:paraId="5B4CA6B9" w14:textId="61C3FDEB" w:rsidR="00870644" w:rsidRDefault="00F61A3A" w:rsidP="00F61A3A">
      <w:r w:rsidRPr="00F61A3A">
        <w:t xml:space="preserve">Inschrijvers/aanbieders worden uitgenodigd een oplossing te bieden zodat de video’s van debatten van de Tweede Kamer (op de DBG-website) worden voorzien van ondertitels, op basis van de ongecorrigeerde verslag-XML die wordt geleverd door het VerslagLegging Ondersteunend Systeem (VLOS). Het gaat hier niet om de reeds </w:t>
      </w:r>
      <w:r w:rsidRPr="00F61A3A">
        <w:lastRenderedPageBreak/>
        <w:t>aanwezige, gepubliceerde en ondertitelde debatten op DBG, maar om het ondertitelen van de na 1 augustus 2022 aan DBG toegevoegde video’s.</w:t>
      </w:r>
    </w:p>
    <w:p w14:paraId="36F11CE7" w14:textId="5FB44107" w:rsidR="00291D4D" w:rsidRDefault="00291D4D" w:rsidP="00F61A3A"/>
    <w:p w14:paraId="212F90B9" w14:textId="225080E7" w:rsidR="00291D4D" w:rsidRDefault="000E4FAA" w:rsidP="00F61A3A">
      <w:r>
        <w:t>Algemene technische beschrijving</w:t>
      </w:r>
      <w:r w:rsidR="00291D4D">
        <w:t>:</w:t>
      </w:r>
    </w:p>
    <w:p w14:paraId="508BB8D9" w14:textId="4A088833" w:rsidR="00291D4D" w:rsidRDefault="00291D4D" w:rsidP="00291D4D">
      <w:r>
        <w:t xml:space="preserve">De leverancier ontvangt via een beveiligde webservice het volledige verslag in XML-formaat; dit wordt vanuit de VLOS applicatie opgestuurd door de Tweede Kamer. </w:t>
      </w:r>
    </w:p>
    <w:p w14:paraId="1B3F41FD" w14:textId="77777777" w:rsidR="00291D4D" w:rsidRDefault="00291D4D" w:rsidP="00291D4D">
      <w:r>
        <w:t xml:space="preserve">Op basis van de vergaderinformatie (start en stop tijd) wordt er lokaal op de audio encoder een audio bestand op maat geknipt voor het specifieke verslag. </w:t>
      </w:r>
    </w:p>
    <w:p w14:paraId="64D342A0" w14:textId="78C5C2E5" w:rsidR="00291D4D" w:rsidRDefault="00291D4D" w:rsidP="00291D4D">
      <w:r>
        <w:t>De leverancier voert vervolgens een data extractie uit op het XML-bestand door alle niet relevante informatie eruit te filteren. Er vindt dan een beveiligde upload plaats van de relevante bestanden, waarna het audiobestand met het uitgeschreven verslag wordt getimed en er een .srt beschikbaar wordt gesteld die via een rest API op te halen is. De leverancier upload deze .srt vervolgens naar het cloudplatform zodat deze binnen de HLS stream (DebatGemist/DebatDirect) getoond kan worden, daarnaast wordt deze .srt ook richting de Debat Gemist website van de Tweede Kamer geüpload.</w:t>
      </w:r>
    </w:p>
    <w:p w14:paraId="49F86284" w14:textId="16BE55C2" w:rsidR="00291D4D" w:rsidRDefault="00291D4D" w:rsidP="00291D4D">
      <w:r>
        <w:t>Parallel aan deze acties worden er ook debatverslagen met spreekbeurt notaties aangeleverd aan de Debat Gemist website van de Tweede Kamer. Deze op maat gemaakte XML-file bevat de namen van de sprekers en de exacte momenten vanaf het begin van het debat dat zij spreken, dit wordt binnen het zoek</w:t>
      </w:r>
      <w:r w:rsidR="000E4FAA">
        <w:t>machine-index</w:t>
      </w:r>
      <w:r>
        <w:t>proces gekoppeld aan het ondertitelbestand dat all</w:t>
      </w:r>
      <w:r w:rsidR="000E4FAA">
        <w:t xml:space="preserve">een timestamps en tekst bevat. </w:t>
      </w:r>
      <w:r>
        <w:t>Op deze manier wordt er een separate index opgebouwd van uitgesproken zinnen en de bijbehorende spreker met link naar het specifieke videofragment.</w:t>
      </w:r>
    </w:p>
    <w:p w14:paraId="51DCFBC7" w14:textId="02384D6F" w:rsidR="00870644" w:rsidRDefault="00870644" w:rsidP="00937750"/>
    <w:p w14:paraId="601565FE" w14:textId="7A189DE7" w:rsidR="002E1AC6" w:rsidRPr="002E1AC6" w:rsidRDefault="002E1AC6" w:rsidP="002E1AC6">
      <w:pPr>
        <w:autoSpaceDN/>
        <w:spacing w:after="160" w:line="259" w:lineRule="auto"/>
        <w:textAlignment w:val="auto"/>
        <w:rPr>
          <w:rFonts w:asciiTheme="minorHAnsi" w:eastAsiaTheme="minorHAnsi" w:hAnsiTheme="minorHAnsi" w:cstheme="minorHAnsi"/>
          <w:color w:val="auto"/>
          <w:sz w:val="22"/>
          <w:szCs w:val="22"/>
          <w:lang w:eastAsia="en-US"/>
        </w:rPr>
      </w:pPr>
      <w:r w:rsidRPr="002E1AC6">
        <w:rPr>
          <w:rFonts w:asciiTheme="minorHAnsi" w:eastAsiaTheme="minorHAnsi" w:hAnsiTheme="minorHAnsi" w:cstheme="minorHAnsi"/>
          <w:color w:val="auto"/>
          <w:sz w:val="22"/>
          <w:szCs w:val="22"/>
          <w:lang w:eastAsia="en-US"/>
        </w:rPr>
        <w:t xml:space="preserve">Uitgangspunt voor </w:t>
      </w:r>
      <w:r>
        <w:rPr>
          <w:rFonts w:asciiTheme="minorHAnsi" w:eastAsiaTheme="minorHAnsi" w:hAnsiTheme="minorHAnsi" w:cstheme="minorHAnsi"/>
          <w:color w:val="auto"/>
          <w:sz w:val="22"/>
          <w:szCs w:val="22"/>
          <w:lang w:eastAsia="en-US"/>
        </w:rPr>
        <w:t>uw Inschrijving en offerte</w:t>
      </w:r>
      <w:r w:rsidRPr="002E1AC6">
        <w:rPr>
          <w:rFonts w:asciiTheme="minorHAnsi" w:eastAsiaTheme="minorHAnsi" w:hAnsiTheme="minorHAnsi" w:cstheme="minorHAnsi"/>
          <w:color w:val="auto"/>
          <w:sz w:val="22"/>
          <w:szCs w:val="22"/>
          <w:lang w:eastAsia="en-US"/>
        </w:rPr>
        <w:t xml:space="preserve"> is:</w:t>
      </w:r>
    </w:p>
    <w:p w14:paraId="2FF6ADEC" w14:textId="77777777" w:rsidR="002E1AC6" w:rsidRPr="002E1AC6" w:rsidRDefault="002E1AC6" w:rsidP="00B01284">
      <w:pPr>
        <w:numPr>
          <w:ilvl w:val="0"/>
          <w:numId w:val="32"/>
        </w:numPr>
        <w:autoSpaceDN/>
        <w:spacing w:after="160" w:line="260" w:lineRule="exact"/>
        <w:textAlignment w:val="auto"/>
        <w:rPr>
          <w:rFonts w:asciiTheme="minorHAnsi" w:eastAsiaTheme="minorHAnsi" w:hAnsiTheme="minorHAnsi" w:cstheme="minorHAnsi"/>
          <w:color w:val="auto"/>
          <w:sz w:val="22"/>
          <w:szCs w:val="22"/>
          <w:lang w:eastAsia="en-US"/>
        </w:rPr>
      </w:pPr>
      <w:r w:rsidRPr="002E1AC6">
        <w:rPr>
          <w:rFonts w:asciiTheme="minorHAnsi" w:eastAsiaTheme="minorHAnsi" w:hAnsiTheme="minorHAnsi" w:cstheme="minorHAnsi"/>
          <w:color w:val="auto"/>
          <w:sz w:val="22"/>
          <w:szCs w:val="22"/>
          <w:lang w:eastAsia="en-US"/>
        </w:rPr>
        <w:t>ondertiteling van videostreams gebaseerd op gemiddeld 175 uur vergadering per maand van de Tweede Kamer der Staten-generaal voor de looptijd van 4 jaar;</w:t>
      </w:r>
    </w:p>
    <w:p w14:paraId="257AF8C0" w14:textId="1BDDEB8D" w:rsidR="002E1AC6" w:rsidRDefault="002E1AC6" w:rsidP="00B01284">
      <w:pPr>
        <w:numPr>
          <w:ilvl w:val="0"/>
          <w:numId w:val="32"/>
        </w:numPr>
        <w:autoSpaceDN/>
        <w:spacing w:after="160" w:line="260" w:lineRule="exact"/>
        <w:textAlignment w:val="auto"/>
        <w:rPr>
          <w:rFonts w:asciiTheme="minorHAnsi" w:eastAsiaTheme="minorHAnsi" w:hAnsiTheme="minorHAnsi" w:cstheme="minorHAnsi"/>
          <w:color w:val="auto"/>
          <w:sz w:val="22"/>
          <w:szCs w:val="22"/>
          <w:lang w:eastAsia="en-US"/>
        </w:rPr>
      </w:pPr>
      <w:r w:rsidRPr="002E1AC6">
        <w:rPr>
          <w:rFonts w:asciiTheme="minorHAnsi" w:eastAsiaTheme="minorHAnsi" w:hAnsiTheme="minorHAnsi" w:cstheme="minorHAnsi"/>
          <w:color w:val="auto"/>
          <w:sz w:val="22"/>
          <w:szCs w:val="22"/>
          <w:lang w:eastAsia="en-US"/>
        </w:rPr>
        <w:t>ondertitelingsbestanden (timestamps/tekst) en bewerkte XML’s (namen sprekers/spreekmomenten) worden via ftp-protocol onder een met de Tweede Kamer af te stemmen naamgeving geleverd. De bestaande oplossing wordt in een algemene technische beschrijving meegedeeld in de aanbesteding, bijvoorbeeld uitwisseling en opslag van gegevens.</w:t>
      </w:r>
    </w:p>
    <w:p w14:paraId="4BA42957" w14:textId="1D47E9B7" w:rsidR="009B479E" w:rsidRPr="009B479E" w:rsidRDefault="009B479E" w:rsidP="009B479E">
      <w:pPr>
        <w:rPr>
          <w:rFonts w:cs="Verdana"/>
          <w:lang w:val="nl"/>
        </w:rPr>
      </w:pPr>
      <w:r w:rsidRPr="009B479E">
        <w:rPr>
          <w:rFonts w:cs="Verdana"/>
          <w:lang w:val="nl"/>
        </w:rPr>
        <w:t xml:space="preserve">De volgende parlementaire/ procesmatige specialistische domeinkennis van de gevraagde werkzaamheden is aanwezig: </w:t>
      </w:r>
    </w:p>
    <w:p w14:paraId="73D2CDFD" w14:textId="747F9080" w:rsidR="009B479E" w:rsidRPr="009B479E" w:rsidRDefault="009B479E" w:rsidP="009B479E">
      <w:pPr>
        <w:pStyle w:val="Lijstalinea"/>
        <w:numPr>
          <w:ilvl w:val="0"/>
          <w:numId w:val="52"/>
        </w:numPr>
        <w:rPr>
          <w:rFonts w:cs="Verdana"/>
          <w:lang w:val="nl"/>
        </w:rPr>
      </w:pPr>
      <w:r w:rsidRPr="009B479E">
        <w:rPr>
          <w:rFonts w:cs="Verdana"/>
          <w:lang w:val="nl"/>
        </w:rPr>
        <w:t>Debattypen (Plenaire vergaderingen, Commissiedebatten, Rondetafelgesprekken, Mondelinge Vragenuur, Hoorzittingen, Technische Briefings, e.d.);</w:t>
      </w:r>
    </w:p>
    <w:p w14:paraId="79354583" w14:textId="76BDCE29" w:rsidR="009B479E" w:rsidRPr="009B479E" w:rsidRDefault="009B479E" w:rsidP="009B479E">
      <w:pPr>
        <w:pStyle w:val="Lijstalinea"/>
        <w:numPr>
          <w:ilvl w:val="0"/>
          <w:numId w:val="52"/>
        </w:numPr>
        <w:rPr>
          <w:rFonts w:cs="Verdana"/>
          <w:lang w:val="nl"/>
        </w:rPr>
      </w:pPr>
      <w:r w:rsidRPr="009B479E">
        <w:rPr>
          <w:rFonts w:cs="Verdana"/>
          <w:lang w:val="nl"/>
        </w:rPr>
        <w:t>Het verslagleggingsproces;</w:t>
      </w:r>
    </w:p>
    <w:p w14:paraId="0BB8B44B" w14:textId="6A9AE524" w:rsidR="009B479E" w:rsidRPr="009B479E" w:rsidRDefault="009B479E" w:rsidP="009B479E">
      <w:pPr>
        <w:pStyle w:val="Lijstalinea"/>
        <w:numPr>
          <w:ilvl w:val="0"/>
          <w:numId w:val="52"/>
        </w:numPr>
        <w:rPr>
          <w:rFonts w:cs="Verdana"/>
          <w:lang w:val="nl"/>
        </w:rPr>
      </w:pPr>
      <w:r w:rsidRPr="009B479E">
        <w:rPr>
          <w:rFonts w:cs="Verdana"/>
          <w:lang w:val="nl"/>
        </w:rPr>
        <w:t>Publicatieproces;</w:t>
      </w:r>
    </w:p>
    <w:p w14:paraId="2BA22FF4" w14:textId="33249296" w:rsidR="009B479E" w:rsidRPr="009B479E" w:rsidRDefault="009B479E" w:rsidP="009B479E">
      <w:pPr>
        <w:pStyle w:val="Lijstalinea"/>
        <w:numPr>
          <w:ilvl w:val="0"/>
          <w:numId w:val="52"/>
        </w:numPr>
        <w:spacing w:after="160" w:line="260" w:lineRule="exact"/>
        <w:rPr>
          <w:rFonts w:asciiTheme="minorHAnsi" w:eastAsiaTheme="minorHAnsi" w:hAnsiTheme="minorHAnsi" w:cstheme="minorHAnsi"/>
          <w:lang w:eastAsia="en-US"/>
        </w:rPr>
      </w:pPr>
      <w:r w:rsidRPr="009B479E">
        <w:rPr>
          <w:rFonts w:cs="Verdana"/>
          <w:lang w:val="nl"/>
        </w:rPr>
        <w:t>Affiniteit met politiek.</w:t>
      </w:r>
    </w:p>
    <w:p w14:paraId="5FE68E0F" w14:textId="46A408F0" w:rsidR="002E1AC6" w:rsidRPr="002E1AC6" w:rsidRDefault="002E1AC6" w:rsidP="002E1AC6">
      <w:pPr>
        <w:autoSpaceDN/>
        <w:spacing w:after="160" w:line="259" w:lineRule="auto"/>
        <w:textAlignment w:val="auto"/>
        <w:rPr>
          <w:rFonts w:asciiTheme="minorHAnsi" w:eastAsiaTheme="minorHAnsi" w:hAnsiTheme="minorHAnsi" w:cstheme="minorHAnsi"/>
          <w:color w:val="auto"/>
          <w:sz w:val="22"/>
          <w:szCs w:val="22"/>
          <w:lang w:eastAsia="en-US"/>
        </w:rPr>
      </w:pPr>
      <w:r w:rsidRPr="002E1AC6">
        <w:rPr>
          <w:rFonts w:asciiTheme="minorHAnsi" w:eastAsiaTheme="minorHAnsi" w:hAnsiTheme="minorHAnsi" w:cstheme="minorHAnsi"/>
          <w:color w:val="auto"/>
          <w:sz w:val="22"/>
          <w:szCs w:val="22"/>
          <w:lang w:eastAsia="en-US"/>
        </w:rPr>
        <w:t xml:space="preserve">Het heeft de voorkeur </w:t>
      </w:r>
      <w:r w:rsidR="009B479E">
        <w:rPr>
          <w:rFonts w:asciiTheme="minorHAnsi" w:eastAsiaTheme="minorHAnsi" w:hAnsiTheme="minorHAnsi" w:cstheme="minorHAnsi"/>
          <w:color w:val="auto"/>
          <w:sz w:val="22"/>
          <w:szCs w:val="22"/>
          <w:lang w:eastAsia="en-US"/>
        </w:rPr>
        <w:t xml:space="preserve">voor Opdrachtgever </w:t>
      </w:r>
      <w:r w:rsidRPr="002E1AC6">
        <w:rPr>
          <w:rFonts w:asciiTheme="minorHAnsi" w:eastAsiaTheme="minorHAnsi" w:hAnsiTheme="minorHAnsi" w:cstheme="minorHAnsi"/>
          <w:color w:val="auto"/>
          <w:sz w:val="22"/>
          <w:szCs w:val="22"/>
          <w:lang w:eastAsia="en-US"/>
        </w:rPr>
        <w:t xml:space="preserve">om een reeds bestaande oplossing te implementeren. </w:t>
      </w:r>
    </w:p>
    <w:p w14:paraId="187F20F2" w14:textId="77777777" w:rsidR="00C42B87" w:rsidRPr="00795ADC" w:rsidRDefault="00C42B87" w:rsidP="00C42B87">
      <w:pPr>
        <w:pStyle w:val="RapportKop2"/>
      </w:pPr>
      <w:bookmarkStart w:id="7" w:name="_Toc79575973"/>
      <w:bookmarkStart w:id="8" w:name="_Toc105606070"/>
      <w:r w:rsidRPr="00795ADC">
        <w:lastRenderedPageBreak/>
        <w:t>Wachtkamerconstructie</w:t>
      </w:r>
      <w:bookmarkEnd w:id="7"/>
      <w:bookmarkEnd w:id="8"/>
    </w:p>
    <w:p w14:paraId="601F9955" w14:textId="77777777" w:rsidR="00C42B87" w:rsidRPr="00795ADC" w:rsidRDefault="00C42B87" w:rsidP="00C42B87">
      <w:r w:rsidRPr="00795ADC">
        <w:t>Op basis van de beoordeling van de Inschrijvingen aan de hand van het gunningscriterium ontstaat een rangschikking van Inschrijvers. De Inschrijver die als beste uit de bus komt op basis van het gunningscriterium eindigt op de eerste plaats in rang. De Inschrijver die als één-na-beste uit de bus komt op basis van het gunningscriterium eindigt op de tweede plaats in rang etc.</w:t>
      </w:r>
    </w:p>
    <w:p w14:paraId="374A2C26" w14:textId="77777777" w:rsidR="00C42B87" w:rsidRPr="00795ADC" w:rsidRDefault="00C42B87" w:rsidP="00C42B87"/>
    <w:p w14:paraId="338C8ACB" w14:textId="665C6165" w:rsidR="00C42B87" w:rsidRPr="00795ADC" w:rsidRDefault="00C42B87" w:rsidP="00C42B87">
      <w:r w:rsidRPr="00795ADC">
        <w:t>Indien de Inschrijving van de nummer één Inschrijver in rang, na controle van alle (nadere) stukken (zie ook hoofdstuk “</w:t>
      </w:r>
      <w:r w:rsidRPr="00795ADC">
        <w:rPr>
          <w:i/>
          <w:noProof/>
        </w:rPr>
        <w:t>Verificatie van de Inschrijving van de voorgenomen begunstigde(n)</w:t>
      </w:r>
      <w:r w:rsidRPr="00795ADC">
        <w:rPr>
          <w:noProof/>
        </w:rPr>
        <w:t>”</w:t>
      </w:r>
      <w:r w:rsidRPr="00795ADC">
        <w:t>), een geldige Inschrijving blijkt te hebben gedaan en de Aanbestedende Dienst besluit over te gaan tot sluiting van de Overeenkomst, sluit de Aanbestedende Dienst de Overeenkomst met de nummer één in rang.</w:t>
      </w:r>
    </w:p>
    <w:p w14:paraId="31B5512F" w14:textId="77777777" w:rsidR="00C42B87" w:rsidRPr="00795ADC" w:rsidRDefault="00C42B87" w:rsidP="00C42B87"/>
    <w:p w14:paraId="13F83DD6" w14:textId="28DF7AD7" w:rsidR="00C42B87" w:rsidRPr="00795ADC" w:rsidRDefault="00C42B87" w:rsidP="00C42B87">
      <w:r w:rsidRPr="00795ADC">
        <w:t xml:space="preserve">Op de Overeenkomst die de Aanbestedende Dienst sluit met de nummer één Inschrijver in rang is een wachtkamerconstructie van toepassing. Dat houdt in dat de Aanbestedende Dienst de mogelijkheid openhoudt om de Overeenkomst alsnog te sluiten met de nummer twee Inschrijver in rang tegen de condities van de Aanbestedingsprocedure, in het geval de Overeenkomst met de nummer één Inschrijver in rang gedurende de eerste twaalf maanden van de looptijd ervan wordt ontbonden op de gronden als genoemd in de Wachtkamerovereenkomst, waarvan het concept als Bijlage deel uitmaakt van de Aanbestedingsleidraad. </w:t>
      </w:r>
    </w:p>
    <w:p w14:paraId="3568F257" w14:textId="77777777" w:rsidR="00C42B87" w:rsidRPr="00795ADC" w:rsidRDefault="00C42B87" w:rsidP="00C42B87"/>
    <w:p w14:paraId="1625C4E8" w14:textId="4F038A1F" w:rsidR="00C42B87" w:rsidRPr="00795ADC" w:rsidRDefault="00C42B87" w:rsidP="00C42B87">
      <w:r w:rsidRPr="00795ADC">
        <w:t>In verband met de wachtkamerconstructie vraagt de Aanbestedende Dienst de nummer twee Inschrijver in rang om nadere stukken (zie hoofdstuk “</w:t>
      </w:r>
      <w:r w:rsidRPr="00795ADC">
        <w:rPr>
          <w:i/>
          <w:noProof/>
        </w:rPr>
        <w:t>Verificatie van de Inschrijving van de voorgenomen begunstigde(n)</w:t>
      </w:r>
      <w:r w:rsidRPr="00795ADC">
        <w:rPr>
          <w:noProof/>
        </w:rPr>
        <w:t>”</w:t>
      </w:r>
      <w:r w:rsidRPr="00795ADC">
        <w:t>), precies zoals de Aanbestedende Dienst doet bij de als eerste geëindigde Inschrijver.  Indien de Inschrijving van de nummer twee Inschrijver in rang, ook na controle van alle (nadere) stukken, een geldige Inschrijving blijkt te hebben gedaan en de Aanbestedende Dienst besluit over te gaan tot sluiting van de Overeenkomst, sluit de Aanbestedende Dienst de Wachtkamerovereenkomst met de nummer twee in rang.</w:t>
      </w:r>
    </w:p>
    <w:p w14:paraId="41FFAED4" w14:textId="40BBD44E" w:rsidR="00C42B87" w:rsidRPr="00795ADC" w:rsidRDefault="00C42B87" w:rsidP="00C42B87"/>
    <w:p w14:paraId="00CC8D34" w14:textId="411DA0F6" w:rsidR="00C42B87" w:rsidRDefault="00C42B87" w:rsidP="00C42B87">
      <w:r w:rsidRPr="00795ADC">
        <w:t>De Tweede Kamer behoudt zich het recht voor geen gebruik te maken van de Wachtkamerovereenkomst.</w:t>
      </w:r>
      <w:r>
        <w:t xml:space="preserve"> </w:t>
      </w:r>
      <w:r w:rsidR="00EA0EDB">
        <w:t>Zie bijlage</w:t>
      </w:r>
      <w:r w:rsidR="00383133">
        <w:t xml:space="preserve"> 4.6 voor de concept-wachtkamerovereenkomst.</w:t>
      </w:r>
    </w:p>
    <w:p w14:paraId="6ECB3365" w14:textId="77777777" w:rsidR="00C42B87" w:rsidRDefault="00C42B87" w:rsidP="00C42B87"/>
    <w:p w14:paraId="3532E2F9" w14:textId="4A21B394" w:rsidR="007E302D" w:rsidRPr="00937750" w:rsidRDefault="007E302D" w:rsidP="007E302D">
      <w:pPr>
        <w:pStyle w:val="RapportKop2"/>
      </w:pPr>
      <w:bookmarkStart w:id="9" w:name="_Toc105606071"/>
      <w:r>
        <w:t>S</w:t>
      </w:r>
      <w:r w:rsidR="00D76B56">
        <w:t>cope</w:t>
      </w:r>
      <w:bookmarkEnd w:id="9"/>
    </w:p>
    <w:p w14:paraId="1699CDAC" w14:textId="37113430" w:rsidR="003E5B24" w:rsidRDefault="003E5B24" w:rsidP="003E5B24">
      <w:r>
        <w:t xml:space="preserve">Op basis van een nauwkeurige schatting gebaseerd op de huidige afname, en rekening houdend met de ontwikkelingen die </w:t>
      </w:r>
      <w:r w:rsidR="00F61A3A" w:rsidRPr="008B162A">
        <w:t>Dienst Verslag en Redactie (DVR</w:t>
      </w:r>
      <w:r w:rsidR="00F61A3A">
        <w:t>)</w:t>
      </w:r>
      <w:r>
        <w:t xml:space="preserve"> nu verwacht en die de afname in de komende jaren zouden </w:t>
      </w:r>
      <w:r w:rsidRPr="00EB1495">
        <w:t>kunnen beïnvloeden, verwacht de Tweede Kamer dat de waarde van de opdracht circa</w:t>
      </w:r>
      <w:r w:rsidR="00EB1495" w:rsidRPr="00EB1495">
        <w:t xml:space="preserve"> Euro</w:t>
      </w:r>
      <w:r w:rsidRPr="00EB1495">
        <w:t xml:space="preserve"> </w:t>
      </w:r>
      <w:r w:rsidR="00D74FD7" w:rsidRPr="00EB1495">
        <w:t>300.000</w:t>
      </w:r>
      <w:r w:rsidR="006426A7">
        <w:t xml:space="preserve"> </w:t>
      </w:r>
      <w:r w:rsidR="00D74FD7" w:rsidRPr="00EB1495">
        <w:t>-</w:t>
      </w:r>
      <w:r w:rsidR="006426A7">
        <w:t xml:space="preserve"> </w:t>
      </w:r>
      <w:r w:rsidR="00EB1495" w:rsidRPr="00EB1495">
        <w:t>350.000</w:t>
      </w:r>
      <w:r w:rsidR="006426A7">
        <w:t xml:space="preserve"> </w:t>
      </w:r>
      <w:r w:rsidRPr="00EB1495">
        <w:t xml:space="preserve">exclusief btw zal zijn, gerekend over de </w:t>
      </w:r>
      <w:r w:rsidR="00EB1495" w:rsidRPr="00EB1495">
        <w:t>primaire</w:t>
      </w:r>
      <w:r w:rsidRPr="00EB1495">
        <w:t xml:space="preserve"> looptijd van de Overeenkomst</w:t>
      </w:r>
      <w:r w:rsidR="00EB1495" w:rsidRPr="00EB1495">
        <w:t xml:space="preserve"> van 4 jaar</w:t>
      </w:r>
      <w:r w:rsidRPr="00EB1495">
        <w:t xml:space="preserve">. </w:t>
      </w:r>
    </w:p>
    <w:p w14:paraId="7E9F8FC1" w14:textId="08C4A2F8" w:rsidR="008A01D1" w:rsidRDefault="008A01D1" w:rsidP="003E5B24"/>
    <w:p w14:paraId="2FEFA223" w14:textId="2ED752D1" w:rsidR="008A01D1" w:rsidRPr="00576F29" w:rsidRDefault="008A01D1" w:rsidP="008A01D1">
      <w:pPr>
        <w:autoSpaceDN/>
        <w:textAlignment w:val="auto"/>
      </w:pPr>
      <w:r w:rsidRPr="00EB1495">
        <w:lastRenderedPageBreak/>
        <w:t>Met name politieke, budgettaire, bestuurlijke en/of organisatorische</w:t>
      </w:r>
      <w:r w:rsidRPr="003C64A3">
        <w:t xml:space="preserve"> ontwikkelingen binnen de Tweede Kamer</w:t>
      </w:r>
      <w:r w:rsidRPr="00576F29">
        <w:t xml:space="preserve"> kunnen (direct) invloed hebben op (het functioneren en/of de organisatie van) Opdrachtgever, hetgeen ook uitwerking kan hebben op de (te sluiten) Overeenkomst</w:t>
      </w:r>
      <w:r>
        <w:t xml:space="preserve"> en de omvang ervan</w:t>
      </w:r>
      <w:r w:rsidRPr="00576F29">
        <w:t xml:space="preserve">. </w:t>
      </w:r>
      <w:r>
        <w:t xml:space="preserve">De daadwerkelijke afname kan daardoor (enigszins) afwijken. </w:t>
      </w:r>
      <w:r w:rsidRPr="00576F29">
        <w:t>Opdrachtnemer dient hier adequaat op te kunnen reageren. Inschrijver/Opdrachtnemer dient rekening te houden met wijzigingen (dit kan een daling maar ook een stijging betekenen) in de behoefteomvang van Opdrachtgever. Eventuele wijzigingen gedurende de looptijd van de Overeenkomst hebben geen gevolgen voor de voorwaarden zoals deze worden overeengekomen, zoals prijzen en de (overeengekomen) kwaliteit.</w:t>
      </w:r>
    </w:p>
    <w:p w14:paraId="7AACB1B9" w14:textId="77777777" w:rsidR="008A01D1" w:rsidRPr="003C64A3" w:rsidRDefault="008A01D1" w:rsidP="003E5B24"/>
    <w:p w14:paraId="258525E4" w14:textId="77777777" w:rsidR="005D4F2F" w:rsidRPr="005D4F2F" w:rsidRDefault="005D4F2F" w:rsidP="007E302D">
      <w:pPr>
        <w:rPr>
          <w:u w:val="single"/>
        </w:rPr>
      </w:pPr>
      <w:r w:rsidRPr="005D4F2F">
        <w:rPr>
          <w:u w:val="single"/>
        </w:rPr>
        <w:t xml:space="preserve">Percelen </w:t>
      </w:r>
    </w:p>
    <w:p w14:paraId="775347E4" w14:textId="54FA46E4" w:rsidR="00951CAD" w:rsidRPr="00951CAD" w:rsidRDefault="003015AC" w:rsidP="003015AC">
      <w:pPr>
        <w:rPr>
          <w:highlight w:val="yellow"/>
        </w:rPr>
      </w:pPr>
      <w:r>
        <w:t>Gelet op de aard en omvang van de opdracht heeft d</w:t>
      </w:r>
      <w:r w:rsidR="00D76B56">
        <w:t xml:space="preserve">e </w:t>
      </w:r>
      <w:r w:rsidR="00951CAD">
        <w:t xml:space="preserve">Tweede Kamer </w:t>
      </w:r>
      <w:r>
        <w:t>besloten de opdracht niet op de te delen in percelen. Er is derhalve sprake van 1 perceel.</w:t>
      </w:r>
    </w:p>
    <w:p w14:paraId="72CDE1AB" w14:textId="21D88343" w:rsidR="006E0326" w:rsidRPr="003015AC" w:rsidRDefault="006E0326" w:rsidP="003015AC">
      <w:pPr>
        <w:rPr>
          <w:highlight w:val="yellow"/>
        </w:rPr>
      </w:pPr>
    </w:p>
    <w:p w14:paraId="033E5A7A" w14:textId="1A51F007" w:rsidR="00FB236E" w:rsidRDefault="000815DD" w:rsidP="00FB236E">
      <w:pPr>
        <w:pStyle w:val="RapportKop2"/>
        <w:spacing w:after="0" w:line="240" w:lineRule="auto"/>
      </w:pPr>
      <w:bookmarkStart w:id="10" w:name="_Toc105606072"/>
      <w:r>
        <w:t>Maatschappelijke waarde</w:t>
      </w:r>
      <w:bookmarkEnd w:id="10"/>
    </w:p>
    <w:p w14:paraId="55F2A619" w14:textId="092D3F9B" w:rsidR="000815DD" w:rsidRDefault="00FB236E" w:rsidP="00937750">
      <w:r>
        <w:t xml:space="preserve">De </w:t>
      </w:r>
      <w:r w:rsidR="00954B1B">
        <w:t>Tweede Kamer</w:t>
      </w:r>
      <w:r>
        <w:t xml:space="preserve"> streeft ernaar door middel van de Aanbestedings</w:t>
      </w:r>
      <w:r w:rsidR="00954B1B">
        <w:t>procedure zo veel mogelijk maats</w:t>
      </w:r>
      <w:r>
        <w:t>chappelijke waarde te creëren</w:t>
      </w:r>
      <w:r w:rsidR="008A01D1">
        <w:t>, naast het primaire doel van de invulling van de gevraagde dienstverlening</w:t>
      </w:r>
      <w:r>
        <w:t xml:space="preserve">. </w:t>
      </w:r>
      <w:r w:rsidR="000815DD">
        <w:t xml:space="preserve">In dat kader beoogt de Tweede Kamer haar inkoopkracht in te zetten voor het realiseren van de </w:t>
      </w:r>
      <w:r w:rsidR="001C43A5">
        <w:t xml:space="preserve">nationale en internationale </w:t>
      </w:r>
      <w:r w:rsidR="000815DD">
        <w:t xml:space="preserve">doelen </w:t>
      </w:r>
      <w:r w:rsidR="001C43A5">
        <w:t>waaraan</w:t>
      </w:r>
      <w:r w:rsidR="000815DD">
        <w:t xml:space="preserve"> de Nederlandse overheid </w:t>
      </w:r>
      <w:r w:rsidR="001C43A5">
        <w:t>zich heeft gecommitteerd</w:t>
      </w:r>
      <w:r w:rsidR="000815DD">
        <w:t xml:space="preserve">, zowel in het fysieke als in het sociale domein. </w:t>
      </w:r>
    </w:p>
    <w:p w14:paraId="127ACA48" w14:textId="11F3EC86" w:rsidR="000815DD" w:rsidRDefault="000815DD" w:rsidP="00937750"/>
    <w:p w14:paraId="3A1BD310" w14:textId="3AB2F54E" w:rsidR="000815DD" w:rsidRDefault="000836C2" w:rsidP="00937750">
      <w:r w:rsidRPr="007972DD">
        <w:t>In de Aanbestedingsprocedure stuurt de Tweede Kamer aan</w:t>
      </w:r>
      <w:r w:rsidR="00FB236E" w:rsidRPr="007972DD">
        <w:t xml:space="preserve"> </w:t>
      </w:r>
      <w:r w:rsidR="008A01D1">
        <w:t xml:space="preserve">op deze optimalisering van Maatschappelijke Waarde </w:t>
      </w:r>
      <w:r w:rsidR="00FB236E" w:rsidRPr="007972DD">
        <w:t xml:space="preserve">door middel van </w:t>
      </w:r>
      <w:r w:rsidR="000E4FAA" w:rsidRPr="007972DD">
        <w:t xml:space="preserve">het gunningscriterium </w:t>
      </w:r>
      <w:r w:rsidR="007972DD" w:rsidRPr="007972DD">
        <w:t>Beste Prijs Kwaliteit Verhouding</w:t>
      </w:r>
      <w:r w:rsidR="008A01D1">
        <w:t xml:space="preserve">.  </w:t>
      </w:r>
    </w:p>
    <w:p w14:paraId="7E56FC91" w14:textId="77777777" w:rsidR="000815DD" w:rsidRDefault="000815DD" w:rsidP="00937750"/>
    <w:p w14:paraId="61ED9463" w14:textId="5932D35C" w:rsidR="00B80979" w:rsidRDefault="008E582B" w:rsidP="00937750">
      <w:r>
        <w:t>Daarnaast verwacht de Tweede Kamer in het kader van de uitvoering van de opdrac</w:t>
      </w:r>
      <w:r w:rsidR="000815DD">
        <w:t>ht een actieve bijdrage van de O</w:t>
      </w:r>
      <w:r>
        <w:t xml:space="preserve">pdrachtnemer aan </w:t>
      </w:r>
      <w:r w:rsidR="00B80979">
        <w:t>het creëren van</w:t>
      </w:r>
      <w:r>
        <w:t xml:space="preserve"> maatschappelijke </w:t>
      </w:r>
      <w:r w:rsidR="00B80979">
        <w:t xml:space="preserve">waarde. </w:t>
      </w:r>
      <w:r w:rsidR="00CC1B14" w:rsidRPr="00CC1B14">
        <w:t>In dat verband</w:t>
      </w:r>
      <w:r w:rsidR="001D2489" w:rsidRPr="00CC1B14">
        <w:t xml:space="preserve"> </w:t>
      </w:r>
      <w:r w:rsidR="00CC1B14" w:rsidRPr="00CC1B14">
        <w:t xml:space="preserve">brengt Opdrachtnemer </w:t>
      </w:r>
      <w:r w:rsidR="001D2489" w:rsidRPr="00CC1B14">
        <w:t>vanuit de expertise van zijn onderneming concrete en uitvoerbare ideeën en/of plannen in</w:t>
      </w:r>
      <w:r w:rsidR="00CC1B14" w:rsidRPr="00CC1B14">
        <w:t>,</w:t>
      </w:r>
      <w:r w:rsidR="001D2489" w:rsidRPr="00CC1B14">
        <w:t xml:space="preserve"> die hieraan een bijdrage kunnen leveren. In de samenwerking wordt besproken en besloten op welke wijze uitvoering </w:t>
      </w:r>
      <w:r w:rsidR="00CC1B14" w:rsidRPr="00CC1B14">
        <w:t>kan worden</w:t>
      </w:r>
      <w:r w:rsidR="001D2489" w:rsidRPr="00CC1B14">
        <w:t xml:space="preserve"> gegeven aan de bedoelde ideeën en/of plannen. Van de Opdrachtnemer wordt verwacht dat hij zoveel mogelijk op concrete en meetbare wijze aan de Tweed</w:t>
      </w:r>
      <w:r w:rsidR="00CC1B14" w:rsidRPr="00CC1B14">
        <w:t>e</w:t>
      </w:r>
      <w:r w:rsidR="001D2489" w:rsidRPr="00CC1B14">
        <w:t xml:space="preserve"> Kamer rapporteert over de resultaten van de uitvoering van de ideeën en/of plannen</w:t>
      </w:r>
      <w:r w:rsidR="00CC1B14" w:rsidRPr="00CC1B14">
        <w:t>.</w:t>
      </w:r>
      <w:r>
        <w:t xml:space="preserve"> </w:t>
      </w:r>
    </w:p>
    <w:p w14:paraId="2A43EA70" w14:textId="77777777" w:rsidR="00B80979" w:rsidRDefault="00B80979" w:rsidP="00937750"/>
    <w:p w14:paraId="06C58102" w14:textId="5FE20B55" w:rsidR="00A14944" w:rsidRDefault="00CE700A" w:rsidP="00A14944">
      <w:pPr>
        <w:pStyle w:val="RapportKop1"/>
      </w:pPr>
      <w:bookmarkStart w:id="11" w:name="_Toc105606073"/>
      <w:r>
        <w:lastRenderedPageBreak/>
        <w:t>Aanbestedingsprocedure</w:t>
      </w:r>
      <w:bookmarkEnd w:id="11"/>
    </w:p>
    <w:p w14:paraId="49C96431" w14:textId="71BA382C" w:rsidR="00532726" w:rsidRDefault="00CE700A" w:rsidP="003015AC">
      <w:r>
        <w:t xml:space="preserve">De Tweede Kamer hanteert de Europese openbare aanbestedingsprocedure, omdat </w:t>
      </w:r>
      <w:r w:rsidR="003015AC">
        <w:t xml:space="preserve">de omvang van de opdracht in </w:t>
      </w:r>
      <w:r w:rsidR="00383133">
        <w:t>financiële</w:t>
      </w:r>
      <w:r w:rsidR="003015AC">
        <w:t xml:space="preserve"> zin daartoe verplicht in relatie tot het drempelbedrag. Daarnaast overweegt </w:t>
      </w:r>
      <w:r>
        <w:t xml:space="preserve">de Tweede Kamer op grond van de beperkte concurrentie op het gebied van de opdracht relatief weinig Inschrijvers </w:t>
      </w:r>
      <w:r w:rsidR="003015AC">
        <w:t xml:space="preserve">te </w:t>
      </w:r>
      <w:r>
        <w:t>verwacht</w:t>
      </w:r>
      <w:r w:rsidR="003015AC">
        <w:t>en</w:t>
      </w:r>
      <w:r>
        <w:t xml:space="preserve">. De openbare procedure is </w:t>
      </w:r>
      <w:r w:rsidR="00532726">
        <w:t xml:space="preserve">in dit geval dan ook </w:t>
      </w:r>
      <w:r>
        <w:t>effici</w:t>
      </w:r>
      <w:r w:rsidR="00532726">
        <w:t>ënt</w:t>
      </w:r>
      <w:r>
        <w:t xml:space="preserve"> en ko</w:t>
      </w:r>
      <w:r w:rsidR="00532726">
        <w:t>stenbesparend.</w:t>
      </w:r>
      <w:r>
        <w:t xml:space="preserve"> </w:t>
      </w:r>
    </w:p>
    <w:p w14:paraId="31C8D5A2" w14:textId="1209F74F" w:rsidR="003545C5" w:rsidRDefault="003545C5" w:rsidP="003545C5">
      <w:r>
        <w:t>Op de Aanbestedingsprocedure is de Aanbestedingswet van toepassing.</w:t>
      </w:r>
    </w:p>
    <w:p w14:paraId="23615882" w14:textId="77777777" w:rsidR="003545C5" w:rsidRDefault="003545C5" w:rsidP="003545C5"/>
    <w:p w14:paraId="6E4B7A07" w14:textId="77777777" w:rsidR="00CE700A" w:rsidRPr="00D16AD7" w:rsidRDefault="00CE700A" w:rsidP="00CE700A">
      <w:pPr>
        <w:pStyle w:val="RapportKop2"/>
      </w:pPr>
      <w:bookmarkStart w:id="12" w:name="_Toc105606074"/>
      <w:r w:rsidRPr="00D16AD7">
        <w:t>Planning</w:t>
      </w:r>
      <w:bookmarkEnd w:id="12"/>
    </w:p>
    <w:p w14:paraId="3E365CEF" w14:textId="7F1F34C6" w:rsidR="00E95185" w:rsidRDefault="00E95185" w:rsidP="00CE700A">
      <w:pPr>
        <w:autoSpaceDE w:val="0"/>
        <w:adjustRightInd w:val="0"/>
        <w:rPr>
          <w:rFonts w:cs="Verdana"/>
        </w:rPr>
      </w:pPr>
      <w:r w:rsidRPr="00C91E5C">
        <w:t>De beoogde planning van de Aanbestedingsprocedure is als volgt.</w:t>
      </w:r>
    </w:p>
    <w:p w14:paraId="093BEF62" w14:textId="77777777" w:rsidR="00E95185" w:rsidRDefault="00E95185" w:rsidP="00CE700A">
      <w:pPr>
        <w:autoSpaceDE w:val="0"/>
        <w:adjustRightInd w:val="0"/>
        <w:rPr>
          <w:rFonts w:cs="Verdana"/>
        </w:rPr>
      </w:pPr>
    </w:p>
    <w:tbl>
      <w:tblPr>
        <w:tblW w:w="820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000" w:firstRow="0" w:lastRow="0" w:firstColumn="0" w:lastColumn="0" w:noHBand="0" w:noVBand="0"/>
      </w:tblPr>
      <w:tblGrid>
        <w:gridCol w:w="3888"/>
        <w:gridCol w:w="4320"/>
      </w:tblGrid>
      <w:tr w:rsidR="00E95185" w:rsidRPr="00D16AD7" w14:paraId="7FA1F8F6" w14:textId="77777777" w:rsidTr="00EE6C97">
        <w:trPr>
          <w:trHeight w:val="416"/>
          <w:tblHeader/>
        </w:trPr>
        <w:tc>
          <w:tcPr>
            <w:tcW w:w="3888" w:type="dxa"/>
            <w:shd w:val="clear" w:color="auto" w:fill="121469"/>
            <w:vAlign w:val="center"/>
          </w:tcPr>
          <w:p w14:paraId="46E85E0D" w14:textId="77777777" w:rsidR="00E95185" w:rsidRPr="00D16AD7" w:rsidRDefault="00E95185" w:rsidP="00EE6C97">
            <w:pPr>
              <w:pStyle w:val="Default"/>
              <w:spacing w:line="283" w:lineRule="exact"/>
              <w:rPr>
                <w:rFonts w:ascii="Verdana" w:hAnsi="Verdana"/>
                <w:color w:val="FFFFFF" w:themeColor="background1"/>
                <w:sz w:val="18"/>
                <w:szCs w:val="18"/>
              </w:rPr>
            </w:pPr>
            <w:r w:rsidRPr="00D16AD7">
              <w:rPr>
                <w:rFonts w:ascii="Verdana" w:hAnsi="Verdana"/>
                <w:b/>
                <w:bCs/>
                <w:color w:val="FFFFFF" w:themeColor="background1"/>
                <w:sz w:val="18"/>
                <w:szCs w:val="18"/>
              </w:rPr>
              <w:t>ONDERDEEL</w:t>
            </w:r>
          </w:p>
        </w:tc>
        <w:tc>
          <w:tcPr>
            <w:tcW w:w="4320" w:type="dxa"/>
            <w:shd w:val="clear" w:color="auto" w:fill="121469"/>
            <w:vAlign w:val="center"/>
          </w:tcPr>
          <w:p w14:paraId="5B6CFFE6" w14:textId="77777777" w:rsidR="00E95185" w:rsidRPr="00D16AD7" w:rsidRDefault="00E95185" w:rsidP="00EE6C97">
            <w:pPr>
              <w:pStyle w:val="Default"/>
              <w:spacing w:line="283" w:lineRule="exact"/>
              <w:rPr>
                <w:rFonts w:ascii="Verdana" w:hAnsi="Verdana"/>
                <w:color w:val="FFFFFF" w:themeColor="background1"/>
                <w:sz w:val="18"/>
                <w:szCs w:val="18"/>
              </w:rPr>
            </w:pPr>
            <w:r w:rsidRPr="00D16AD7">
              <w:rPr>
                <w:rFonts w:ascii="Verdana" w:hAnsi="Verdana"/>
                <w:b/>
                <w:bCs/>
                <w:color w:val="FFFFFF" w:themeColor="background1"/>
                <w:sz w:val="18"/>
                <w:szCs w:val="18"/>
              </w:rPr>
              <w:t>DATUM</w:t>
            </w:r>
          </w:p>
        </w:tc>
      </w:tr>
      <w:tr w:rsidR="00E95185" w:rsidRPr="00D16AD7" w14:paraId="4FB6E5D0" w14:textId="77777777" w:rsidTr="00EE6C97">
        <w:trPr>
          <w:trHeight w:val="96"/>
          <w:tblHeader/>
        </w:trPr>
        <w:tc>
          <w:tcPr>
            <w:tcW w:w="3888" w:type="dxa"/>
            <w:shd w:val="clear" w:color="auto" w:fill="auto"/>
            <w:vAlign w:val="center"/>
          </w:tcPr>
          <w:p w14:paraId="03D8F07A" w14:textId="1414EDD0" w:rsidR="00E95185" w:rsidRPr="00D16AD7" w:rsidRDefault="00E95185" w:rsidP="00E95185">
            <w:pPr>
              <w:pStyle w:val="Default"/>
              <w:spacing w:line="283" w:lineRule="exact"/>
              <w:rPr>
                <w:rFonts w:ascii="Verdana" w:hAnsi="Verdana"/>
                <w:color w:val="auto"/>
                <w:sz w:val="18"/>
                <w:szCs w:val="18"/>
              </w:rPr>
            </w:pPr>
            <w:r>
              <w:rPr>
                <w:rFonts w:ascii="Verdana" w:hAnsi="Verdana"/>
                <w:color w:val="auto"/>
                <w:sz w:val="18"/>
                <w:szCs w:val="18"/>
              </w:rPr>
              <w:t xml:space="preserve">Publicatie Aankondiging </w:t>
            </w:r>
            <w:r w:rsidRPr="00D16AD7">
              <w:rPr>
                <w:rFonts w:ascii="Verdana" w:hAnsi="Verdana"/>
                <w:color w:val="auto"/>
                <w:sz w:val="18"/>
                <w:szCs w:val="18"/>
              </w:rPr>
              <w:t>via TenderNed</w:t>
            </w:r>
          </w:p>
        </w:tc>
        <w:tc>
          <w:tcPr>
            <w:tcW w:w="4320" w:type="dxa"/>
            <w:shd w:val="clear" w:color="auto" w:fill="auto"/>
            <w:vAlign w:val="center"/>
          </w:tcPr>
          <w:p w14:paraId="348E3C95" w14:textId="5CF54EE4" w:rsidR="00E95185" w:rsidRPr="00D16AD7" w:rsidRDefault="00CC1B14" w:rsidP="00CC1B14">
            <w:pPr>
              <w:pStyle w:val="Default"/>
              <w:spacing w:line="283" w:lineRule="exact"/>
              <w:jc w:val="both"/>
              <w:rPr>
                <w:rFonts w:ascii="Verdana" w:hAnsi="Verdana"/>
                <w:color w:val="auto"/>
                <w:sz w:val="18"/>
                <w:szCs w:val="18"/>
                <w:highlight w:val="yellow"/>
              </w:rPr>
            </w:pPr>
            <w:r>
              <w:rPr>
                <w:rFonts w:ascii="Verdana" w:hAnsi="Verdana"/>
                <w:color w:val="auto"/>
                <w:sz w:val="18"/>
                <w:szCs w:val="18"/>
              </w:rPr>
              <w:t>8 juni</w:t>
            </w:r>
            <w:r w:rsidR="00A74B76">
              <w:rPr>
                <w:rFonts w:ascii="Verdana" w:hAnsi="Verdana"/>
                <w:color w:val="auto"/>
                <w:sz w:val="18"/>
                <w:szCs w:val="18"/>
              </w:rPr>
              <w:t xml:space="preserve"> 2022</w:t>
            </w:r>
          </w:p>
        </w:tc>
      </w:tr>
      <w:tr w:rsidR="00E95185" w:rsidRPr="00D16AD7" w14:paraId="48FA09CA" w14:textId="77777777" w:rsidTr="00EE6C97">
        <w:trPr>
          <w:trHeight w:val="96"/>
          <w:tblHeader/>
        </w:trPr>
        <w:tc>
          <w:tcPr>
            <w:tcW w:w="3888" w:type="dxa"/>
            <w:shd w:val="clear" w:color="auto" w:fill="auto"/>
            <w:vAlign w:val="center"/>
          </w:tcPr>
          <w:p w14:paraId="32E9D2A4" w14:textId="5B82BB92" w:rsidR="00E95185" w:rsidRPr="00580E6B" w:rsidRDefault="00760B23" w:rsidP="00760B23">
            <w:pPr>
              <w:pStyle w:val="Default"/>
              <w:spacing w:line="283" w:lineRule="exact"/>
              <w:rPr>
                <w:rFonts w:ascii="Verdana" w:hAnsi="Verdana"/>
                <w:color w:val="auto"/>
                <w:sz w:val="18"/>
                <w:szCs w:val="18"/>
              </w:rPr>
            </w:pPr>
            <w:r w:rsidRPr="00580E6B">
              <w:rPr>
                <w:rFonts w:ascii="Verdana" w:hAnsi="Verdana"/>
                <w:color w:val="auto"/>
                <w:sz w:val="18"/>
                <w:szCs w:val="18"/>
              </w:rPr>
              <w:t>Sluiting termijn voor het</w:t>
            </w:r>
            <w:r w:rsidR="00E95185" w:rsidRPr="00580E6B">
              <w:rPr>
                <w:rFonts w:ascii="Verdana" w:hAnsi="Verdana"/>
                <w:color w:val="auto"/>
                <w:sz w:val="18"/>
                <w:szCs w:val="18"/>
              </w:rPr>
              <w:t xml:space="preserve"> indienen van vragen </w:t>
            </w:r>
            <w:r w:rsidR="00593127" w:rsidRPr="00580E6B">
              <w:rPr>
                <w:rFonts w:ascii="Verdana" w:hAnsi="Verdana"/>
                <w:color w:val="auto"/>
                <w:sz w:val="18"/>
                <w:szCs w:val="18"/>
              </w:rPr>
              <w:t xml:space="preserve">t.b.v. </w:t>
            </w:r>
            <w:r w:rsidR="00057DED" w:rsidRPr="00580E6B">
              <w:rPr>
                <w:rFonts w:ascii="Verdana" w:hAnsi="Verdana"/>
                <w:color w:val="auto"/>
                <w:sz w:val="18"/>
                <w:szCs w:val="18"/>
              </w:rPr>
              <w:t>1</w:t>
            </w:r>
            <w:r w:rsidR="00057DED" w:rsidRPr="00580E6B">
              <w:rPr>
                <w:rFonts w:ascii="Verdana" w:hAnsi="Verdana"/>
                <w:color w:val="auto"/>
                <w:sz w:val="18"/>
                <w:szCs w:val="18"/>
                <w:vertAlign w:val="superscript"/>
              </w:rPr>
              <w:t>e</w:t>
            </w:r>
            <w:r w:rsidR="00057DED" w:rsidRPr="00580E6B">
              <w:rPr>
                <w:rFonts w:ascii="Verdana" w:hAnsi="Verdana"/>
                <w:color w:val="auto"/>
                <w:sz w:val="18"/>
                <w:szCs w:val="18"/>
              </w:rPr>
              <w:t xml:space="preserve"> </w:t>
            </w:r>
            <w:r w:rsidR="00593127" w:rsidRPr="00580E6B">
              <w:rPr>
                <w:rFonts w:ascii="Verdana" w:hAnsi="Verdana"/>
                <w:color w:val="auto"/>
                <w:sz w:val="18"/>
                <w:szCs w:val="18"/>
              </w:rPr>
              <w:t>Nota van Inlichtingen</w:t>
            </w:r>
          </w:p>
        </w:tc>
        <w:tc>
          <w:tcPr>
            <w:tcW w:w="4320" w:type="dxa"/>
            <w:shd w:val="clear" w:color="auto" w:fill="auto"/>
            <w:vAlign w:val="center"/>
          </w:tcPr>
          <w:p w14:paraId="4F429925" w14:textId="25F0F574" w:rsidR="00E95185" w:rsidRPr="00580E6B" w:rsidRDefault="00CC1B14" w:rsidP="00CC1B14">
            <w:pPr>
              <w:pStyle w:val="Default"/>
              <w:spacing w:line="283" w:lineRule="exact"/>
              <w:jc w:val="both"/>
              <w:rPr>
                <w:rFonts w:ascii="Verdana" w:hAnsi="Verdana"/>
                <w:color w:val="auto"/>
                <w:sz w:val="18"/>
                <w:szCs w:val="18"/>
              </w:rPr>
            </w:pPr>
            <w:r>
              <w:rPr>
                <w:rFonts w:ascii="Verdana" w:hAnsi="Verdana"/>
                <w:color w:val="auto"/>
                <w:sz w:val="18"/>
                <w:szCs w:val="18"/>
              </w:rPr>
              <w:t>17</w:t>
            </w:r>
            <w:r w:rsidR="00A74B76" w:rsidRPr="00580E6B">
              <w:rPr>
                <w:rFonts w:ascii="Verdana" w:hAnsi="Verdana"/>
                <w:color w:val="auto"/>
                <w:sz w:val="18"/>
                <w:szCs w:val="18"/>
              </w:rPr>
              <w:t xml:space="preserve"> juni 2022, 12h00</w:t>
            </w:r>
          </w:p>
        </w:tc>
      </w:tr>
      <w:tr w:rsidR="00E95185" w:rsidRPr="00D16AD7" w14:paraId="62A438FA" w14:textId="77777777" w:rsidTr="00EE6C97">
        <w:trPr>
          <w:trHeight w:val="96"/>
          <w:tblHeader/>
        </w:trPr>
        <w:tc>
          <w:tcPr>
            <w:tcW w:w="3888" w:type="dxa"/>
            <w:shd w:val="clear" w:color="auto" w:fill="auto"/>
            <w:vAlign w:val="center"/>
          </w:tcPr>
          <w:p w14:paraId="3B56730F" w14:textId="757BF30F" w:rsidR="00E95185" w:rsidRPr="00580E6B" w:rsidRDefault="00E95185" w:rsidP="00EE6C97">
            <w:pPr>
              <w:pStyle w:val="Default"/>
              <w:spacing w:line="283" w:lineRule="exact"/>
              <w:rPr>
                <w:rFonts w:ascii="Verdana" w:hAnsi="Verdana"/>
                <w:color w:val="auto"/>
                <w:sz w:val="18"/>
                <w:szCs w:val="18"/>
              </w:rPr>
            </w:pPr>
            <w:r w:rsidRPr="00580E6B">
              <w:rPr>
                <w:rFonts w:ascii="Verdana" w:hAnsi="Verdana"/>
                <w:color w:val="auto"/>
                <w:sz w:val="18"/>
                <w:szCs w:val="18"/>
              </w:rPr>
              <w:t xml:space="preserve">Publiceren </w:t>
            </w:r>
            <w:r w:rsidR="00057DED" w:rsidRPr="00580E6B">
              <w:rPr>
                <w:rFonts w:ascii="Verdana" w:hAnsi="Verdana"/>
                <w:color w:val="auto"/>
                <w:sz w:val="18"/>
                <w:szCs w:val="18"/>
              </w:rPr>
              <w:t>1</w:t>
            </w:r>
            <w:r w:rsidR="00057DED" w:rsidRPr="00580E6B">
              <w:rPr>
                <w:rFonts w:ascii="Verdana" w:hAnsi="Verdana"/>
                <w:color w:val="auto"/>
                <w:sz w:val="18"/>
                <w:szCs w:val="18"/>
                <w:vertAlign w:val="superscript"/>
              </w:rPr>
              <w:t>e</w:t>
            </w:r>
            <w:r w:rsidR="00057DED" w:rsidRPr="00580E6B">
              <w:rPr>
                <w:rFonts w:ascii="Verdana" w:hAnsi="Verdana"/>
                <w:color w:val="auto"/>
                <w:sz w:val="18"/>
                <w:szCs w:val="18"/>
              </w:rPr>
              <w:t xml:space="preserve"> </w:t>
            </w:r>
            <w:r w:rsidR="00760B23" w:rsidRPr="00580E6B">
              <w:rPr>
                <w:rFonts w:ascii="Verdana" w:hAnsi="Verdana"/>
                <w:color w:val="auto"/>
                <w:sz w:val="18"/>
                <w:szCs w:val="18"/>
              </w:rPr>
              <w:t>No</w:t>
            </w:r>
            <w:r w:rsidRPr="00580E6B">
              <w:rPr>
                <w:rFonts w:ascii="Verdana" w:hAnsi="Verdana"/>
                <w:color w:val="auto"/>
                <w:sz w:val="18"/>
                <w:szCs w:val="18"/>
              </w:rPr>
              <w:t>ta van I</w:t>
            </w:r>
            <w:r w:rsidR="00593127" w:rsidRPr="00580E6B">
              <w:rPr>
                <w:rFonts w:ascii="Verdana" w:hAnsi="Verdana"/>
                <w:color w:val="auto"/>
                <w:sz w:val="18"/>
                <w:szCs w:val="18"/>
              </w:rPr>
              <w:t>nlichtingen</w:t>
            </w:r>
          </w:p>
        </w:tc>
        <w:tc>
          <w:tcPr>
            <w:tcW w:w="4320" w:type="dxa"/>
            <w:shd w:val="clear" w:color="auto" w:fill="auto"/>
            <w:vAlign w:val="center"/>
          </w:tcPr>
          <w:p w14:paraId="7E88D6C5" w14:textId="65F70770" w:rsidR="00E95185" w:rsidRPr="00580E6B" w:rsidRDefault="00CC1B14" w:rsidP="00CC1B14">
            <w:pPr>
              <w:pStyle w:val="Default"/>
              <w:spacing w:line="283" w:lineRule="exact"/>
              <w:jc w:val="both"/>
              <w:rPr>
                <w:rFonts w:ascii="Verdana" w:hAnsi="Verdana"/>
                <w:color w:val="auto"/>
                <w:sz w:val="18"/>
                <w:szCs w:val="18"/>
              </w:rPr>
            </w:pPr>
            <w:r>
              <w:rPr>
                <w:rFonts w:ascii="Verdana" w:hAnsi="Verdana"/>
                <w:color w:val="auto"/>
                <w:sz w:val="18"/>
                <w:szCs w:val="18"/>
              </w:rPr>
              <w:t>23</w:t>
            </w:r>
            <w:r w:rsidR="00580E6B" w:rsidRPr="00580E6B">
              <w:rPr>
                <w:rFonts w:ascii="Verdana" w:hAnsi="Verdana"/>
                <w:color w:val="auto"/>
                <w:sz w:val="18"/>
                <w:szCs w:val="18"/>
              </w:rPr>
              <w:t xml:space="preserve"> juni 2022</w:t>
            </w:r>
          </w:p>
        </w:tc>
      </w:tr>
      <w:tr w:rsidR="00057DED" w:rsidRPr="00D16AD7" w14:paraId="325BBE65" w14:textId="77777777" w:rsidTr="00EE6C97">
        <w:trPr>
          <w:trHeight w:val="96"/>
          <w:tblHeader/>
        </w:trPr>
        <w:tc>
          <w:tcPr>
            <w:tcW w:w="3888" w:type="dxa"/>
            <w:shd w:val="clear" w:color="auto" w:fill="auto"/>
            <w:vAlign w:val="center"/>
          </w:tcPr>
          <w:p w14:paraId="4CC86AF6" w14:textId="3240662C" w:rsidR="00057DED" w:rsidRPr="00580E6B" w:rsidRDefault="00057DED" w:rsidP="00057DED">
            <w:pPr>
              <w:pStyle w:val="Default"/>
              <w:spacing w:line="283" w:lineRule="exact"/>
              <w:rPr>
                <w:rFonts w:ascii="Verdana" w:hAnsi="Verdana"/>
                <w:color w:val="auto"/>
                <w:sz w:val="18"/>
                <w:szCs w:val="18"/>
              </w:rPr>
            </w:pPr>
            <w:r w:rsidRPr="00580E6B">
              <w:rPr>
                <w:rFonts w:ascii="Verdana" w:hAnsi="Verdana"/>
                <w:color w:val="auto"/>
                <w:sz w:val="18"/>
                <w:szCs w:val="18"/>
              </w:rPr>
              <w:t>Sluiting termijn voor het indienen van vragen t.b.v. 2</w:t>
            </w:r>
            <w:r w:rsidRPr="00580E6B">
              <w:rPr>
                <w:rFonts w:ascii="Verdana" w:hAnsi="Verdana"/>
                <w:color w:val="auto"/>
                <w:sz w:val="18"/>
                <w:szCs w:val="18"/>
                <w:vertAlign w:val="superscript"/>
              </w:rPr>
              <w:t>e</w:t>
            </w:r>
            <w:r w:rsidRPr="00580E6B">
              <w:rPr>
                <w:rFonts w:ascii="Verdana" w:hAnsi="Verdana"/>
                <w:color w:val="auto"/>
                <w:sz w:val="18"/>
                <w:szCs w:val="18"/>
              </w:rPr>
              <w:t xml:space="preserve"> Nota van Inlichtingen</w:t>
            </w:r>
          </w:p>
        </w:tc>
        <w:tc>
          <w:tcPr>
            <w:tcW w:w="4320" w:type="dxa"/>
            <w:shd w:val="clear" w:color="auto" w:fill="auto"/>
            <w:vAlign w:val="center"/>
          </w:tcPr>
          <w:p w14:paraId="3FBC3576" w14:textId="341B2F5D" w:rsidR="00057DED" w:rsidRPr="00580E6B" w:rsidRDefault="00CC1B14" w:rsidP="00CC1B14">
            <w:pPr>
              <w:pStyle w:val="Default"/>
              <w:spacing w:line="283" w:lineRule="exact"/>
              <w:jc w:val="both"/>
              <w:rPr>
                <w:rFonts w:ascii="Verdana" w:hAnsi="Verdana"/>
                <w:color w:val="auto"/>
                <w:sz w:val="18"/>
                <w:szCs w:val="18"/>
              </w:rPr>
            </w:pPr>
            <w:r>
              <w:rPr>
                <w:rFonts w:ascii="Verdana" w:hAnsi="Verdana"/>
                <w:color w:val="auto"/>
                <w:sz w:val="18"/>
                <w:szCs w:val="18"/>
              </w:rPr>
              <w:t xml:space="preserve">30 </w:t>
            </w:r>
            <w:r w:rsidR="00580E6B" w:rsidRPr="00580E6B">
              <w:rPr>
                <w:rFonts w:ascii="Verdana" w:hAnsi="Verdana"/>
                <w:color w:val="auto"/>
                <w:sz w:val="18"/>
                <w:szCs w:val="18"/>
              </w:rPr>
              <w:t>juni 2022, 12h00</w:t>
            </w:r>
          </w:p>
        </w:tc>
      </w:tr>
      <w:tr w:rsidR="00057DED" w:rsidRPr="00D16AD7" w14:paraId="1B20A8D3" w14:textId="77777777" w:rsidTr="00EE6C97">
        <w:trPr>
          <w:trHeight w:val="96"/>
          <w:tblHeader/>
        </w:trPr>
        <w:tc>
          <w:tcPr>
            <w:tcW w:w="3888" w:type="dxa"/>
            <w:shd w:val="clear" w:color="auto" w:fill="auto"/>
            <w:vAlign w:val="center"/>
          </w:tcPr>
          <w:p w14:paraId="139618FD" w14:textId="3D7E175B" w:rsidR="00057DED" w:rsidRPr="00580E6B" w:rsidRDefault="00057DED" w:rsidP="00057DED">
            <w:pPr>
              <w:pStyle w:val="Default"/>
              <w:spacing w:line="283" w:lineRule="exact"/>
              <w:rPr>
                <w:rFonts w:ascii="Verdana" w:hAnsi="Verdana"/>
                <w:color w:val="auto"/>
                <w:sz w:val="18"/>
                <w:szCs w:val="18"/>
              </w:rPr>
            </w:pPr>
            <w:r w:rsidRPr="00580E6B">
              <w:rPr>
                <w:rFonts w:ascii="Verdana" w:hAnsi="Verdana"/>
                <w:color w:val="auto"/>
                <w:sz w:val="18"/>
                <w:szCs w:val="18"/>
              </w:rPr>
              <w:t>Publiceren 2</w:t>
            </w:r>
            <w:r w:rsidRPr="00580E6B">
              <w:rPr>
                <w:rFonts w:ascii="Verdana" w:hAnsi="Verdana"/>
                <w:color w:val="auto"/>
                <w:sz w:val="18"/>
                <w:szCs w:val="18"/>
                <w:vertAlign w:val="superscript"/>
              </w:rPr>
              <w:t>e</w:t>
            </w:r>
            <w:r w:rsidRPr="00580E6B">
              <w:rPr>
                <w:rFonts w:ascii="Verdana" w:hAnsi="Verdana"/>
                <w:color w:val="auto"/>
                <w:sz w:val="18"/>
                <w:szCs w:val="18"/>
              </w:rPr>
              <w:t xml:space="preserve"> Nota van Inlichtingen</w:t>
            </w:r>
          </w:p>
        </w:tc>
        <w:tc>
          <w:tcPr>
            <w:tcW w:w="4320" w:type="dxa"/>
            <w:shd w:val="clear" w:color="auto" w:fill="auto"/>
            <w:vAlign w:val="center"/>
          </w:tcPr>
          <w:p w14:paraId="004967D3" w14:textId="4EECC510" w:rsidR="00057DED" w:rsidRPr="00580E6B" w:rsidRDefault="00CC1B14" w:rsidP="00CC1B14">
            <w:pPr>
              <w:pStyle w:val="Default"/>
              <w:spacing w:line="283" w:lineRule="exact"/>
              <w:jc w:val="both"/>
              <w:rPr>
                <w:rFonts w:ascii="Verdana" w:hAnsi="Verdana"/>
                <w:color w:val="auto"/>
                <w:sz w:val="18"/>
                <w:szCs w:val="18"/>
              </w:rPr>
            </w:pPr>
            <w:r>
              <w:rPr>
                <w:rFonts w:ascii="Verdana" w:hAnsi="Verdana"/>
                <w:color w:val="auto"/>
                <w:sz w:val="18"/>
                <w:szCs w:val="18"/>
              </w:rPr>
              <w:t xml:space="preserve">7 juli </w:t>
            </w:r>
            <w:r w:rsidR="00C91E5C">
              <w:rPr>
                <w:rFonts w:ascii="Verdana" w:hAnsi="Verdana"/>
                <w:color w:val="auto"/>
                <w:sz w:val="18"/>
                <w:szCs w:val="18"/>
              </w:rPr>
              <w:t>202</w:t>
            </w:r>
            <w:r>
              <w:rPr>
                <w:rFonts w:ascii="Verdana" w:hAnsi="Verdana"/>
                <w:color w:val="auto"/>
                <w:sz w:val="18"/>
                <w:szCs w:val="18"/>
              </w:rPr>
              <w:t>2</w:t>
            </w:r>
          </w:p>
        </w:tc>
      </w:tr>
      <w:tr w:rsidR="00760B23" w:rsidRPr="00D16AD7" w14:paraId="3164D513" w14:textId="77777777" w:rsidTr="00EE6C97">
        <w:trPr>
          <w:trHeight w:val="96"/>
          <w:tblHeader/>
        </w:trPr>
        <w:tc>
          <w:tcPr>
            <w:tcW w:w="3888" w:type="dxa"/>
            <w:shd w:val="clear" w:color="auto" w:fill="auto"/>
            <w:vAlign w:val="center"/>
          </w:tcPr>
          <w:p w14:paraId="5544D4AE" w14:textId="49BFCED3" w:rsidR="00760B23" w:rsidRPr="00D16AD7" w:rsidRDefault="00760B23" w:rsidP="00760B23">
            <w:pPr>
              <w:pStyle w:val="Default"/>
              <w:spacing w:line="283" w:lineRule="exact"/>
              <w:rPr>
                <w:rFonts w:ascii="Verdana" w:hAnsi="Verdana"/>
                <w:color w:val="auto"/>
                <w:sz w:val="18"/>
                <w:szCs w:val="18"/>
              </w:rPr>
            </w:pPr>
            <w:r>
              <w:rPr>
                <w:rFonts w:ascii="Verdana" w:hAnsi="Verdana"/>
                <w:color w:val="auto"/>
                <w:sz w:val="18"/>
                <w:szCs w:val="18"/>
              </w:rPr>
              <w:t>Sluiting termijn voor het in</w:t>
            </w:r>
            <w:r w:rsidRPr="00D16AD7">
              <w:rPr>
                <w:rFonts w:ascii="Verdana" w:hAnsi="Verdana"/>
                <w:color w:val="auto"/>
                <w:sz w:val="18"/>
                <w:szCs w:val="18"/>
              </w:rPr>
              <w:t xml:space="preserve">dienen </w:t>
            </w:r>
            <w:r>
              <w:rPr>
                <w:rFonts w:ascii="Verdana" w:hAnsi="Verdana"/>
                <w:color w:val="auto"/>
                <w:sz w:val="18"/>
                <w:szCs w:val="18"/>
              </w:rPr>
              <w:t xml:space="preserve">van de </w:t>
            </w:r>
            <w:r w:rsidRPr="00D16AD7">
              <w:rPr>
                <w:rFonts w:ascii="Verdana" w:hAnsi="Verdana"/>
                <w:color w:val="auto"/>
                <w:sz w:val="18"/>
                <w:szCs w:val="18"/>
              </w:rPr>
              <w:t>Inschrijving</w:t>
            </w:r>
          </w:p>
        </w:tc>
        <w:tc>
          <w:tcPr>
            <w:tcW w:w="4320" w:type="dxa"/>
            <w:shd w:val="clear" w:color="auto" w:fill="auto"/>
            <w:vAlign w:val="center"/>
          </w:tcPr>
          <w:p w14:paraId="4CA00175" w14:textId="3344917B" w:rsidR="00760B23" w:rsidRPr="00D16AD7" w:rsidRDefault="00C91E5C" w:rsidP="00C91E5C">
            <w:pPr>
              <w:pStyle w:val="Default"/>
              <w:spacing w:line="283" w:lineRule="exact"/>
              <w:jc w:val="both"/>
              <w:rPr>
                <w:rFonts w:ascii="Verdana" w:hAnsi="Verdana"/>
                <w:color w:val="auto"/>
                <w:sz w:val="18"/>
                <w:szCs w:val="18"/>
              </w:rPr>
            </w:pPr>
            <w:r>
              <w:rPr>
                <w:rFonts w:ascii="Verdana" w:hAnsi="Verdana"/>
                <w:color w:val="auto"/>
                <w:sz w:val="18"/>
                <w:szCs w:val="18"/>
              </w:rPr>
              <w:t xml:space="preserve">18 augustus </w:t>
            </w:r>
            <w:r w:rsidR="00A74B76">
              <w:rPr>
                <w:rFonts w:ascii="Verdana" w:hAnsi="Verdana"/>
                <w:color w:val="auto"/>
                <w:sz w:val="18"/>
                <w:szCs w:val="18"/>
              </w:rPr>
              <w:t>2022</w:t>
            </w:r>
            <w:r>
              <w:rPr>
                <w:rFonts w:ascii="Verdana" w:hAnsi="Verdana"/>
                <w:color w:val="auto"/>
                <w:sz w:val="18"/>
                <w:szCs w:val="18"/>
              </w:rPr>
              <w:t>, 12h00</w:t>
            </w:r>
          </w:p>
        </w:tc>
      </w:tr>
      <w:tr w:rsidR="00760B23" w:rsidRPr="00D16AD7" w14:paraId="505AE4A2" w14:textId="77777777" w:rsidTr="00EE6C97">
        <w:trPr>
          <w:trHeight w:val="96"/>
          <w:tblHeader/>
        </w:trPr>
        <w:tc>
          <w:tcPr>
            <w:tcW w:w="3888" w:type="dxa"/>
            <w:shd w:val="clear" w:color="auto" w:fill="auto"/>
            <w:vAlign w:val="center"/>
          </w:tcPr>
          <w:p w14:paraId="55C4E68D" w14:textId="40223404" w:rsidR="00760B23" w:rsidRPr="00D16AD7" w:rsidRDefault="00F3146B" w:rsidP="00760B23">
            <w:pPr>
              <w:pStyle w:val="Default"/>
              <w:spacing w:line="283" w:lineRule="exact"/>
              <w:rPr>
                <w:rFonts w:ascii="Verdana" w:hAnsi="Verdana"/>
                <w:color w:val="auto"/>
                <w:sz w:val="18"/>
                <w:szCs w:val="18"/>
              </w:rPr>
            </w:pPr>
            <w:r>
              <w:rPr>
                <w:rFonts w:ascii="Verdana" w:hAnsi="Verdana"/>
                <w:color w:val="auto"/>
                <w:sz w:val="18"/>
                <w:szCs w:val="18"/>
              </w:rPr>
              <w:t>Mededeling g</w:t>
            </w:r>
            <w:r w:rsidR="00760B23" w:rsidRPr="00D16AD7">
              <w:rPr>
                <w:rFonts w:ascii="Verdana" w:hAnsi="Verdana"/>
                <w:color w:val="auto"/>
                <w:sz w:val="18"/>
                <w:szCs w:val="18"/>
              </w:rPr>
              <w:t>unningsbeslissing</w:t>
            </w:r>
          </w:p>
        </w:tc>
        <w:tc>
          <w:tcPr>
            <w:tcW w:w="4320" w:type="dxa"/>
            <w:shd w:val="clear" w:color="auto" w:fill="auto"/>
            <w:vAlign w:val="center"/>
          </w:tcPr>
          <w:p w14:paraId="7DCD8456" w14:textId="687BBE12" w:rsidR="00760B23" w:rsidRPr="00D16AD7" w:rsidRDefault="00D77518" w:rsidP="00D77518">
            <w:pPr>
              <w:pStyle w:val="Default"/>
              <w:spacing w:line="283" w:lineRule="exact"/>
              <w:jc w:val="both"/>
              <w:rPr>
                <w:rFonts w:ascii="Verdana" w:hAnsi="Verdana"/>
                <w:color w:val="auto"/>
                <w:sz w:val="18"/>
                <w:szCs w:val="18"/>
                <w:highlight w:val="yellow"/>
              </w:rPr>
            </w:pPr>
            <w:r>
              <w:rPr>
                <w:rFonts w:ascii="Verdana" w:hAnsi="Verdana"/>
                <w:color w:val="auto"/>
                <w:sz w:val="18"/>
                <w:szCs w:val="18"/>
              </w:rPr>
              <w:t>31 augustus</w:t>
            </w:r>
            <w:r w:rsidR="00580E6B">
              <w:rPr>
                <w:rFonts w:ascii="Verdana" w:hAnsi="Verdana"/>
                <w:color w:val="auto"/>
                <w:sz w:val="18"/>
                <w:szCs w:val="18"/>
              </w:rPr>
              <w:t xml:space="preserve"> </w:t>
            </w:r>
            <w:r w:rsidR="00A74B76">
              <w:rPr>
                <w:rFonts w:ascii="Verdana" w:hAnsi="Verdana"/>
                <w:color w:val="auto"/>
                <w:sz w:val="18"/>
                <w:szCs w:val="18"/>
              </w:rPr>
              <w:t>2022</w:t>
            </w:r>
          </w:p>
        </w:tc>
      </w:tr>
      <w:tr w:rsidR="00760B23" w:rsidRPr="00D16AD7" w14:paraId="7DF80E67" w14:textId="77777777" w:rsidTr="00EE6C97">
        <w:trPr>
          <w:trHeight w:val="96"/>
          <w:tblHeader/>
        </w:trPr>
        <w:tc>
          <w:tcPr>
            <w:tcW w:w="3888" w:type="dxa"/>
            <w:shd w:val="clear" w:color="auto" w:fill="auto"/>
            <w:vAlign w:val="center"/>
          </w:tcPr>
          <w:p w14:paraId="4A01EB66" w14:textId="3CFEC769" w:rsidR="00760B23" w:rsidRPr="00D16AD7" w:rsidRDefault="00F3146B" w:rsidP="00760B23">
            <w:pPr>
              <w:pStyle w:val="Default"/>
              <w:spacing w:line="283" w:lineRule="exact"/>
              <w:rPr>
                <w:rFonts w:ascii="Verdana" w:hAnsi="Verdana"/>
                <w:color w:val="auto"/>
                <w:sz w:val="18"/>
                <w:szCs w:val="18"/>
              </w:rPr>
            </w:pPr>
            <w:r>
              <w:rPr>
                <w:rFonts w:ascii="Verdana" w:hAnsi="Verdana"/>
                <w:color w:val="auto"/>
                <w:sz w:val="18"/>
                <w:szCs w:val="18"/>
              </w:rPr>
              <w:t>Sluiting termijn voor het indienen van bewijsstukken door de voorgenomen begunstigde</w:t>
            </w:r>
          </w:p>
        </w:tc>
        <w:tc>
          <w:tcPr>
            <w:tcW w:w="4320" w:type="dxa"/>
            <w:shd w:val="clear" w:color="auto" w:fill="auto"/>
            <w:vAlign w:val="center"/>
          </w:tcPr>
          <w:p w14:paraId="46B08C02" w14:textId="2AD744ED" w:rsidR="00760B23" w:rsidRPr="00D16AD7" w:rsidRDefault="00D77518" w:rsidP="00580E6B">
            <w:pPr>
              <w:pStyle w:val="Default"/>
              <w:spacing w:line="283" w:lineRule="exact"/>
              <w:jc w:val="both"/>
              <w:rPr>
                <w:rFonts w:ascii="Verdana" w:hAnsi="Verdana"/>
                <w:color w:val="auto"/>
                <w:sz w:val="18"/>
                <w:szCs w:val="18"/>
              </w:rPr>
            </w:pPr>
            <w:r>
              <w:rPr>
                <w:rFonts w:ascii="Verdana" w:hAnsi="Verdana"/>
                <w:color w:val="auto"/>
                <w:sz w:val="18"/>
                <w:szCs w:val="18"/>
              </w:rPr>
              <w:t>7 september</w:t>
            </w:r>
            <w:r w:rsidR="00A74B76">
              <w:rPr>
                <w:rFonts w:ascii="Verdana" w:hAnsi="Verdana"/>
                <w:color w:val="auto"/>
                <w:sz w:val="18"/>
                <w:szCs w:val="18"/>
              </w:rPr>
              <w:t xml:space="preserve"> 2022</w:t>
            </w:r>
          </w:p>
        </w:tc>
      </w:tr>
      <w:tr w:rsidR="00760B23" w:rsidRPr="00D16AD7" w14:paraId="00A31079" w14:textId="77777777" w:rsidTr="00EE6C97">
        <w:trPr>
          <w:trHeight w:val="96"/>
          <w:tblHeader/>
        </w:trPr>
        <w:tc>
          <w:tcPr>
            <w:tcW w:w="3888" w:type="dxa"/>
            <w:shd w:val="clear" w:color="auto" w:fill="auto"/>
            <w:vAlign w:val="center"/>
          </w:tcPr>
          <w:p w14:paraId="304D71EA" w14:textId="06175D45" w:rsidR="00760B23" w:rsidRPr="00D16AD7" w:rsidRDefault="00F3146B" w:rsidP="00760B23">
            <w:pPr>
              <w:pStyle w:val="Default"/>
              <w:spacing w:line="283" w:lineRule="exact"/>
              <w:rPr>
                <w:rFonts w:ascii="Verdana" w:hAnsi="Verdana"/>
                <w:color w:val="auto"/>
                <w:sz w:val="18"/>
                <w:szCs w:val="18"/>
              </w:rPr>
            </w:pPr>
            <w:r>
              <w:rPr>
                <w:rFonts w:ascii="Verdana" w:hAnsi="Verdana"/>
                <w:color w:val="auto"/>
                <w:sz w:val="18"/>
                <w:szCs w:val="18"/>
              </w:rPr>
              <w:t>Uiterste bezwaardatum</w:t>
            </w:r>
          </w:p>
        </w:tc>
        <w:tc>
          <w:tcPr>
            <w:tcW w:w="4320" w:type="dxa"/>
            <w:shd w:val="clear" w:color="auto" w:fill="auto"/>
            <w:vAlign w:val="center"/>
          </w:tcPr>
          <w:p w14:paraId="2617F873" w14:textId="1E56091A" w:rsidR="00760B23" w:rsidRPr="00D16AD7" w:rsidRDefault="00D77518" w:rsidP="00D77518">
            <w:pPr>
              <w:pStyle w:val="Default"/>
              <w:spacing w:line="283" w:lineRule="exact"/>
              <w:jc w:val="both"/>
              <w:rPr>
                <w:rFonts w:ascii="Verdana" w:hAnsi="Verdana"/>
                <w:color w:val="auto"/>
                <w:sz w:val="18"/>
                <w:szCs w:val="18"/>
              </w:rPr>
            </w:pPr>
            <w:r>
              <w:rPr>
                <w:rFonts w:ascii="Verdana" w:hAnsi="Verdana"/>
                <w:color w:val="auto"/>
                <w:sz w:val="18"/>
                <w:szCs w:val="18"/>
              </w:rPr>
              <w:t>21 september</w:t>
            </w:r>
            <w:r w:rsidR="00A74B76">
              <w:rPr>
                <w:rFonts w:ascii="Verdana" w:hAnsi="Verdana"/>
                <w:color w:val="auto"/>
                <w:sz w:val="18"/>
                <w:szCs w:val="18"/>
              </w:rPr>
              <w:t xml:space="preserve"> 2022</w:t>
            </w:r>
          </w:p>
        </w:tc>
      </w:tr>
      <w:tr w:rsidR="00760B23" w:rsidRPr="00D16AD7" w14:paraId="5344BC50" w14:textId="77777777" w:rsidTr="00EE6C97">
        <w:trPr>
          <w:trHeight w:val="96"/>
          <w:tblHeader/>
        </w:trPr>
        <w:tc>
          <w:tcPr>
            <w:tcW w:w="3888" w:type="dxa"/>
            <w:shd w:val="clear" w:color="auto" w:fill="auto"/>
            <w:vAlign w:val="center"/>
          </w:tcPr>
          <w:p w14:paraId="0ABBAA62" w14:textId="60DAB28D" w:rsidR="00D77518" w:rsidRPr="00D16AD7" w:rsidRDefault="00F3146B" w:rsidP="00D77518">
            <w:pPr>
              <w:pStyle w:val="Default"/>
              <w:spacing w:line="283" w:lineRule="exact"/>
              <w:rPr>
                <w:rFonts w:ascii="Verdana" w:hAnsi="Verdana"/>
                <w:color w:val="auto"/>
                <w:sz w:val="18"/>
                <w:szCs w:val="18"/>
              </w:rPr>
            </w:pPr>
            <w:r>
              <w:rPr>
                <w:rFonts w:ascii="Verdana" w:hAnsi="Verdana"/>
                <w:color w:val="auto"/>
                <w:sz w:val="18"/>
                <w:szCs w:val="18"/>
              </w:rPr>
              <w:t>Definitieve gunning</w:t>
            </w:r>
          </w:p>
        </w:tc>
        <w:tc>
          <w:tcPr>
            <w:tcW w:w="4320" w:type="dxa"/>
            <w:shd w:val="clear" w:color="auto" w:fill="auto"/>
            <w:vAlign w:val="center"/>
          </w:tcPr>
          <w:p w14:paraId="5C841C76" w14:textId="06ABC90B" w:rsidR="00760B23" w:rsidRPr="00D16AD7" w:rsidRDefault="00D77518" w:rsidP="00760B23">
            <w:pPr>
              <w:pStyle w:val="Default"/>
              <w:spacing w:line="283" w:lineRule="exact"/>
              <w:jc w:val="both"/>
              <w:rPr>
                <w:rFonts w:ascii="Verdana" w:hAnsi="Verdana"/>
                <w:color w:val="auto"/>
                <w:sz w:val="18"/>
                <w:szCs w:val="18"/>
              </w:rPr>
            </w:pPr>
            <w:r>
              <w:rPr>
                <w:rFonts w:ascii="Verdana" w:hAnsi="Verdana"/>
                <w:color w:val="auto"/>
                <w:sz w:val="18"/>
                <w:szCs w:val="18"/>
              </w:rPr>
              <w:t>28 september 2022</w:t>
            </w:r>
          </w:p>
        </w:tc>
      </w:tr>
      <w:tr w:rsidR="00D77518" w:rsidRPr="00D16AD7" w14:paraId="7500DBD1" w14:textId="77777777" w:rsidTr="00EE6C97">
        <w:trPr>
          <w:trHeight w:val="96"/>
          <w:tblHeader/>
        </w:trPr>
        <w:tc>
          <w:tcPr>
            <w:tcW w:w="3888" w:type="dxa"/>
            <w:shd w:val="clear" w:color="auto" w:fill="auto"/>
            <w:vAlign w:val="center"/>
          </w:tcPr>
          <w:p w14:paraId="29B07EB6" w14:textId="349E3C8D" w:rsidR="00D77518" w:rsidRDefault="006426A7" w:rsidP="006426A7">
            <w:pPr>
              <w:pStyle w:val="Default"/>
              <w:spacing w:line="283" w:lineRule="exact"/>
              <w:rPr>
                <w:rFonts w:ascii="Verdana" w:hAnsi="Verdana"/>
                <w:color w:val="auto"/>
                <w:sz w:val="18"/>
                <w:szCs w:val="18"/>
              </w:rPr>
            </w:pPr>
            <w:r>
              <w:rPr>
                <w:rFonts w:ascii="Verdana" w:hAnsi="Verdana"/>
                <w:color w:val="auto"/>
                <w:sz w:val="18"/>
                <w:szCs w:val="18"/>
              </w:rPr>
              <w:t>Ingangsdatum nieuwe contract en start implementatie</w:t>
            </w:r>
          </w:p>
        </w:tc>
        <w:tc>
          <w:tcPr>
            <w:tcW w:w="4320" w:type="dxa"/>
            <w:shd w:val="clear" w:color="auto" w:fill="auto"/>
            <w:vAlign w:val="center"/>
          </w:tcPr>
          <w:p w14:paraId="72F9D22C" w14:textId="18B3B0A8" w:rsidR="00D77518" w:rsidRDefault="006426A7" w:rsidP="00760B23">
            <w:pPr>
              <w:pStyle w:val="Default"/>
              <w:spacing w:line="283" w:lineRule="exact"/>
              <w:jc w:val="both"/>
              <w:rPr>
                <w:rFonts w:ascii="Verdana" w:hAnsi="Verdana"/>
                <w:color w:val="auto"/>
                <w:sz w:val="18"/>
                <w:szCs w:val="18"/>
              </w:rPr>
            </w:pPr>
            <w:r>
              <w:rPr>
                <w:rFonts w:ascii="Verdana" w:hAnsi="Verdana"/>
                <w:color w:val="auto"/>
                <w:sz w:val="18"/>
                <w:szCs w:val="18"/>
              </w:rPr>
              <w:t>1</w:t>
            </w:r>
            <w:r w:rsidR="00D77518">
              <w:rPr>
                <w:rFonts w:ascii="Verdana" w:hAnsi="Verdana"/>
                <w:color w:val="auto"/>
                <w:sz w:val="18"/>
                <w:szCs w:val="18"/>
              </w:rPr>
              <w:t xml:space="preserve"> oktober 2022</w:t>
            </w:r>
          </w:p>
        </w:tc>
      </w:tr>
    </w:tbl>
    <w:p w14:paraId="03FB2D02" w14:textId="77777777" w:rsidR="00E95185" w:rsidRDefault="00E95185" w:rsidP="00CE700A">
      <w:pPr>
        <w:autoSpaceDE w:val="0"/>
        <w:adjustRightInd w:val="0"/>
        <w:rPr>
          <w:rFonts w:cs="Verdana"/>
        </w:rPr>
      </w:pPr>
    </w:p>
    <w:p w14:paraId="193BE030" w14:textId="607ED460" w:rsidR="00E95185" w:rsidRPr="00E95185" w:rsidRDefault="00F3146B" w:rsidP="00CE700A">
      <w:pPr>
        <w:autoSpaceDE w:val="0"/>
        <w:adjustRightInd w:val="0"/>
        <w:rPr>
          <w:rFonts w:cs="Verdana"/>
        </w:rPr>
      </w:pPr>
      <w:r>
        <w:rPr>
          <w:rFonts w:cs="Verdana"/>
        </w:rPr>
        <w:t>De genoemde data zijn indicatief. De Tweede Kamer behoudt zich het recht voor de data te wijzigen. De Tweede Kamer neemt te allen tijde de minimumtermijnen in acht die de Aanbestedingswet voorschrijft.</w:t>
      </w:r>
    </w:p>
    <w:p w14:paraId="13015EF8" w14:textId="2A5D683D" w:rsidR="00CE700A" w:rsidRDefault="00CE700A" w:rsidP="00CE700A"/>
    <w:p w14:paraId="5C74A494" w14:textId="48A95FD7" w:rsidR="00F525F1" w:rsidRDefault="00F525F1">
      <w:pPr>
        <w:spacing w:line="240" w:lineRule="auto"/>
      </w:pPr>
      <w:r>
        <w:br w:type="page"/>
      </w:r>
    </w:p>
    <w:p w14:paraId="06750A66" w14:textId="430E7B98" w:rsidR="00F525F1" w:rsidRPr="00D16AD7" w:rsidRDefault="00F525F1" w:rsidP="00F525F1">
      <w:pPr>
        <w:pStyle w:val="RapportKop2"/>
      </w:pPr>
      <w:bookmarkStart w:id="13" w:name="_Toc105606075"/>
      <w:r>
        <w:lastRenderedPageBreak/>
        <w:t>Aanbestedingsvoor</w:t>
      </w:r>
      <w:r w:rsidR="00BC4A6A">
        <w:t>schriften</w:t>
      </w:r>
      <w:bookmarkEnd w:id="13"/>
    </w:p>
    <w:p w14:paraId="118B5323" w14:textId="3928AE67" w:rsidR="00205451" w:rsidRPr="00205451" w:rsidRDefault="00BC4A6A" w:rsidP="00B01284">
      <w:pPr>
        <w:numPr>
          <w:ilvl w:val="0"/>
          <w:numId w:val="15"/>
        </w:numPr>
        <w:autoSpaceDN/>
        <w:spacing w:line="240" w:lineRule="auto"/>
        <w:textAlignment w:val="auto"/>
        <w:rPr>
          <w:rFonts w:ascii="Calibri" w:eastAsia="Calibri" w:hAnsi="Calibri" w:cs="Calibri"/>
          <w:b/>
          <w:color w:val="auto"/>
          <w:sz w:val="22"/>
          <w:szCs w:val="22"/>
        </w:rPr>
      </w:pPr>
      <w:r>
        <w:rPr>
          <w:rFonts w:ascii="Calibri" w:eastAsia="Calibri" w:hAnsi="Calibri" w:cs="Calibri"/>
          <w:b/>
          <w:color w:val="auto"/>
          <w:sz w:val="22"/>
          <w:szCs w:val="22"/>
        </w:rPr>
        <w:t>Instemming</w:t>
      </w:r>
    </w:p>
    <w:p w14:paraId="29012D6C" w14:textId="657B1AE7" w:rsidR="00205451" w:rsidRPr="00205451" w:rsidRDefault="00BC4A6A" w:rsidP="00205451">
      <w:pPr>
        <w:autoSpaceDN/>
        <w:spacing w:line="240" w:lineRule="auto"/>
        <w:ind w:left="720"/>
        <w:textAlignment w:val="auto"/>
        <w:rPr>
          <w:rFonts w:ascii="Calibri" w:eastAsia="Calibri" w:hAnsi="Calibri" w:cs="Calibri"/>
          <w:color w:val="auto"/>
          <w:sz w:val="22"/>
          <w:szCs w:val="22"/>
        </w:rPr>
      </w:pPr>
      <w:r>
        <w:rPr>
          <w:rFonts w:ascii="Calibri" w:eastAsia="Calibri" w:hAnsi="Calibri" w:cs="Calibri"/>
          <w:color w:val="auto"/>
          <w:sz w:val="22"/>
          <w:szCs w:val="22"/>
        </w:rPr>
        <w:t xml:space="preserve">Door het </w:t>
      </w:r>
      <w:r w:rsidR="00205451" w:rsidRPr="00205451">
        <w:rPr>
          <w:rFonts w:ascii="Calibri" w:eastAsia="Calibri" w:hAnsi="Calibri" w:cs="Calibri"/>
          <w:color w:val="auto"/>
          <w:sz w:val="22"/>
          <w:szCs w:val="22"/>
        </w:rPr>
        <w:t xml:space="preserve">indienen van de Inschrijving </w:t>
      </w:r>
      <w:r>
        <w:rPr>
          <w:rFonts w:ascii="Calibri" w:eastAsia="Calibri" w:hAnsi="Calibri" w:cs="Calibri"/>
          <w:color w:val="auto"/>
          <w:sz w:val="22"/>
          <w:szCs w:val="22"/>
        </w:rPr>
        <w:t xml:space="preserve">stemt </w:t>
      </w:r>
      <w:r w:rsidR="00205451" w:rsidRPr="00205451">
        <w:rPr>
          <w:rFonts w:ascii="Calibri" w:eastAsia="Calibri" w:hAnsi="Calibri" w:cs="Calibri"/>
          <w:color w:val="auto"/>
          <w:sz w:val="22"/>
          <w:szCs w:val="22"/>
        </w:rPr>
        <w:t xml:space="preserve">de Inschrijver </w:t>
      </w:r>
      <w:r>
        <w:rPr>
          <w:rFonts w:ascii="Calibri" w:eastAsia="Calibri" w:hAnsi="Calibri" w:cs="Calibri"/>
          <w:color w:val="auto"/>
          <w:sz w:val="22"/>
          <w:szCs w:val="22"/>
        </w:rPr>
        <w:t xml:space="preserve">in </w:t>
      </w:r>
      <w:r w:rsidR="00205451" w:rsidRPr="00205451">
        <w:rPr>
          <w:rFonts w:ascii="Calibri" w:eastAsia="Calibri" w:hAnsi="Calibri" w:cs="Calibri"/>
          <w:color w:val="auto"/>
          <w:sz w:val="22"/>
          <w:szCs w:val="22"/>
        </w:rPr>
        <w:t xml:space="preserve">met de </w:t>
      </w:r>
      <w:r>
        <w:rPr>
          <w:rFonts w:ascii="Calibri" w:eastAsia="Calibri" w:hAnsi="Calibri" w:cs="Calibri"/>
          <w:color w:val="auto"/>
          <w:sz w:val="22"/>
          <w:szCs w:val="22"/>
        </w:rPr>
        <w:t xml:space="preserve">voorschriften </w:t>
      </w:r>
      <w:r w:rsidR="00205451" w:rsidRPr="00205451">
        <w:rPr>
          <w:rFonts w:ascii="Calibri" w:eastAsia="Calibri" w:hAnsi="Calibri" w:cs="Calibri"/>
          <w:color w:val="auto"/>
          <w:sz w:val="22"/>
          <w:szCs w:val="22"/>
        </w:rPr>
        <w:t>van de Aanbestedingsprocedure.</w:t>
      </w:r>
    </w:p>
    <w:p w14:paraId="2D385B8E" w14:textId="77777777" w:rsidR="00205451" w:rsidRPr="00205451" w:rsidRDefault="00205451" w:rsidP="00205451">
      <w:pPr>
        <w:autoSpaceDN/>
        <w:spacing w:line="240" w:lineRule="auto"/>
        <w:ind w:left="720"/>
        <w:textAlignment w:val="auto"/>
        <w:rPr>
          <w:rFonts w:ascii="Calibri" w:eastAsia="Calibri" w:hAnsi="Calibri" w:cs="Calibri"/>
          <w:color w:val="auto"/>
          <w:sz w:val="22"/>
          <w:szCs w:val="22"/>
        </w:rPr>
      </w:pPr>
    </w:p>
    <w:p w14:paraId="661D2FD3" w14:textId="77777777" w:rsidR="00205451" w:rsidRPr="00205451" w:rsidRDefault="00205451" w:rsidP="00B01284">
      <w:pPr>
        <w:numPr>
          <w:ilvl w:val="0"/>
          <w:numId w:val="15"/>
        </w:numPr>
        <w:autoSpaceDN/>
        <w:spacing w:line="240" w:lineRule="auto"/>
        <w:textAlignment w:val="auto"/>
        <w:rPr>
          <w:rFonts w:ascii="Calibri" w:eastAsia="Calibri" w:hAnsi="Calibri" w:cs="Calibri"/>
          <w:b/>
          <w:color w:val="auto"/>
          <w:sz w:val="22"/>
          <w:szCs w:val="22"/>
        </w:rPr>
      </w:pPr>
      <w:r w:rsidRPr="00205451">
        <w:rPr>
          <w:rFonts w:ascii="Calibri" w:eastAsia="Calibri" w:hAnsi="Calibri" w:cs="Calibri"/>
          <w:b/>
          <w:color w:val="auto"/>
          <w:sz w:val="22"/>
          <w:szCs w:val="22"/>
        </w:rPr>
        <w:t>Formats</w:t>
      </w:r>
    </w:p>
    <w:p w14:paraId="08C0984F" w14:textId="77777777" w:rsidR="00205451" w:rsidRPr="00205451" w:rsidRDefault="00205451" w:rsidP="00205451">
      <w:pPr>
        <w:autoSpaceDN/>
        <w:spacing w:line="240" w:lineRule="auto"/>
        <w:ind w:left="720"/>
        <w:textAlignment w:val="auto"/>
        <w:rPr>
          <w:rFonts w:ascii="Calibri" w:eastAsia="Calibri" w:hAnsi="Calibri" w:cs="Calibri"/>
          <w:color w:val="auto"/>
          <w:sz w:val="22"/>
          <w:szCs w:val="22"/>
        </w:rPr>
      </w:pPr>
      <w:r w:rsidRPr="00205451">
        <w:rPr>
          <w:rFonts w:ascii="Calibri" w:eastAsia="Calibri" w:hAnsi="Calibri" w:cs="Calibri"/>
          <w:color w:val="auto"/>
          <w:sz w:val="22"/>
          <w:szCs w:val="22"/>
        </w:rPr>
        <w:t>Voor het indienen van de Inschrijving moet de Inschrijver gebruikmaken van de formats in de Bijlagen bij de Aanbestedingsleidraad. Daartoe moet de Inschrijver de voorschriften volgen zoals vermeld in de Aanbestedingsleidraad. Het wijzigen van de formats is niet toegestaan.</w:t>
      </w:r>
    </w:p>
    <w:p w14:paraId="5F9FBC54" w14:textId="77777777" w:rsidR="00205451" w:rsidRPr="00205451" w:rsidRDefault="00205451" w:rsidP="00205451">
      <w:pPr>
        <w:autoSpaceDN/>
        <w:spacing w:line="240" w:lineRule="auto"/>
        <w:ind w:left="720"/>
        <w:textAlignment w:val="auto"/>
        <w:rPr>
          <w:rFonts w:ascii="Calibri" w:eastAsia="Calibri" w:hAnsi="Calibri" w:cs="Calibri"/>
          <w:color w:val="auto"/>
          <w:sz w:val="22"/>
          <w:szCs w:val="22"/>
        </w:rPr>
      </w:pPr>
    </w:p>
    <w:p w14:paraId="0E08D41C" w14:textId="77777777" w:rsidR="00205451" w:rsidRPr="00205451" w:rsidRDefault="00205451" w:rsidP="00B01284">
      <w:pPr>
        <w:numPr>
          <w:ilvl w:val="0"/>
          <w:numId w:val="15"/>
        </w:numPr>
        <w:autoSpaceDN/>
        <w:spacing w:line="240" w:lineRule="auto"/>
        <w:textAlignment w:val="auto"/>
        <w:rPr>
          <w:rFonts w:ascii="Calibri" w:eastAsia="Calibri" w:hAnsi="Calibri" w:cs="Calibri"/>
          <w:b/>
          <w:color w:val="auto"/>
          <w:sz w:val="22"/>
          <w:szCs w:val="22"/>
        </w:rPr>
      </w:pPr>
      <w:r w:rsidRPr="00205451">
        <w:rPr>
          <w:rFonts w:ascii="Calibri" w:eastAsia="Calibri" w:hAnsi="Calibri" w:cs="Calibri"/>
          <w:b/>
          <w:color w:val="auto"/>
          <w:sz w:val="22"/>
          <w:szCs w:val="22"/>
        </w:rPr>
        <w:t>Eigen Verklaring</w:t>
      </w:r>
    </w:p>
    <w:p w14:paraId="1014DFE9" w14:textId="3679B622" w:rsidR="00BC4A6A" w:rsidRPr="00BC4A6A" w:rsidRDefault="00BC4A6A" w:rsidP="00BC4A6A">
      <w:pPr>
        <w:autoSpaceDN/>
        <w:spacing w:line="240" w:lineRule="auto"/>
        <w:ind w:left="720"/>
        <w:textAlignment w:val="auto"/>
        <w:rPr>
          <w:rFonts w:ascii="Calibri" w:eastAsia="Calibri" w:hAnsi="Calibri" w:cs="Calibri"/>
          <w:color w:val="auto"/>
          <w:sz w:val="22"/>
          <w:szCs w:val="22"/>
        </w:rPr>
      </w:pPr>
      <w:r w:rsidRPr="00BC4A6A">
        <w:rPr>
          <w:rFonts w:ascii="Calibri" w:eastAsia="Calibri" w:hAnsi="Calibri" w:cs="Calibri"/>
          <w:color w:val="auto"/>
          <w:sz w:val="22"/>
          <w:szCs w:val="22"/>
        </w:rPr>
        <w:t xml:space="preserve">De </w:t>
      </w:r>
      <w:r>
        <w:rPr>
          <w:rFonts w:ascii="Calibri" w:eastAsia="Calibri" w:hAnsi="Calibri" w:cs="Calibri"/>
          <w:color w:val="auto"/>
          <w:sz w:val="22"/>
          <w:szCs w:val="22"/>
        </w:rPr>
        <w:t xml:space="preserve">Inschrijver </w:t>
      </w:r>
      <w:r w:rsidRPr="00BC4A6A">
        <w:rPr>
          <w:rFonts w:ascii="Calibri" w:eastAsia="Calibri" w:hAnsi="Calibri" w:cs="Calibri"/>
          <w:color w:val="auto"/>
          <w:sz w:val="22"/>
          <w:szCs w:val="22"/>
        </w:rPr>
        <w:t>moet (een) Eigen Verklaring(en) indienen (zie</w:t>
      </w:r>
      <w:r>
        <w:rPr>
          <w:rFonts w:ascii="Calibri" w:eastAsia="Calibri" w:hAnsi="Calibri" w:cs="Calibri"/>
          <w:color w:val="auto"/>
          <w:sz w:val="22"/>
          <w:szCs w:val="22"/>
        </w:rPr>
        <w:t xml:space="preserve"> gelijknamige Bijlagen</w:t>
      </w:r>
      <w:r w:rsidRPr="00BC4A6A">
        <w:rPr>
          <w:rFonts w:ascii="Calibri" w:eastAsia="Calibri" w:hAnsi="Calibri" w:cs="Calibri"/>
          <w:color w:val="auto"/>
          <w:sz w:val="22"/>
          <w:szCs w:val="22"/>
        </w:rPr>
        <w:t xml:space="preserve">). Voor de wijze waarop de </w:t>
      </w:r>
      <w:r>
        <w:rPr>
          <w:rFonts w:ascii="Calibri" w:eastAsia="Calibri" w:hAnsi="Calibri" w:cs="Calibri"/>
          <w:color w:val="auto"/>
          <w:sz w:val="22"/>
          <w:szCs w:val="22"/>
        </w:rPr>
        <w:t xml:space="preserve">Inschrijver </w:t>
      </w:r>
      <w:r w:rsidRPr="00BC4A6A">
        <w:rPr>
          <w:rFonts w:ascii="Calibri" w:eastAsia="Calibri" w:hAnsi="Calibri" w:cs="Calibri"/>
          <w:color w:val="auto"/>
          <w:sz w:val="22"/>
          <w:szCs w:val="22"/>
        </w:rPr>
        <w:t xml:space="preserve">de Eigen Verklaring moet invullen en het aantal Eigen Verklaringen dat hij moet indienen, moet de </w:t>
      </w:r>
      <w:r>
        <w:rPr>
          <w:rFonts w:ascii="Calibri" w:eastAsia="Calibri" w:hAnsi="Calibri" w:cs="Calibri"/>
          <w:color w:val="auto"/>
          <w:sz w:val="22"/>
          <w:szCs w:val="22"/>
        </w:rPr>
        <w:t xml:space="preserve">Inschrijver </w:t>
      </w:r>
      <w:r w:rsidRPr="00BC4A6A">
        <w:rPr>
          <w:rFonts w:ascii="Calibri" w:eastAsia="Calibri" w:hAnsi="Calibri" w:cs="Calibri"/>
          <w:color w:val="auto"/>
          <w:sz w:val="22"/>
          <w:szCs w:val="22"/>
        </w:rPr>
        <w:t xml:space="preserve">de instructies in de </w:t>
      </w:r>
      <w:r>
        <w:rPr>
          <w:rFonts w:ascii="Calibri" w:eastAsia="Calibri" w:hAnsi="Calibri" w:cs="Calibri"/>
          <w:color w:val="auto"/>
          <w:sz w:val="22"/>
          <w:szCs w:val="22"/>
        </w:rPr>
        <w:t xml:space="preserve">Aanbestedingsleidraad </w:t>
      </w:r>
      <w:r w:rsidRPr="00BC4A6A">
        <w:rPr>
          <w:rFonts w:ascii="Calibri" w:eastAsia="Calibri" w:hAnsi="Calibri" w:cs="Calibri"/>
          <w:color w:val="auto"/>
          <w:sz w:val="22"/>
          <w:szCs w:val="22"/>
        </w:rPr>
        <w:t xml:space="preserve">en in de Eigen Verklaring volgen. </w:t>
      </w:r>
    </w:p>
    <w:p w14:paraId="0BDEA7DE" w14:textId="77777777" w:rsidR="00BC4A6A" w:rsidRPr="00BC4A6A" w:rsidRDefault="00BC4A6A" w:rsidP="00BC4A6A">
      <w:pPr>
        <w:autoSpaceDN/>
        <w:spacing w:line="240" w:lineRule="auto"/>
        <w:ind w:left="720"/>
        <w:textAlignment w:val="auto"/>
        <w:rPr>
          <w:rFonts w:ascii="Calibri" w:eastAsia="Calibri" w:hAnsi="Calibri" w:cs="Calibri"/>
          <w:color w:val="auto"/>
          <w:sz w:val="22"/>
          <w:szCs w:val="22"/>
        </w:rPr>
      </w:pPr>
    </w:p>
    <w:p w14:paraId="77DAA84B" w14:textId="344894D5" w:rsidR="00BC4A6A" w:rsidRPr="00BC4A6A" w:rsidRDefault="00BC4A6A" w:rsidP="00BC4A6A">
      <w:pPr>
        <w:autoSpaceDN/>
        <w:spacing w:line="240" w:lineRule="auto"/>
        <w:ind w:left="720"/>
        <w:textAlignment w:val="auto"/>
        <w:rPr>
          <w:rFonts w:ascii="Calibri" w:eastAsia="Calibri" w:hAnsi="Calibri" w:cs="Calibri"/>
          <w:color w:val="auto"/>
          <w:sz w:val="22"/>
          <w:szCs w:val="22"/>
        </w:rPr>
      </w:pPr>
      <w:r w:rsidRPr="00BC4A6A">
        <w:rPr>
          <w:rFonts w:ascii="Calibri" w:eastAsia="Calibri" w:hAnsi="Calibri" w:cs="Calibri"/>
          <w:color w:val="auto"/>
          <w:sz w:val="22"/>
          <w:szCs w:val="22"/>
        </w:rPr>
        <w:t xml:space="preserve">Voor het invullen van de Eigen Verklaring moet de </w:t>
      </w:r>
      <w:r>
        <w:rPr>
          <w:rFonts w:ascii="Calibri" w:eastAsia="Calibri" w:hAnsi="Calibri" w:cs="Calibri"/>
          <w:color w:val="auto"/>
          <w:sz w:val="22"/>
          <w:szCs w:val="22"/>
        </w:rPr>
        <w:t xml:space="preserve">Inschrijver </w:t>
      </w:r>
      <w:r w:rsidRPr="00BC4A6A">
        <w:rPr>
          <w:rFonts w:ascii="Calibri" w:eastAsia="Calibri" w:hAnsi="Calibri" w:cs="Calibri"/>
          <w:color w:val="auto"/>
          <w:sz w:val="22"/>
          <w:szCs w:val="22"/>
        </w:rPr>
        <w:t>gebruikmaken van Adobe Reader. Het openen van de Eigen Verklaring in een ander programma kan leiden tot onjuistheden in de Eigen Verklaring. Het indienen van een juiste / juist ingevulde Eigen Verklaring is de verantwoordelijkheid van de</w:t>
      </w:r>
      <w:r>
        <w:rPr>
          <w:rFonts w:ascii="Calibri" w:eastAsia="Calibri" w:hAnsi="Calibri" w:cs="Calibri"/>
          <w:color w:val="auto"/>
          <w:sz w:val="22"/>
          <w:szCs w:val="22"/>
        </w:rPr>
        <w:t xml:space="preserve"> Inschrijver</w:t>
      </w:r>
      <w:r w:rsidRPr="00BC4A6A">
        <w:rPr>
          <w:rFonts w:ascii="Calibri" w:eastAsia="Calibri" w:hAnsi="Calibri" w:cs="Calibri"/>
          <w:color w:val="auto"/>
          <w:sz w:val="22"/>
          <w:szCs w:val="22"/>
        </w:rPr>
        <w:t xml:space="preserve">. </w:t>
      </w:r>
    </w:p>
    <w:p w14:paraId="1A772B60" w14:textId="77777777" w:rsidR="00BC4A6A" w:rsidRPr="00BC4A6A" w:rsidRDefault="00BC4A6A" w:rsidP="00BC4A6A">
      <w:pPr>
        <w:autoSpaceDN/>
        <w:spacing w:line="240" w:lineRule="auto"/>
        <w:ind w:left="720"/>
        <w:textAlignment w:val="auto"/>
        <w:rPr>
          <w:rFonts w:ascii="Calibri" w:eastAsia="Calibri" w:hAnsi="Calibri" w:cs="Calibri"/>
          <w:color w:val="auto"/>
          <w:sz w:val="22"/>
          <w:szCs w:val="22"/>
        </w:rPr>
      </w:pPr>
    </w:p>
    <w:p w14:paraId="080051A8" w14:textId="5038F852" w:rsidR="00205451" w:rsidRDefault="00BC4A6A" w:rsidP="00BC4A6A">
      <w:pPr>
        <w:autoSpaceDN/>
        <w:spacing w:line="240" w:lineRule="auto"/>
        <w:ind w:left="720"/>
        <w:textAlignment w:val="auto"/>
        <w:rPr>
          <w:rFonts w:ascii="Calibri" w:eastAsia="Calibri" w:hAnsi="Calibri" w:cs="Calibri"/>
          <w:color w:val="auto"/>
          <w:sz w:val="22"/>
          <w:szCs w:val="22"/>
        </w:rPr>
      </w:pPr>
      <w:r w:rsidRPr="00BC4A6A">
        <w:rPr>
          <w:rFonts w:ascii="Calibri" w:eastAsia="Calibri" w:hAnsi="Calibri" w:cs="Calibri"/>
          <w:color w:val="auto"/>
          <w:sz w:val="22"/>
          <w:szCs w:val="22"/>
        </w:rPr>
        <w:t xml:space="preserve">Volledigheidshalve wijst de Tweede Kamer erop dat de ja-/nee-velden in Deel III (A tot en met C) van de Eigen Verklaring, vooraf zijn ingevuld. De betreffende velden zijn evenwel bewerkbaar. De </w:t>
      </w:r>
      <w:r>
        <w:rPr>
          <w:rFonts w:ascii="Calibri" w:eastAsia="Calibri" w:hAnsi="Calibri" w:cs="Calibri"/>
          <w:color w:val="auto"/>
          <w:sz w:val="22"/>
          <w:szCs w:val="22"/>
        </w:rPr>
        <w:t xml:space="preserve">Inschrijver </w:t>
      </w:r>
      <w:r w:rsidRPr="00BC4A6A">
        <w:rPr>
          <w:rFonts w:ascii="Calibri" w:eastAsia="Calibri" w:hAnsi="Calibri" w:cs="Calibri"/>
          <w:color w:val="auto"/>
          <w:sz w:val="22"/>
          <w:szCs w:val="22"/>
        </w:rPr>
        <w:t>dient de juistheid van de vooraf ingevulde velden nauwkeurig te controleren en te wijzigen indien dat aangewezen is in de situatie van de onderneming waarop de Eigen Verklaring betrekking heeft.</w:t>
      </w:r>
    </w:p>
    <w:p w14:paraId="04A73CA0" w14:textId="77777777" w:rsidR="00BC4A6A" w:rsidRPr="00205451" w:rsidRDefault="00BC4A6A" w:rsidP="00BC4A6A">
      <w:pPr>
        <w:autoSpaceDN/>
        <w:spacing w:line="240" w:lineRule="auto"/>
        <w:ind w:left="720"/>
        <w:textAlignment w:val="auto"/>
        <w:rPr>
          <w:rFonts w:ascii="Calibri" w:eastAsia="Calibri" w:hAnsi="Calibri" w:cs="Calibri"/>
          <w:color w:val="auto"/>
          <w:sz w:val="22"/>
          <w:szCs w:val="22"/>
        </w:rPr>
      </w:pPr>
    </w:p>
    <w:p w14:paraId="0F4961F7" w14:textId="77777777" w:rsidR="00205451" w:rsidRPr="00205451" w:rsidRDefault="00205451" w:rsidP="00B01284">
      <w:pPr>
        <w:numPr>
          <w:ilvl w:val="0"/>
          <w:numId w:val="15"/>
        </w:numPr>
        <w:autoSpaceDN/>
        <w:spacing w:line="240" w:lineRule="auto"/>
        <w:textAlignment w:val="auto"/>
        <w:rPr>
          <w:rFonts w:ascii="Calibri" w:eastAsia="Calibri" w:hAnsi="Calibri" w:cs="Calibri"/>
          <w:b/>
          <w:color w:val="auto"/>
          <w:sz w:val="22"/>
          <w:szCs w:val="22"/>
        </w:rPr>
      </w:pPr>
      <w:r w:rsidRPr="00205451">
        <w:rPr>
          <w:rFonts w:ascii="Calibri" w:eastAsia="Calibri" w:hAnsi="Calibri" w:cs="Calibri"/>
          <w:b/>
          <w:color w:val="auto"/>
          <w:sz w:val="22"/>
          <w:szCs w:val="22"/>
        </w:rPr>
        <w:t>Rangorde Aanbestedingsstukken</w:t>
      </w:r>
    </w:p>
    <w:p w14:paraId="0D400299" w14:textId="77777777" w:rsidR="00205451" w:rsidRPr="00205451" w:rsidRDefault="00205451" w:rsidP="00205451">
      <w:pPr>
        <w:autoSpaceDN/>
        <w:spacing w:line="240" w:lineRule="auto"/>
        <w:ind w:left="720"/>
        <w:textAlignment w:val="auto"/>
        <w:rPr>
          <w:rFonts w:ascii="Calibri" w:eastAsia="Calibri" w:hAnsi="Calibri" w:cs="Calibri"/>
          <w:color w:val="auto"/>
          <w:sz w:val="22"/>
          <w:szCs w:val="22"/>
        </w:rPr>
      </w:pPr>
      <w:r w:rsidRPr="00205451">
        <w:rPr>
          <w:rFonts w:ascii="Calibri" w:eastAsia="Calibri" w:hAnsi="Calibri" w:cs="Calibri"/>
          <w:color w:val="auto"/>
          <w:sz w:val="22"/>
          <w:szCs w:val="22"/>
        </w:rPr>
        <w:t>Indien de Aanbestedingsstukken met elkaar in strijd zijn, gaat het in de opsomming hierna als eerst genoemde document voor op het later genoemde document:</w:t>
      </w:r>
    </w:p>
    <w:p w14:paraId="6BB04E18" w14:textId="77777777" w:rsidR="00205451" w:rsidRPr="00205451" w:rsidRDefault="00205451" w:rsidP="00B01284">
      <w:pPr>
        <w:numPr>
          <w:ilvl w:val="0"/>
          <w:numId w:val="14"/>
        </w:numPr>
        <w:autoSpaceDN/>
        <w:spacing w:line="240" w:lineRule="auto"/>
        <w:textAlignment w:val="auto"/>
        <w:rPr>
          <w:rFonts w:ascii="Calibri" w:eastAsia="Calibri" w:hAnsi="Calibri" w:cs="Calibri"/>
          <w:color w:val="auto"/>
          <w:sz w:val="22"/>
          <w:szCs w:val="22"/>
        </w:rPr>
      </w:pPr>
      <w:r w:rsidRPr="00205451">
        <w:rPr>
          <w:rFonts w:ascii="Calibri" w:eastAsia="Calibri" w:hAnsi="Calibri" w:cs="Calibri"/>
          <w:color w:val="auto"/>
          <w:sz w:val="22"/>
          <w:szCs w:val="22"/>
        </w:rPr>
        <w:t>Nota’s van Inlichtingen, in volgorde van meest recent naar minst recent</w:t>
      </w:r>
    </w:p>
    <w:p w14:paraId="65B0D67E" w14:textId="77777777" w:rsidR="00205451" w:rsidRPr="00205451" w:rsidRDefault="00205451" w:rsidP="00B01284">
      <w:pPr>
        <w:numPr>
          <w:ilvl w:val="0"/>
          <w:numId w:val="14"/>
        </w:numPr>
        <w:autoSpaceDN/>
        <w:spacing w:line="240" w:lineRule="auto"/>
        <w:textAlignment w:val="auto"/>
        <w:rPr>
          <w:rFonts w:ascii="Calibri" w:eastAsia="Calibri" w:hAnsi="Calibri" w:cs="Calibri"/>
          <w:color w:val="auto"/>
          <w:sz w:val="22"/>
          <w:szCs w:val="22"/>
        </w:rPr>
      </w:pPr>
      <w:r w:rsidRPr="00205451">
        <w:rPr>
          <w:rFonts w:ascii="Calibri" w:eastAsia="Calibri" w:hAnsi="Calibri" w:cs="Calibri"/>
          <w:color w:val="auto"/>
          <w:sz w:val="22"/>
          <w:szCs w:val="22"/>
        </w:rPr>
        <w:t>Aanbestedingsleidraad met Bijlagen</w:t>
      </w:r>
    </w:p>
    <w:p w14:paraId="4C218FA4" w14:textId="77777777" w:rsidR="00205451" w:rsidRPr="00205451" w:rsidRDefault="00205451" w:rsidP="00B01284">
      <w:pPr>
        <w:numPr>
          <w:ilvl w:val="0"/>
          <w:numId w:val="14"/>
        </w:numPr>
        <w:autoSpaceDN/>
        <w:spacing w:line="240" w:lineRule="auto"/>
        <w:textAlignment w:val="auto"/>
        <w:rPr>
          <w:rFonts w:ascii="Calibri" w:eastAsia="Calibri" w:hAnsi="Calibri" w:cs="Calibri"/>
          <w:color w:val="auto"/>
          <w:sz w:val="22"/>
          <w:szCs w:val="22"/>
        </w:rPr>
      </w:pPr>
      <w:r w:rsidRPr="00205451">
        <w:rPr>
          <w:rFonts w:ascii="Calibri" w:eastAsia="Calibri" w:hAnsi="Calibri" w:cs="Calibri"/>
          <w:color w:val="auto"/>
          <w:sz w:val="22"/>
          <w:szCs w:val="22"/>
        </w:rPr>
        <w:t>Aankondiging.</w:t>
      </w:r>
    </w:p>
    <w:p w14:paraId="3E9067B0" w14:textId="77777777" w:rsidR="00205451" w:rsidRPr="00205451" w:rsidRDefault="00205451" w:rsidP="00205451">
      <w:pPr>
        <w:autoSpaceDN/>
        <w:spacing w:line="240" w:lineRule="auto"/>
        <w:ind w:left="720"/>
        <w:textAlignment w:val="auto"/>
        <w:rPr>
          <w:rFonts w:ascii="Calibri" w:eastAsia="Calibri" w:hAnsi="Calibri" w:cs="Calibri"/>
          <w:color w:val="auto"/>
          <w:sz w:val="22"/>
          <w:szCs w:val="22"/>
        </w:rPr>
      </w:pPr>
    </w:p>
    <w:p w14:paraId="44E68E00" w14:textId="77777777" w:rsidR="00205451" w:rsidRPr="00205451" w:rsidRDefault="00205451" w:rsidP="00B01284">
      <w:pPr>
        <w:numPr>
          <w:ilvl w:val="0"/>
          <w:numId w:val="15"/>
        </w:numPr>
        <w:autoSpaceDN/>
        <w:spacing w:line="240" w:lineRule="auto"/>
        <w:textAlignment w:val="auto"/>
        <w:rPr>
          <w:rFonts w:ascii="Calibri" w:eastAsia="Calibri" w:hAnsi="Calibri" w:cs="Calibri"/>
          <w:b/>
          <w:color w:val="auto"/>
          <w:sz w:val="22"/>
          <w:szCs w:val="22"/>
        </w:rPr>
      </w:pPr>
      <w:r w:rsidRPr="00205451">
        <w:rPr>
          <w:rFonts w:ascii="Calibri" w:eastAsia="Calibri" w:hAnsi="Calibri" w:cs="Calibri"/>
          <w:b/>
          <w:color w:val="auto"/>
          <w:sz w:val="22"/>
          <w:szCs w:val="22"/>
        </w:rPr>
        <w:t>Schriftelijke informatie</w:t>
      </w:r>
    </w:p>
    <w:p w14:paraId="5BE25F47" w14:textId="748847E6" w:rsidR="00205451" w:rsidRPr="00205451" w:rsidRDefault="00205451" w:rsidP="00205451">
      <w:pPr>
        <w:autoSpaceDN/>
        <w:spacing w:line="240" w:lineRule="auto"/>
        <w:ind w:left="720"/>
        <w:textAlignment w:val="auto"/>
        <w:rPr>
          <w:rFonts w:ascii="Calibri" w:eastAsia="Calibri" w:hAnsi="Calibri" w:cs="Calibri"/>
          <w:color w:val="auto"/>
          <w:sz w:val="22"/>
          <w:szCs w:val="22"/>
        </w:rPr>
      </w:pPr>
      <w:r w:rsidRPr="00205451">
        <w:rPr>
          <w:rFonts w:ascii="Calibri" w:eastAsia="Calibri" w:hAnsi="Calibri" w:cs="Calibri"/>
          <w:color w:val="auto"/>
          <w:sz w:val="22"/>
          <w:szCs w:val="22"/>
        </w:rPr>
        <w:t xml:space="preserve">Inschrijvers kunnen zich uitsluitend beroepen op schriftelijke informatie in relatie tot de Aanbestedingsprocedure, </w:t>
      </w:r>
      <w:r w:rsidR="00BC4A6A">
        <w:rPr>
          <w:rFonts w:ascii="Calibri" w:eastAsia="Calibri" w:hAnsi="Calibri" w:cs="Calibri"/>
          <w:color w:val="auto"/>
          <w:sz w:val="22"/>
          <w:szCs w:val="22"/>
        </w:rPr>
        <w:t xml:space="preserve">die door of namens </w:t>
      </w:r>
      <w:r w:rsidRPr="00205451">
        <w:rPr>
          <w:rFonts w:ascii="Calibri" w:eastAsia="Calibri" w:hAnsi="Calibri" w:cs="Calibri"/>
          <w:color w:val="auto"/>
          <w:sz w:val="22"/>
          <w:szCs w:val="22"/>
        </w:rPr>
        <w:t>de Tweede Kamer</w:t>
      </w:r>
      <w:r w:rsidR="00BC4A6A">
        <w:rPr>
          <w:rFonts w:ascii="Calibri" w:eastAsia="Calibri" w:hAnsi="Calibri" w:cs="Calibri"/>
          <w:color w:val="auto"/>
          <w:sz w:val="22"/>
          <w:szCs w:val="22"/>
        </w:rPr>
        <w:t xml:space="preserve"> in de Aanbestedingsprocedure is gebracht</w:t>
      </w:r>
      <w:r w:rsidRPr="00205451">
        <w:rPr>
          <w:rFonts w:ascii="Calibri" w:eastAsia="Calibri" w:hAnsi="Calibri" w:cs="Calibri"/>
          <w:color w:val="auto"/>
          <w:sz w:val="22"/>
          <w:szCs w:val="22"/>
        </w:rPr>
        <w:t xml:space="preserve">. </w:t>
      </w:r>
    </w:p>
    <w:p w14:paraId="166E195C" w14:textId="5A24B71D" w:rsidR="00205451" w:rsidRDefault="00205451" w:rsidP="00205451">
      <w:pPr>
        <w:autoSpaceDN/>
        <w:spacing w:line="240" w:lineRule="auto"/>
        <w:ind w:left="720"/>
        <w:textAlignment w:val="auto"/>
        <w:rPr>
          <w:rFonts w:ascii="Calibri" w:eastAsia="Calibri" w:hAnsi="Calibri" w:cs="Calibri"/>
          <w:color w:val="auto"/>
          <w:sz w:val="22"/>
          <w:szCs w:val="22"/>
        </w:rPr>
      </w:pPr>
    </w:p>
    <w:p w14:paraId="4D91BAB6" w14:textId="7797F4B6" w:rsidR="00D77518" w:rsidRDefault="00D77518" w:rsidP="00205451">
      <w:pPr>
        <w:autoSpaceDN/>
        <w:spacing w:line="240" w:lineRule="auto"/>
        <w:ind w:left="720"/>
        <w:textAlignment w:val="auto"/>
        <w:rPr>
          <w:rFonts w:ascii="Calibri" w:eastAsia="Calibri" w:hAnsi="Calibri" w:cs="Calibri"/>
          <w:color w:val="auto"/>
          <w:sz w:val="22"/>
          <w:szCs w:val="22"/>
        </w:rPr>
      </w:pPr>
    </w:p>
    <w:p w14:paraId="1B93E6CD" w14:textId="77777777" w:rsidR="00D77518" w:rsidRPr="00205451" w:rsidRDefault="00D77518" w:rsidP="00205451">
      <w:pPr>
        <w:autoSpaceDN/>
        <w:spacing w:line="240" w:lineRule="auto"/>
        <w:ind w:left="720"/>
        <w:textAlignment w:val="auto"/>
        <w:rPr>
          <w:rFonts w:ascii="Calibri" w:eastAsia="Calibri" w:hAnsi="Calibri" w:cs="Calibri"/>
          <w:color w:val="auto"/>
          <w:sz w:val="22"/>
          <w:szCs w:val="22"/>
        </w:rPr>
      </w:pPr>
    </w:p>
    <w:p w14:paraId="18CFADD9" w14:textId="77777777" w:rsidR="00205451" w:rsidRPr="00205451" w:rsidRDefault="00205451" w:rsidP="00B01284">
      <w:pPr>
        <w:numPr>
          <w:ilvl w:val="0"/>
          <w:numId w:val="15"/>
        </w:numPr>
        <w:autoSpaceDN/>
        <w:spacing w:line="240" w:lineRule="auto"/>
        <w:textAlignment w:val="auto"/>
        <w:rPr>
          <w:rFonts w:ascii="Calibri" w:eastAsia="Calibri" w:hAnsi="Calibri" w:cs="Calibri"/>
          <w:b/>
          <w:color w:val="auto"/>
          <w:sz w:val="22"/>
          <w:szCs w:val="22"/>
        </w:rPr>
      </w:pPr>
      <w:r w:rsidRPr="00205451">
        <w:rPr>
          <w:rFonts w:ascii="Calibri" w:eastAsia="Calibri" w:hAnsi="Calibri" w:cs="Calibri"/>
          <w:b/>
          <w:color w:val="auto"/>
          <w:sz w:val="22"/>
          <w:szCs w:val="22"/>
        </w:rPr>
        <w:lastRenderedPageBreak/>
        <w:t>Taal</w:t>
      </w:r>
    </w:p>
    <w:p w14:paraId="724D25FC" w14:textId="4E938B5F" w:rsidR="00205451" w:rsidRPr="00205451" w:rsidRDefault="00205451" w:rsidP="00205451">
      <w:pPr>
        <w:autoSpaceDN/>
        <w:spacing w:line="240" w:lineRule="auto"/>
        <w:ind w:left="720"/>
        <w:textAlignment w:val="auto"/>
        <w:rPr>
          <w:rFonts w:ascii="Calibri" w:eastAsia="Calibri" w:hAnsi="Calibri" w:cs="Calibri"/>
          <w:color w:val="auto"/>
          <w:sz w:val="22"/>
          <w:szCs w:val="22"/>
        </w:rPr>
      </w:pPr>
      <w:r w:rsidRPr="00205451">
        <w:rPr>
          <w:rFonts w:ascii="Calibri" w:eastAsia="Calibri" w:hAnsi="Calibri" w:cs="Calibri"/>
          <w:color w:val="auto"/>
          <w:sz w:val="22"/>
          <w:szCs w:val="22"/>
        </w:rPr>
        <w:t xml:space="preserve">Communicatie in relatie tot de Aanbestedingsprocedure en (de uitvoering van) de opdracht </w:t>
      </w:r>
      <w:r w:rsidR="00BC4A6A">
        <w:rPr>
          <w:rFonts w:ascii="Calibri" w:eastAsia="Calibri" w:hAnsi="Calibri" w:cs="Calibri"/>
          <w:color w:val="auto"/>
          <w:sz w:val="22"/>
          <w:szCs w:val="22"/>
        </w:rPr>
        <w:t xml:space="preserve">vindt plaats </w:t>
      </w:r>
      <w:r w:rsidRPr="00205451">
        <w:rPr>
          <w:rFonts w:ascii="Calibri" w:eastAsia="Calibri" w:hAnsi="Calibri" w:cs="Calibri"/>
          <w:color w:val="auto"/>
          <w:sz w:val="22"/>
          <w:szCs w:val="22"/>
        </w:rPr>
        <w:t xml:space="preserve">in het Nederlands. </w:t>
      </w:r>
    </w:p>
    <w:p w14:paraId="14B731AE" w14:textId="77777777" w:rsidR="00205451" w:rsidRPr="00205451" w:rsidRDefault="00205451" w:rsidP="00205451">
      <w:pPr>
        <w:autoSpaceDN/>
        <w:spacing w:line="240" w:lineRule="auto"/>
        <w:ind w:left="720"/>
        <w:textAlignment w:val="auto"/>
        <w:rPr>
          <w:rFonts w:ascii="Calibri" w:eastAsia="Calibri" w:hAnsi="Calibri" w:cs="Calibri"/>
          <w:color w:val="auto"/>
          <w:sz w:val="22"/>
          <w:szCs w:val="22"/>
        </w:rPr>
      </w:pPr>
    </w:p>
    <w:p w14:paraId="52F9A0E0" w14:textId="5A0CF1FA" w:rsidR="00205451" w:rsidRPr="00205451" w:rsidRDefault="00205451" w:rsidP="00205451">
      <w:pPr>
        <w:autoSpaceDN/>
        <w:spacing w:line="240" w:lineRule="auto"/>
        <w:ind w:left="720"/>
        <w:textAlignment w:val="auto"/>
        <w:rPr>
          <w:rFonts w:ascii="Calibri" w:eastAsia="Calibri" w:hAnsi="Calibri" w:cs="Calibri"/>
          <w:color w:val="auto"/>
          <w:sz w:val="22"/>
          <w:szCs w:val="22"/>
        </w:rPr>
      </w:pPr>
      <w:r w:rsidRPr="00205451">
        <w:rPr>
          <w:rFonts w:ascii="Calibri" w:eastAsia="Calibri" w:hAnsi="Calibri" w:cs="Calibri"/>
          <w:color w:val="auto"/>
          <w:sz w:val="22"/>
          <w:szCs w:val="22"/>
        </w:rPr>
        <w:t>Inschrijvingen in een andere taal dan het Nederlan</w:t>
      </w:r>
      <w:r>
        <w:rPr>
          <w:rFonts w:ascii="Calibri" w:eastAsia="Calibri" w:hAnsi="Calibri" w:cs="Calibri"/>
          <w:color w:val="auto"/>
          <w:sz w:val="22"/>
          <w:szCs w:val="22"/>
        </w:rPr>
        <w:t xml:space="preserve">ds legt de Tweede Kamer </w:t>
      </w:r>
      <w:r w:rsidRPr="00205451">
        <w:rPr>
          <w:rFonts w:ascii="Calibri" w:eastAsia="Calibri" w:hAnsi="Calibri" w:cs="Calibri"/>
          <w:color w:val="auto"/>
          <w:sz w:val="22"/>
          <w:szCs w:val="22"/>
        </w:rPr>
        <w:t xml:space="preserve">ter zijde. Officiële documenten die niet in de Nederlandse taal kunnen worden aangeleverd mag de Inschrijver indienen in de taal van het land van herkomst van het document. Op verzoek van de </w:t>
      </w:r>
      <w:r>
        <w:rPr>
          <w:rFonts w:ascii="Calibri" w:eastAsia="Calibri" w:hAnsi="Calibri" w:cs="Calibri"/>
          <w:color w:val="auto"/>
          <w:sz w:val="22"/>
          <w:szCs w:val="22"/>
        </w:rPr>
        <w:t xml:space="preserve">Tweede Kamer </w:t>
      </w:r>
      <w:r w:rsidRPr="00205451">
        <w:rPr>
          <w:rFonts w:ascii="Calibri" w:eastAsia="Calibri" w:hAnsi="Calibri" w:cs="Calibri"/>
          <w:color w:val="auto"/>
          <w:sz w:val="22"/>
          <w:szCs w:val="22"/>
        </w:rPr>
        <w:t>moet de Inschrijver zorgdragen voor een vertaling</w:t>
      </w:r>
      <w:r w:rsidR="00BC4A6A">
        <w:rPr>
          <w:rFonts w:ascii="Calibri" w:eastAsia="Calibri" w:hAnsi="Calibri" w:cs="Calibri"/>
          <w:color w:val="auto"/>
          <w:sz w:val="22"/>
          <w:szCs w:val="22"/>
        </w:rPr>
        <w:t xml:space="preserve"> in het Nederlands </w:t>
      </w:r>
      <w:r w:rsidRPr="00205451">
        <w:rPr>
          <w:rFonts w:ascii="Calibri" w:eastAsia="Calibri" w:hAnsi="Calibri" w:cs="Calibri"/>
          <w:color w:val="auto"/>
          <w:sz w:val="22"/>
          <w:szCs w:val="22"/>
        </w:rPr>
        <w:t>van het anderstalige document door een beëdigd tolk-vertaler.</w:t>
      </w:r>
    </w:p>
    <w:p w14:paraId="4D9D81D9" w14:textId="77777777" w:rsidR="00205451" w:rsidRPr="00205451" w:rsidRDefault="00205451" w:rsidP="00205451">
      <w:pPr>
        <w:autoSpaceDN/>
        <w:spacing w:line="240" w:lineRule="auto"/>
        <w:ind w:left="720"/>
        <w:textAlignment w:val="auto"/>
        <w:rPr>
          <w:rFonts w:ascii="Calibri" w:eastAsia="Calibri" w:hAnsi="Calibri" w:cs="Calibri"/>
          <w:color w:val="auto"/>
          <w:sz w:val="22"/>
          <w:szCs w:val="22"/>
        </w:rPr>
      </w:pPr>
    </w:p>
    <w:p w14:paraId="2E8B3ED2" w14:textId="77777777" w:rsidR="00205451" w:rsidRPr="00205451" w:rsidRDefault="00205451" w:rsidP="00B01284">
      <w:pPr>
        <w:numPr>
          <w:ilvl w:val="0"/>
          <w:numId w:val="15"/>
        </w:numPr>
        <w:autoSpaceDN/>
        <w:spacing w:line="240" w:lineRule="auto"/>
        <w:textAlignment w:val="auto"/>
        <w:rPr>
          <w:rFonts w:ascii="Calibri" w:eastAsia="Calibri" w:hAnsi="Calibri" w:cs="Calibri"/>
          <w:b/>
          <w:color w:val="auto"/>
          <w:sz w:val="22"/>
          <w:szCs w:val="22"/>
        </w:rPr>
      </w:pPr>
      <w:r w:rsidRPr="00205451">
        <w:rPr>
          <w:rFonts w:ascii="Calibri" w:eastAsia="Calibri" w:hAnsi="Calibri" w:cs="Calibri"/>
          <w:b/>
          <w:color w:val="auto"/>
          <w:sz w:val="22"/>
          <w:szCs w:val="22"/>
        </w:rPr>
        <w:t>Eenmaal inschrijven</w:t>
      </w:r>
    </w:p>
    <w:p w14:paraId="2EF5C1BA" w14:textId="77777777" w:rsidR="00205451" w:rsidRPr="00205451" w:rsidRDefault="00205451" w:rsidP="00205451">
      <w:pPr>
        <w:autoSpaceDN/>
        <w:spacing w:line="240" w:lineRule="auto"/>
        <w:ind w:left="720"/>
        <w:textAlignment w:val="auto"/>
        <w:rPr>
          <w:rFonts w:ascii="Calibri" w:eastAsia="Calibri" w:hAnsi="Calibri" w:cs="Calibri"/>
          <w:color w:val="auto"/>
          <w:sz w:val="22"/>
          <w:szCs w:val="22"/>
        </w:rPr>
      </w:pPr>
      <w:r w:rsidRPr="00205451">
        <w:rPr>
          <w:rFonts w:ascii="Calibri" w:eastAsia="Calibri" w:hAnsi="Calibri" w:cs="Calibri"/>
          <w:color w:val="auto"/>
          <w:sz w:val="22"/>
          <w:szCs w:val="22"/>
        </w:rPr>
        <w:t xml:space="preserve">Een onderneming kan slechts één maal inschrijven, namelijk ofwel als zelfstandige Inschrijver, of als hoofdaannemer, of als onderaannemer, of als combinant. </w:t>
      </w:r>
    </w:p>
    <w:p w14:paraId="2515C255" w14:textId="77777777" w:rsidR="00205451" w:rsidRPr="00205451" w:rsidRDefault="00205451" w:rsidP="00205451">
      <w:pPr>
        <w:autoSpaceDN/>
        <w:spacing w:line="240" w:lineRule="auto"/>
        <w:ind w:left="720"/>
        <w:textAlignment w:val="auto"/>
        <w:rPr>
          <w:rFonts w:ascii="Calibri" w:eastAsia="Calibri" w:hAnsi="Calibri" w:cs="Calibri"/>
          <w:color w:val="auto"/>
          <w:sz w:val="22"/>
          <w:szCs w:val="22"/>
        </w:rPr>
      </w:pPr>
    </w:p>
    <w:p w14:paraId="4ECCEE7A" w14:textId="77777777" w:rsidR="00205451" w:rsidRPr="00205451" w:rsidRDefault="00205451" w:rsidP="00B01284">
      <w:pPr>
        <w:numPr>
          <w:ilvl w:val="0"/>
          <w:numId w:val="15"/>
        </w:numPr>
        <w:autoSpaceDN/>
        <w:spacing w:line="240" w:lineRule="auto"/>
        <w:textAlignment w:val="auto"/>
        <w:rPr>
          <w:rFonts w:ascii="Calibri" w:eastAsia="Calibri" w:hAnsi="Calibri" w:cs="Calibri"/>
          <w:b/>
          <w:color w:val="auto"/>
          <w:sz w:val="22"/>
          <w:szCs w:val="22"/>
        </w:rPr>
      </w:pPr>
      <w:r w:rsidRPr="00205451">
        <w:rPr>
          <w:rFonts w:ascii="Calibri" w:eastAsia="Calibri" w:hAnsi="Calibri" w:cs="Calibri"/>
          <w:b/>
          <w:color w:val="auto"/>
          <w:sz w:val="22"/>
          <w:szCs w:val="22"/>
        </w:rPr>
        <w:t>Combinatie</w:t>
      </w:r>
    </w:p>
    <w:p w14:paraId="26E58F9F" w14:textId="77777777" w:rsidR="00205451" w:rsidRPr="00205451" w:rsidRDefault="00205451" w:rsidP="00205451">
      <w:pPr>
        <w:autoSpaceDN/>
        <w:spacing w:line="240" w:lineRule="auto"/>
        <w:ind w:left="720"/>
        <w:textAlignment w:val="auto"/>
        <w:rPr>
          <w:rFonts w:ascii="Calibri" w:eastAsia="Calibri" w:hAnsi="Calibri" w:cs="Calibri"/>
          <w:color w:val="auto"/>
          <w:sz w:val="22"/>
          <w:szCs w:val="22"/>
        </w:rPr>
      </w:pPr>
      <w:r w:rsidRPr="00205451">
        <w:rPr>
          <w:rFonts w:ascii="Calibri" w:eastAsia="Calibri" w:hAnsi="Calibri" w:cs="Calibri"/>
          <w:color w:val="auto"/>
          <w:sz w:val="22"/>
          <w:szCs w:val="22"/>
        </w:rPr>
        <w:t xml:space="preserve">Een Combinatie van ondernemingen kan een Inschrijving indienen. Een Combinatie geldt als één Inschrijver. </w:t>
      </w:r>
    </w:p>
    <w:p w14:paraId="4FC37D4F" w14:textId="77777777" w:rsidR="00205451" w:rsidRPr="00205451" w:rsidRDefault="00205451" w:rsidP="00205451">
      <w:pPr>
        <w:autoSpaceDN/>
        <w:spacing w:line="240" w:lineRule="auto"/>
        <w:ind w:left="720"/>
        <w:textAlignment w:val="auto"/>
        <w:rPr>
          <w:rFonts w:ascii="Calibri" w:eastAsia="Calibri" w:hAnsi="Calibri" w:cs="Calibri"/>
          <w:color w:val="auto"/>
          <w:sz w:val="22"/>
          <w:szCs w:val="22"/>
        </w:rPr>
      </w:pPr>
    </w:p>
    <w:p w14:paraId="19AB2288" w14:textId="3542ECB4" w:rsidR="00205451" w:rsidRPr="00205451" w:rsidRDefault="00205451" w:rsidP="00205451">
      <w:pPr>
        <w:autoSpaceDN/>
        <w:spacing w:line="240" w:lineRule="auto"/>
        <w:ind w:left="720"/>
        <w:textAlignment w:val="auto"/>
        <w:rPr>
          <w:rFonts w:ascii="Calibri" w:eastAsia="Calibri" w:hAnsi="Calibri" w:cs="Calibri"/>
          <w:color w:val="auto"/>
          <w:sz w:val="22"/>
          <w:szCs w:val="22"/>
        </w:rPr>
      </w:pPr>
      <w:r w:rsidRPr="00205451">
        <w:rPr>
          <w:rFonts w:ascii="Calibri" w:eastAsia="Calibri" w:hAnsi="Calibri" w:cs="Calibri"/>
          <w:color w:val="auto"/>
          <w:sz w:val="22"/>
          <w:szCs w:val="22"/>
        </w:rPr>
        <w:t xml:space="preserve">Een Combinatie moet een penvoerder aanwijzen, die namens de Combinatie optreedt naar de </w:t>
      </w:r>
      <w:r>
        <w:rPr>
          <w:rFonts w:ascii="Calibri" w:eastAsia="Calibri" w:hAnsi="Calibri" w:cs="Calibri"/>
          <w:color w:val="auto"/>
          <w:sz w:val="22"/>
          <w:szCs w:val="22"/>
        </w:rPr>
        <w:t>Tweede Kamer.</w:t>
      </w:r>
      <w:r w:rsidRPr="00205451">
        <w:rPr>
          <w:rFonts w:ascii="Calibri" w:eastAsia="Calibri" w:hAnsi="Calibri" w:cs="Calibri"/>
          <w:color w:val="auto"/>
          <w:sz w:val="22"/>
          <w:szCs w:val="22"/>
        </w:rPr>
        <w:t xml:space="preserve"> De rechtsgeldig vertegenwoordiger ondertekent documenten die de Combinatie als geheel betreffen.</w:t>
      </w:r>
    </w:p>
    <w:p w14:paraId="55588549" w14:textId="77777777" w:rsidR="00205451" w:rsidRPr="00205451" w:rsidRDefault="00205451" w:rsidP="00205451">
      <w:pPr>
        <w:autoSpaceDN/>
        <w:spacing w:line="240" w:lineRule="auto"/>
        <w:ind w:left="720"/>
        <w:textAlignment w:val="auto"/>
        <w:rPr>
          <w:rFonts w:ascii="Calibri" w:eastAsia="Calibri" w:hAnsi="Calibri" w:cs="Calibri"/>
          <w:color w:val="auto"/>
          <w:sz w:val="22"/>
          <w:szCs w:val="22"/>
        </w:rPr>
      </w:pPr>
    </w:p>
    <w:p w14:paraId="3FFE1F1B" w14:textId="77777777" w:rsidR="00205451" w:rsidRPr="00205451" w:rsidRDefault="00205451" w:rsidP="00205451">
      <w:pPr>
        <w:autoSpaceDN/>
        <w:spacing w:line="240" w:lineRule="auto"/>
        <w:ind w:left="720"/>
        <w:textAlignment w:val="auto"/>
        <w:rPr>
          <w:rFonts w:ascii="Calibri" w:eastAsia="Calibri" w:hAnsi="Calibri" w:cs="Calibri"/>
          <w:color w:val="auto"/>
          <w:sz w:val="22"/>
          <w:szCs w:val="22"/>
        </w:rPr>
      </w:pPr>
      <w:r w:rsidRPr="00205451">
        <w:rPr>
          <w:rFonts w:ascii="Calibri" w:eastAsia="Calibri" w:hAnsi="Calibri" w:cs="Calibri"/>
          <w:color w:val="auto"/>
          <w:sz w:val="22"/>
          <w:szCs w:val="22"/>
        </w:rPr>
        <w:t>Iedere combinant (oftewel iedere onderneming die lid is van de Combinatie) moet afzonderlijk een Eigen Verklaring volledig invullen en rechtsgeldig ondertekenen namens zijn eigen onderneming. De Eigen Verklaringen van de combinanten moeten als onderdeel van de Inschrijving van de Combinatie worden ingediend.</w:t>
      </w:r>
    </w:p>
    <w:p w14:paraId="12FC23A1" w14:textId="77777777" w:rsidR="00205451" w:rsidRPr="00205451" w:rsidRDefault="00205451" w:rsidP="00205451">
      <w:pPr>
        <w:autoSpaceDN/>
        <w:spacing w:line="240" w:lineRule="auto"/>
        <w:ind w:left="720"/>
        <w:textAlignment w:val="auto"/>
        <w:rPr>
          <w:rFonts w:ascii="Calibri" w:eastAsia="Calibri" w:hAnsi="Calibri" w:cs="Calibri"/>
          <w:color w:val="auto"/>
          <w:sz w:val="22"/>
          <w:szCs w:val="22"/>
        </w:rPr>
      </w:pPr>
    </w:p>
    <w:p w14:paraId="6DEFA2A4" w14:textId="77777777" w:rsidR="00205451" w:rsidRPr="00205451" w:rsidRDefault="00205451" w:rsidP="00205451">
      <w:pPr>
        <w:autoSpaceDN/>
        <w:spacing w:line="240" w:lineRule="auto"/>
        <w:ind w:left="720"/>
        <w:textAlignment w:val="auto"/>
        <w:rPr>
          <w:rFonts w:ascii="Calibri" w:eastAsia="Calibri" w:hAnsi="Calibri" w:cs="Calibri"/>
          <w:color w:val="auto"/>
          <w:sz w:val="22"/>
          <w:szCs w:val="22"/>
        </w:rPr>
      </w:pPr>
      <w:r w:rsidRPr="00205451">
        <w:rPr>
          <w:rFonts w:ascii="Calibri" w:eastAsia="Calibri" w:hAnsi="Calibri" w:cs="Calibri"/>
          <w:color w:val="auto"/>
          <w:sz w:val="22"/>
          <w:szCs w:val="22"/>
        </w:rPr>
        <w:t>Met het indienen van de Inschrijving verklaren de combinanten dat alle deelnemers in de Combinatie gezamenlijk en hoofdelijk aansprakelijk zijn voor de gestanddoening van de verplichtingen die voortvloeien uit de Aanbestedingsprocedure en uit de uitvoering van de (eventuele) Overeenkomst.</w:t>
      </w:r>
    </w:p>
    <w:p w14:paraId="1D3F4E8A" w14:textId="77777777" w:rsidR="00205451" w:rsidRPr="00205451" w:rsidRDefault="00205451" w:rsidP="00205451">
      <w:pPr>
        <w:autoSpaceDN/>
        <w:spacing w:line="240" w:lineRule="auto"/>
        <w:ind w:left="720"/>
        <w:textAlignment w:val="auto"/>
        <w:rPr>
          <w:rFonts w:ascii="Calibri" w:eastAsia="Calibri" w:hAnsi="Calibri" w:cs="Calibri"/>
          <w:color w:val="auto"/>
          <w:sz w:val="22"/>
          <w:szCs w:val="22"/>
        </w:rPr>
      </w:pPr>
    </w:p>
    <w:p w14:paraId="20B4B969" w14:textId="77777777" w:rsidR="00205451" w:rsidRPr="00205451" w:rsidRDefault="00205451" w:rsidP="00B01284">
      <w:pPr>
        <w:numPr>
          <w:ilvl w:val="0"/>
          <w:numId w:val="15"/>
        </w:numPr>
        <w:autoSpaceDN/>
        <w:spacing w:line="240" w:lineRule="auto"/>
        <w:textAlignment w:val="auto"/>
        <w:rPr>
          <w:rFonts w:ascii="Calibri" w:eastAsia="Calibri" w:hAnsi="Calibri" w:cs="Calibri"/>
          <w:b/>
          <w:color w:val="auto"/>
          <w:sz w:val="22"/>
          <w:szCs w:val="22"/>
        </w:rPr>
      </w:pPr>
      <w:r w:rsidRPr="00205451">
        <w:rPr>
          <w:rFonts w:ascii="Calibri" w:eastAsia="Calibri" w:hAnsi="Calibri" w:cs="Calibri"/>
          <w:b/>
          <w:color w:val="auto"/>
          <w:sz w:val="22"/>
          <w:szCs w:val="22"/>
        </w:rPr>
        <w:t>Onderaanneming</w:t>
      </w:r>
    </w:p>
    <w:p w14:paraId="5039AA3D" w14:textId="77777777" w:rsidR="00205451" w:rsidRPr="00205451" w:rsidRDefault="00205451" w:rsidP="00205451">
      <w:pPr>
        <w:autoSpaceDN/>
        <w:spacing w:line="240" w:lineRule="auto"/>
        <w:ind w:left="720"/>
        <w:textAlignment w:val="auto"/>
        <w:rPr>
          <w:rFonts w:ascii="Calibri" w:eastAsia="Calibri" w:hAnsi="Calibri" w:cs="Calibri"/>
          <w:color w:val="auto"/>
          <w:sz w:val="22"/>
          <w:szCs w:val="22"/>
        </w:rPr>
      </w:pPr>
      <w:r w:rsidRPr="00205451">
        <w:rPr>
          <w:rFonts w:ascii="Calibri" w:eastAsia="Calibri" w:hAnsi="Calibri" w:cs="Calibri"/>
          <w:color w:val="auto"/>
          <w:sz w:val="22"/>
          <w:szCs w:val="22"/>
        </w:rPr>
        <w:t xml:space="preserve">Een Inschrijver mag een deel van de opdracht in onderaanneming laten verrichten. Hoofd- en onderaannemer schrijven dan in als één Inschrijver. De hoofdaannemer blijft te allen tijde verantwoordelijk voor de uit te voeren opdracht. Bovendien is de hoofdaannemer aansprakelijk voor de gehele uitvoering van de opdracht, inclusief alles wat de onderaannemer verricht. </w:t>
      </w:r>
    </w:p>
    <w:p w14:paraId="4F44CFBC" w14:textId="77777777" w:rsidR="00205451" w:rsidRPr="00205451" w:rsidRDefault="00205451" w:rsidP="00205451">
      <w:pPr>
        <w:autoSpaceDN/>
        <w:spacing w:line="240" w:lineRule="auto"/>
        <w:ind w:left="720"/>
        <w:textAlignment w:val="auto"/>
        <w:rPr>
          <w:rFonts w:ascii="Calibri" w:eastAsia="Calibri" w:hAnsi="Calibri" w:cs="Calibri"/>
          <w:color w:val="auto"/>
          <w:sz w:val="22"/>
          <w:szCs w:val="22"/>
        </w:rPr>
      </w:pPr>
    </w:p>
    <w:p w14:paraId="1DE23684" w14:textId="592C67C8" w:rsidR="00205451" w:rsidRPr="00205451" w:rsidRDefault="00205451" w:rsidP="00205451">
      <w:pPr>
        <w:autoSpaceDN/>
        <w:spacing w:line="240" w:lineRule="auto"/>
        <w:ind w:left="720"/>
        <w:textAlignment w:val="auto"/>
        <w:rPr>
          <w:rFonts w:ascii="Calibri" w:eastAsia="Calibri" w:hAnsi="Calibri" w:cs="Calibri"/>
          <w:color w:val="auto"/>
          <w:sz w:val="22"/>
          <w:szCs w:val="22"/>
        </w:rPr>
      </w:pPr>
      <w:r w:rsidRPr="00205451">
        <w:rPr>
          <w:rFonts w:ascii="Calibri" w:eastAsia="Calibri" w:hAnsi="Calibri" w:cs="Calibri"/>
          <w:color w:val="auto"/>
          <w:sz w:val="22"/>
          <w:szCs w:val="22"/>
        </w:rPr>
        <w:t xml:space="preserve">De </w:t>
      </w:r>
      <w:r>
        <w:rPr>
          <w:rFonts w:ascii="Calibri" w:eastAsia="Calibri" w:hAnsi="Calibri" w:cs="Calibri"/>
          <w:color w:val="auto"/>
          <w:sz w:val="22"/>
          <w:szCs w:val="22"/>
        </w:rPr>
        <w:t>Tweede Kamer</w:t>
      </w:r>
      <w:r w:rsidRPr="00205451">
        <w:rPr>
          <w:rFonts w:ascii="Calibri" w:eastAsia="Calibri" w:hAnsi="Calibri" w:cs="Calibri"/>
          <w:color w:val="auto"/>
          <w:sz w:val="22"/>
          <w:szCs w:val="22"/>
        </w:rPr>
        <w:t xml:space="preserve"> onderscheidt twee vormen van onderaanneming, namelijk:</w:t>
      </w:r>
    </w:p>
    <w:p w14:paraId="0A5229EB" w14:textId="3CBAF641" w:rsidR="00205451" w:rsidRPr="00205451" w:rsidRDefault="00205451" w:rsidP="00B01284">
      <w:pPr>
        <w:numPr>
          <w:ilvl w:val="0"/>
          <w:numId w:val="24"/>
        </w:numPr>
        <w:autoSpaceDN/>
        <w:spacing w:line="240" w:lineRule="auto"/>
        <w:textAlignment w:val="auto"/>
        <w:rPr>
          <w:rFonts w:ascii="Calibri" w:eastAsia="Calibri" w:hAnsi="Calibri" w:cs="Calibri"/>
          <w:color w:val="auto"/>
          <w:sz w:val="22"/>
          <w:szCs w:val="22"/>
        </w:rPr>
      </w:pPr>
      <w:r w:rsidRPr="00205451">
        <w:rPr>
          <w:rFonts w:ascii="Calibri" w:eastAsia="Calibri" w:hAnsi="Calibri" w:cs="Calibri"/>
          <w:color w:val="auto"/>
          <w:sz w:val="22"/>
          <w:szCs w:val="22"/>
        </w:rPr>
        <w:t xml:space="preserve">de onderaannemer die de Inschrijver/hoofdaannemer nodig heeft om te voldoen aan de Geschiktheidseisen. Voor deze vorm van </w:t>
      </w:r>
      <w:r w:rsidRPr="00205451">
        <w:rPr>
          <w:rFonts w:ascii="Calibri" w:eastAsia="Calibri" w:hAnsi="Calibri" w:cs="Calibri"/>
          <w:color w:val="auto"/>
          <w:sz w:val="22"/>
          <w:szCs w:val="22"/>
        </w:rPr>
        <w:lastRenderedPageBreak/>
        <w:t xml:space="preserve">onderaanneming gelden de regels en instructies die genoemd staan in deze paragraaf onder </w:t>
      </w:r>
      <w:r w:rsidR="00D61605">
        <w:rPr>
          <w:rFonts w:ascii="Calibri" w:eastAsia="Calibri" w:hAnsi="Calibri" w:cs="Calibri"/>
          <w:color w:val="auto"/>
          <w:sz w:val="22"/>
          <w:szCs w:val="22"/>
        </w:rPr>
        <w:t>het kopje “</w:t>
      </w:r>
      <w:r w:rsidR="00D61605" w:rsidRPr="00D61605">
        <w:rPr>
          <w:rFonts w:ascii="Calibri" w:eastAsia="Calibri" w:hAnsi="Calibri" w:cs="Calibri"/>
          <w:i/>
          <w:color w:val="auto"/>
          <w:sz w:val="22"/>
          <w:szCs w:val="22"/>
        </w:rPr>
        <w:t>Beroep op Derde(n)</w:t>
      </w:r>
      <w:r w:rsidR="00D61605">
        <w:rPr>
          <w:rFonts w:ascii="Calibri" w:eastAsia="Calibri" w:hAnsi="Calibri" w:cs="Calibri"/>
          <w:color w:val="auto"/>
          <w:sz w:val="22"/>
          <w:szCs w:val="22"/>
        </w:rPr>
        <w:t>”</w:t>
      </w:r>
      <w:r w:rsidRPr="00205451">
        <w:rPr>
          <w:rFonts w:ascii="Calibri" w:eastAsia="Calibri" w:hAnsi="Calibri" w:cs="Calibri"/>
          <w:color w:val="auto"/>
          <w:sz w:val="22"/>
          <w:szCs w:val="22"/>
        </w:rPr>
        <w:t>, en</w:t>
      </w:r>
    </w:p>
    <w:p w14:paraId="0D1EC62F" w14:textId="77777777" w:rsidR="00205451" w:rsidRPr="00205451" w:rsidRDefault="00205451" w:rsidP="00205451">
      <w:pPr>
        <w:autoSpaceDN/>
        <w:spacing w:line="240" w:lineRule="auto"/>
        <w:ind w:left="1440"/>
        <w:textAlignment w:val="auto"/>
        <w:rPr>
          <w:rFonts w:ascii="Calibri" w:eastAsia="Calibri" w:hAnsi="Calibri" w:cs="Calibri"/>
          <w:color w:val="auto"/>
          <w:sz w:val="22"/>
          <w:szCs w:val="22"/>
        </w:rPr>
      </w:pPr>
    </w:p>
    <w:p w14:paraId="70A5BA2F" w14:textId="76BA68A5" w:rsidR="00205451" w:rsidRPr="00205451" w:rsidRDefault="00205451" w:rsidP="00B01284">
      <w:pPr>
        <w:numPr>
          <w:ilvl w:val="0"/>
          <w:numId w:val="24"/>
        </w:numPr>
        <w:autoSpaceDN/>
        <w:spacing w:line="240" w:lineRule="auto"/>
        <w:textAlignment w:val="auto"/>
        <w:rPr>
          <w:rFonts w:ascii="Calibri" w:eastAsia="Calibri" w:hAnsi="Calibri" w:cs="Calibri"/>
          <w:color w:val="auto"/>
          <w:sz w:val="22"/>
          <w:szCs w:val="22"/>
        </w:rPr>
      </w:pPr>
      <w:r w:rsidRPr="00205451">
        <w:rPr>
          <w:rFonts w:ascii="Calibri" w:eastAsia="Calibri" w:hAnsi="Calibri" w:cs="Calibri"/>
          <w:color w:val="auto"/>
          <w:sz w:val="22"/>
          <w:szCs w:val="22"/>
        </w:rPr>
        <w:t xml:space="preserve">de onderaannemer die de Inschrijver/hoofdaannemer inzet voor extra menskracht tijdens de uitvoering van de opdracht. De Inschrijver moet zijn voornemen om een onderaannemer van dit type in te zetten, </w:t>
      </w:r>
      <w:r w:rsidRPr="00205451">
        <w:rPr>
          <w:rFonts w:ascii="Calibri" w:eastAsia="Calibri" w:hAnsi="Calibri" w:cs="Calibri"/>
          <w:i/>
          <w:color w:val="auto"/>
          <w:sz w:val="22"/>
          <w:szCs w:val="22"/>
          <w:u w:val="single"/>
        </w:rPr>
        <w:t>altijd</w:t>
      </w:r>
      <w:r w:rsidRPr="00205451">
        <w:rPr>
          <w:rFonts w:ascii="Calibri" w:eastAsia="Calibri" w:hAnsi="Calibri" w:cs="Calibri"/>
          <w:color w:val="auto"/>
          <w:sz w:val="22"/>
          <w:szCs w:val="22"/>
          <w:u w:val="single"/>
        </w:rPr>
        <w:t xml:space="preserve"> </w:t>
      </w:r>
      <w:r w:rsidRPr="00205451">
        <w:rPr>
          <w:rFonts w:ascii="Calibri" w:eastAsia="Calibri" w:hAnsi="Calibri" w:cs="Calibri"/>
          <w:i/>
          <w:color w:val="auto"/>
          <w:sz w:val="22"/>
          <w:szCs w:val="22"/>
          <w:u w:val="single"/>
        </w:rPr>
        <w:t>(dus ook gedurende de uitvoering van de opdracht)</w:t>
      </w:r>
      <w:r w:rsidRPr="00205451">
        <w:rPr>
          <w:rFonts w:ascii="Calibri" w:eastAsia="Calibri" w:hAnsi="Calibri" w:cs="Calibri"/>
          <w:color w:val="auto"/>
          <w:sz w:val="22"/>
          <w:szCs w:val="22"/>
          <w:u w:val="single"/>
        </w:rPr>
        <w:t xml:space="preserve"> </w:t>
      </w:r>
      <w:r w:rsidRPr="00205451">
        <w:rPr>
          <w:rFonts w:ascii="Calibri" w:eastAsia="Calibri" w:hAnsi="Calibri" w:cs="Calibri"/>
          <w:color w:val="auto"/>
          <w:sz w:val="22"/>
          <w:szCs w:val="22"/>
        </w:rPr>
        <w:t>te mel</w:t>
      </w:r>
      <w:r>
        <w:rPr>
          <w:rFonts w:ascii="Calibri" w:eastAsia="Calibri" w:hAnsi="Calibri" w:cs="Calibri"/>
          <w:color w:val="auto"/>
          <w:sz w:val="22"/>
          <w:szCs w:val="22"/>
        </w:rPr>
        <w:t>den bij de Tweede Kamer.</w:t>
      </w:r>
      <w:r w:rsidRPr="00205451">
        <w:rPr>
          <w:rFonts w:ascii="Calibri" w:eastAsia="Calibri" w:hAnsi="Calibri" w:cs="Calibri"/>
          <w:color w:val="auto"/>
          <w:sz w:val="22"/>
          <w:szCs w:val="22"/>
        </w:rPr>
        <w:t xml:space="preserve"> </w:t>
      </w:r>
    </w:p>
    <w:p w14:paraId="20E4975C" w14:textId="77777777" w:rsidR="00205451" w:rsidRPr="00205451" w:rsidRDefault="00205451" w:rsidP="00205451">
      <w:pPr>
        <w:autoSpaceDN/>
        <w:spacing w:line="240" w:lineRule="auto"/>
        <w:ind w:left="1440"/>
        <w:textAlignment w:val="auto"/>
        <w:rPr>
          <w:rFonts w:ascii="Calibri" w:eastAsia="Calibri" w:hAnsi="Calibri" w:cs="Calibri"/>
          <w:color w:val="auto"/>
          <w:sz w:val="22"/>
          <w:szCs w:val="22"/>
        </w:rPr>
      </w:pPr>
    </w:p>
    <w:p w14:paraId="19305CE3" w14:textId="157DEB75" w:rsidR="00EE13AE" w:rsidRDefault="00EE13AE" w:rsidP="00205451">
      <w:pPr>
        <w:autoSpaceDN/>
        <w:spacing w:line="240" w:lineRule="auto"/>
        <w:ind w:left="1440"/>
        <w:textAlignment w:val="auto"/>
        <w:rPr>
          <w:rFonts w:ascii="Calibri" w:eastAsia="Calibri" w:hAnsi="Calibri" w:cs="Calibri"/>
          <w:color w:val="auto"/>
          <w:sz w:val="22"/>
          <w:szCs w:val="22"/>
        </w:rPr>
      </w:pPr>
      <w:r>
        <w:rPr>
          <w:b/>
          <w:bCs/>
          <w:color w:val="121469"/>
        </w:rPr>
        <w:t>Voorschriften inzake onderaanneming t.b.v. extra menskracht</w:t>
      </w:r>
    </w:p>
    <w:p w14:paraId="7C8F68AE" w14:textId="514D2FD2" w:rsidR="00205451" w:rsidRPr="00205451" w:rsidRDefault="00205451" w:rsidP="00205451">
      <w:pPr>
        <w:autoSpaceDN/>
        <w:spacing w:line="240" w:lineRule="auto"/>
        <w:ind w:left="1440"/>
        <w:textAlignment w:val="auto"/>
        <w:rPr>
          <w:rFonts w:ascii="Calibri" w:eastAsia="Calibri" w:hAnsi="Calibri" w:cs="Calibri"/>
          <w:color w:val="auto"/>
          <w:sz w:val="22"/>
          <w:szCs w:val="22"/>
        </w:rPr>
      </w:pPr>
      <w:r w:rsidRPr="00205451">
        <w:rPr>
          <w:rFonts w:ascii="Calibri" w:eastAsia="Calibri" w:hAnsi="Calibri" w:cs="Calibri"/>
          <w:color w:val="auto"/>
          <w:sz w:val="22"/>
          <w:szCs w:val="22"/>
        </w:rPr>
        <w:t>Tijdens de Aanbestedingsprocedure moet de Inschrijver zijn voornemen in de Inschrijving kenbaar maken</w:t>
      </w:r>
      <w:r w:rsidR="00D61605">
        <w:rPr>
          <w:rFonts w:ascii="Calibri" w:eastAsia="Calibri" w:hAnsi="Calibri" w:cs="Calibri"/>
          <w:color w:val="auto"/>
          <w:sz w:val="22"/>
          <w:szCs w:val="22"/>
        </w:rPr>
        <w:t xml:space="preserve">. Dat doet hij door </w:t>
      </w:r>
      <w:r w:rsidR="00D61605" w:rsidRPr="00205451">
        <w:rPr>
          <w:rFonts w:ascii="Calibri" w:eastAsia="Calibri" w:hAnsi="Calibri" w:cs="Calibri"/>
          <w:color w:val="auto"/>
          <w:sz w:val="22"/>
          <w:szCs w:val="22"/>
        </w:rPr>
        <w:t>Deel II D in te vullen</w:t>
      </w:r>
      <w:r w:rsidR="00D61605">
        <w:rPr>
          <w:rFonts w:ascii="Calibri" w:eastAsia="Calibri" w:hAnsi="Calibri" w:cs="Calibri"/>
          <w:color w:val="auto"/>
          <w:sz w:val="22"/>
          <w:szCs w:val="22"/>
        </w:rPr>
        <w:t xml:space="preserve"> in de Eigen Verklaring die hij bij zijn Inschrijving indient en die zijn eigen onderneming betreft</w:t>
      </w:r>
      <w:r w:rsidRPr="00205451">
        <w:rPr>
          <w:rFonts w:ascii="Calibri" w:eastAsia="Calibri" w:hAnsi="Calibri" w:cs="Calibri"/>
          <w:color w:val="auto"/>
          <w:sz w:val="22"/>
          <w:szCs w:val="22"/>
        </w:rPr>
        <w:t xml:space="preserve">. Indien de </w:t>
      </w:r>
      <w:r>
        <w:rPr>
          <w:rFonts w:ascii="Calibri" w:eastAsia="Calibri" w:hAnsi="Calibri" w:cs="Calibri"/>
          <w:color w:val="auto"/>
          <w:sz w:val="22"/>
          <w:szCs w:val="22"/>
        </w:rPr>
        <w:t xml:space="preserve">Tweede Kamer </w:t>
      </w:r>
      <w:r w:rsidRPr="00205451">
        <w:rPr>
          <w:rFonts w:ascii="Calibri" w:eastAsia="Calibri" w:hAnsi="Calibri" w:cs="Calibri"/>
          <w:color w:val="auto"/>
          <w:sz w:val="22"/>
          <w:szCs w:val="22"/>
        </w:rPr>
        <w:t>de opdracht aan de Inschrijver beoogt te gunnen, moet de Inschrijver voor iedere onderaannemer die hij wenst in te zetten een door de onderaannemer volledig ingevulde en rechtsgeldig ondertekende E</w:t>
      </w:r>
      <w:r w:rsidR="00D61605">
        <w:rPr>
          <w:rFonts w:ascii="Calibri" w:eastAsia="Calibri" w:hAnsi="Calibri" w:cs="Calibri"/>
          <w:color w:val="auto"/>
          <w:sz w:val="22"/>
          <w:szCs w:val="22"/>
        </w:rPr>
        <w:t>igen Verklaring indienen</w:t>
      </w:r>
      <w:r w:rsidRPr="00205451">
        <w:rPr>
          <w:rFonts w:ascii="Calibri" w:eastAsia="Calibri" w:hAnsi="Calibri" w:cs="Calibri"/>
          <w:color w:val="auto"/>
          <w:sz w:val="22"/>
          <w:szCs w:val="22"/>
        </w:rPr>
        <w:t xml:space="preserve">, alsmede de bewijsstukken die het verklaarde in de Eigen Verklaring bewijzen (zie in dit kader </w:t>
      </w:r>
      <w:r w:rsidR="00D61605">
        <w:rPr>
          <w:rFonts w:ascii="Calibri" w:eastAsia="Calibri" w:hAnsi="Calibri" w:cs="Calibri"/>
          <w:color w:val="auto"/>
          <w:sz w:val="22"/>
          <w:szCs w:val="22"/>
        </w:rPr>
        <w:t>het hoofdstuk met de titel “</w:t>
      </w:r>
      <w:r w:rsidR="00D61605" w:rsidRPr="00D61605">
        <w:rPr>
          <w:rFonts w:ascii="Calibri" w:eastAsia="Calibri" w:hAnsi="Calibri" w:cs="Calibri"/>
          <w:i/>
          <w:color w:val="auto"/>
          <w:sz w:val="22"/>
          <w:szCs w:val="22"/>
        </w:rPr>
        <w:t>Uitsluitingsgronden en Geschiktheidseisen</w:t>
      </w:r>
      <w:r w:rsidR="00D61605">
        <w:rPr>
          <w:rFonts w:ascii="Calibri" w:eastAsia="Calibri" w:hAnsi="Calibri" w:cs="Calibri"/>
          <w:color w:val="auto"/>
          <w:sz w:val="22"/>
          <w:szCs w:val="22"/>
        </w:rPr>
        <w:t>”</w:t>
      </w:r>
      <w:r w:rsidRPr="00205451">
        <w:rPr>
          <w:rFonts w:ascii="Calibri" w:eastAsia="Calibri" w:hAnsi="Calibri" w:cs="Calibri"/>
          <w:color w:val="auto"/>
          <w:sz w:val="22"/>
          <w:szCs w:val="22"/>
        </w:rPr>
        <w:t>). Het indienen van de Eigen Verklaring van de onderaannemer en de bijbehorende bewijsstukken moet plaatsvinden binnen de termijn die genoemd staa</w:t>
      </w:r>
      <w:r w:rsidR="00D61605">
        <w:rPr>
          <w:rFonts w:ascii="Calibri" w:eastAsia="Calibri" w:hAnsi="Calibri" w:cs="Calibri"/>
          <w:color w:val="auto"/>
          <w:sz w:val="22"/>
          <w:szCs w:val="22"/>
        </w:rPr>
        <w:t>t</w:t>
      </w:r>
      <w:r w:rsidRPr="00205451">
        <w:rPr>
          <w:rFonts w:ascii="Calibri" w:eastAsia="Calibri" w:hAnsi="Calibri" w:cs="Calibri"/>
          <w:color w:val="auto"/>
          <w:sz w:val="22"/>
          <w:szCs w:val="22"/>
        </w:rPr>
        <w:t xml:space="preserve"> in </w:t>
      </w:r>
      <w:r w:rsidR="00D61605">
        <w:rPr>
          <w:rFonts w:ascii="Calibri" w:eastAsia="Calibri" w:hAnsi="Calibri" w:cs="Calibri"/>
          <w:color w:val="auto"/>
          <w:sz w:val="22"/>
          <w:szCs w:val="22"/>
        </w:rPr>
        <w:t xml:space="preserve">het </w:t>
      </w:r>
      <w:r w:rsidR="00D61605" w:rsidRPr="00D61605">
        <w:rPr>
          <w:rFonts w:ascii="Calibri" w:eastAsia="Calibri" w:hAnsi="Calibri" w:cs="Calibri"/>
          <w:color w:val="auto"/>
          <w:sz w:val="22"/>
          <w:szCs w:val="22"/>
        </w:rPr>
        <w:t>hoofdstuk</w:t>
      </w:r>
      <w:r w:rsidR="00D61605">
        <w:rPr>
          <w:rFonts w:ascii="Calibri" w:eastAsia="Calibri" w:hAnsi="Calibri" w:cs="Calibri"/>
          <w:color w:val="auto"/>
          <w:sz w:val="22"/>
          <w:szCs w:val="22"/>
        </w:rPr>
        <w:t xml:space="preserve"> “</w:t>
      </w:r>
      <w:r w:rsidR="00D61605" w:rsidRPr="00D61605">
        <w:rPr>
          <w:rFonts w:ascii="Calibri" w:eastAsia="Calibri" w:hAnsi="Calibri" w:cs="Calibri"/>
          <w:i/>
          <w:color w:val="auto"/>
          <w:sz w:val="22"/>
          <w:szCs w:val="22"/>
        </w:rPr>
        <w:t>Verificatie van de Inschrijving van de voorgenomen begunstigde</w:t>
      </w:r>
      <w:r w:rsidR="00D61605">
        <w:rPr>
          <w:rFonts w:ascii="Calibri" w:eastAsia="Calibri" w:hAnsi="Calibri" w:cs="Calibri"/>
          <w:color w:val="auto"/>
          <w:sz w:val="22"/>
          <w:szCs w:val="22"/>
        </w:rPr>
        <w:t>”</w:t>
      </w:r>
      <w:r w:rsidRPr="00205451">
        <w:rPr>
          <w:rFonts w:ascii="Calibri" w:eastAsia="Calibri" w:hAnsi="Calibri" w:cs="Calibri"/>
          <w:color w:val="auto"/>
          <w:sz w:val="22"/>
          <w:szCs w:val="22"/>
        </w:rPr>
        <w:t>.</w:t>
      </w:r>
    </w:p>
    <w:p w14:paraId="24AFC742" w14:textId="77777777" w:rsidR="00205451" w:rsidRPr="00205451" w:rsidRDefault="00205451" w:rsidP="00205451">
      <w:pPr>
        <w:autoSpaceDN/>
        <w:spacing w:line="240" w:lineRule="auto"/>
        <w:ind w:left="1440"/>
        <w:textAlignment w:val="auto"/>
        <w:rPr>
          <w:rFonts w:ascii="Calibri" w:eastAsia="Calibri" w:hAnsi="Calibri" w:cs="Calibri"/>
          <w:color w:val="auto"/>
          <w:sz w:val="22"/>
          <w:szCs w:val="22"/>
        </w:rPr>
      </w:pPr>
    </w:p>
    <w:p w14:paraId="067C061F" w14:textId="66070833" w:rsidR="00205451" w:rsidRPr="00205451" w:rsidRDefault="00205451" w:rsidP="00205451">
      <w:pPr>
        <w:autoSpaceDN/>
        <w:spacing w:line="240" w:lineRule="auto"/>
        <w:ind w:left="1440"/>
        <w:textAlignment w:val="auto"/>
        <w:rPr>
          <w:rFonts w:ascii="Calibri" w:eastAsia="Calibri" w:hAnsi="Calibri" w:cs="Calibri"/>
          <w:color w:val="auto"/>
          <w:sz w:val="22"/>
          <w:szCs w:val="22"/>
        </w:rPr>
      </w:pPr>
      <w:r w:rsidRPr="00205451">
        <w:rPr>
          <w:rFonts w:ascii="Calibri" w:eastAsia="Calibri" w:hAnsi="Calibri" w:cs="Calibri"/>
          <w:color w:val="auto"/>
          <w:sz w:val="22"/>
          <w:szCs w:val="22"/>
        </w:rPr>
        <w:t xml:space="preserve">Gedurende de uitvoering van de opdracht moet de Inschrijver zijn voornemen om een onderaannemer voor extra menskracht in te zetten schriftelijk kenbaar maken aan de </w:t>
      </w:r>
      <w:r>
        <w:rPr>
          <w:rFonts w:ascii="Calibri" w:eastAsia="Calibri" w:hAnsi="Calibri" w:cs="Calibri"/>
          <w:color w:val="auto"/>
          <w:sz w:val="22"/>
          <w:szCs w:val="22"/>
        </w:rPr>
        <w:t>Tweede Kamer.</w:t>
      </w:r>
      <w:r w:rsidRPr="00205451">
        <w:rPr>
          <w:rFonts w:ascii="Calibri" w:eastAsia="Calibri" w:hAnsi="Calibri" w:cs="Calibri"/>
          <w:color w:val="auto"/>
          <w:sz w:val="22"/>
          <w:szCs w:val="22"/>
        </w:rPr>
        <w:t xml:space="preserve"> Bij het verzoek moet de Inschrijver voor iedere onderaannemer die hij wenst in te zetten een door de onderaannemer volledig ingevulde en rechtsgeldig ondertekende Eigen Verklaring met bijbehorende bewijsstukken (zie voorgaande alinea) indienen.</w:t>
      </w:r>
    </w:p>
    <w:p w14:paraId="5F039040" w14:textId="77777777" w:rsidR="00205451" w:rsidRPr="00205451" w:rsidRDefault="00205451" w:rsidP="00205451">
      <w:pPr>
        <w:autoSpaceDN/>
        <w:spacing w:line="240" w:lineRule="auto"/>
        <w:ind w:left="1440"/>
        <w:textAlignment w:val="auto"/>
        <w:rPr>
          <w:rFonts w:ascii="Calibri" w:eastAsia="Calibri" w:hAnsi="Calibri" w:cs="Calibri"/>
          <w:color w:val="auto"/>
          <w:sz w:val="22"/>
          <w:szCs w:val="22"/>
        </w:rPr>
      </w:pPr>
    </w:p>
    <w:p w14:paraId="26C1E1E9" w14:textId="0E48D8CF" w:rsidR="00205451" w:rsidRPr="00205451" w:rsidRDefault="00205451" w:rsidP="00205451">
      <w:pPr>
        <w:autoSpaceDN/>
        <w:spacing w:line="240" w:lineRule="auto"/>
        <w:ind w:left="1440"/>
        <w:textAlignment w:val="auto"/>
        <w:rPr>
          <w:rFonts w:ascii="Calibri" w:eastAsia="Calibri" w:hAnsi="Calibri" w:cs="Calibri"/>
          <w:color w:val="auto"/>
          <w:sz w:val="22"/>
          <w:szCs w:val="22"/>
        </w:rPr>
      </w:pPr>
      <w:r w:rsidRPr="00205451">
        <w:rPr>
          <w:rFonts w:ascii="Calibri" w:eastAsia="Calibri" w:hAnsi="Calibri" w:cs="Calibri"/>
          <w:color w:val="auto"/>
          <w:sz w:val="22"/>
          <w:szCs w:val="22"/>
        </w:rPr>
        <w:t xml:space="preserve">Het inzetten van een onderaannemer voor extra menskracht is slechts toegestaan indien de </w:t>
      </w:r>
      <w:r>
        <w:rPr>
          <w:rFonts w:ascii="Calibri" w:eastAsia="Calibri" w:hAnsi="Calibri" w:cs="Calibri"/>
          <w:color w:val="auto"/>
          <w:sz w:val="22"/>
          <w:szCs w:val="22"/>
        </w:rPr>
        <w:t>Tweede Kamer</w:t>
      </w:r>
      <w:r w:rsidRPr="00205451">
        <w:rPr>
          <w:rFonts w:ascii="Calibri" w:eastAsia="Calibri" w:hAnsi="Calibri" w:cs="Calibri"/>
          <w:color w:val="auto"/>
          <w:sz w:val="22"/>
          <w:szCs w:val="22"/>
        </w:rPr>
        <w:t xml:space="preserve"> daarvoor schriftelijk fiat verleent. De </w:t>
      </w:r>
      <w:r>
        <w:rPr>
          <w:rFonts w:ascii="Calibri" w:eastAsia="Calibri" w:hAnsi="Calibri" w:cs="Calibri"/>
          <w:color w:val="auto"/>
          <w:sz w:val="22"/>
          <w:szCs w:val="22"/>
        </w:rPr>
        <w:t>Tweede Kamer</w:t>
      </w:r>
      <w:r w:rsidRPr="00205451">
        <w:rPr>
          <w:rFonts w:ascii="Calibri" w:eastAsia="Calibri" w:hAnsi="Calibri" w:cs="Calibri"/>
          <w:color w:val="auto"/>
          <w:sz w:val="22"/>
          <w:szCs w:val="22"/>
        </w:rPr>
        <w:t xml:space="preserve"> verleent fiat, indien de Inschrijver/Opdrachtnemer alle bewijsstukken zoals hiervoor genoemd tijdig, correct en volledig (ingevuld) heeft ingediend, en daaruit blijkt dat op de onderaannemer geen Uitsluitingsgronden van toepassing zijn. </w:t>
      </w:r>
    </w:p>
    <w:p w14:paraId="77046861" w14:textId="77777777" w:rsidR="00205451" w:rsidRPr="00205451" w:rsidRDefault="00205451" w:rsidP="00205451">
      <w:pPr>
        <w:autoSpaceDN/>
        <w:spacing w:line="240" w:lineRule="auto"/>
        <w:ind w:left="720"/>
        <w:textAlignment w:val="auto"/>
        <w:rPr>
          <w:rFonts w:ascii="Calibri" w:eastAsia="Calibri" w:hAnsi="Calibri" w:cs="Calibri"/>
          <w:color w:val="auto"/>
          <w:sz w:val="22"/>
          <w:szCs w:val="22"/>
        </w:rPr>
      </w:pPr>
    </w:p>
    <w:p w14:paraId="7F254F0A" w14:textId="77777777" w:rsidR="00205451" w:rsidRPr="00205451" w:rsidRDefault="00205451" w:rsidP="00B01284">
      <w:pPr>
        <w:numPr>
          <w:ilvl w:val="0"/>
          <w:numId w:val="15"/>
        </w:numPr>
        <w:autoSpaceDN/>
        <w:spacing w:line="240" w:lineRule="auto"/>
        <w:textAlignment w:val="auto"/>
        <w:rPr>
          <w:rFonts w:ascii="Calibri" w:eastAsia="Calibri" w:hAnsi="Calibri" w:cs="Calibri"/>
          <w:b/>
          <w:color w:val="auto"/>
          <w:sz w:val="22"/>
          <w:szCs w:val="22"/>
        </w:rPr>
      </w:pPr>
      <w:r w:rsidRPr="00205451">
        <w:rPr>
          <w:rFonts w:ascii="Calibri" w:eastAsia="Calibri" w:hAnsi="Calibri" w:cs="Calibri"/>
          <w:b/>
          <w:color w:val="auto"/>
          <w:sz w:val="22"/>
          <w:szCs w:val="22"/>
        </w:rPr>
        <w:t>Beroep op Derde(n)</w:t>
      </w:r>
    </w:p>
    <w:p w14:paraId="555631EF" w14:textId="77777777" w:rsidR="00205451" w:rsidRPr="00205451" w:rsidRDefault="00205451" w:rsidP="00205451">
      <w:pPr>
        <w:ind w:left="708"/>
      </w:pPr>
      <w:r w:rsidRPr="00205451">
        <w:t>De Inschrijver kan zich beroepen op de bekwaamheid van een onderaannemer (Derde) om te voldoen aan de Geschiktheidseisen financiële en economische draagkracht en/of technische bekwaamheid.</w:t>
      </w:r>
    </w:p>
    <w:p w14:paraId="66C68F0A" w14:textId="77777777" w:rsidR="00205451" w:rsidRPr="00205451" w:rsidRDefault="00205451" w:rsidP="00205451">
      <w:pPr>
        <w:ind w:left="708"/>
      </w:pPr>
    </w:p>
    <w:p w14:paraId="6A6A5E14" w14:textId="77777777" w:rsidR="00205451" w:rsidRPr="00205451" w:rsidRDefault="00205451" w:rsidP="00205451">
      <w:pPr>
        <w:ind w:left="708"/>
      </w:pPr>
      <w:r w:rsidRPr="00205451">
        <w:lastRenderedPageBreak/>
        <w:t xml:space="preserve">Indien de Inschrijver een beroep doet op de financiële en economische draagkracht van een Derde, zijn de Inschrijver/Opdrachtnemer </w:t>
      </w:r>
      <w:r w:rsidRPr="00205451">
        <w:rPr>
          <w:i/>
        </w:rPr>
        <w:t xml:space="preserve">en </w:t>
      </w:r>
      <w:r w:rsidRPr="00205451">
        <w:t xml:space="preserve">de Derde </w:t>
      </w:r>
      <w:r w:rsidRPr="00205451">
        <w:rPr>
          <w:u w:val="single"/>
        </w:rPr>
        <w:t>hoofdelijk aansprakelijk</w:t>
      </w:r>
      <w:r w:rsidRPr="00205451">
        <w:t xml:space="preserve"> voor de uitvoering van de Overeenkomst.</w:t>
      </w:r>
    </w:p>
    <w:p w14:paraId="0DA8113E" w14:textId="77777777" w:rsidR="00205451" w:rsidRPr="00205451" w:rsidRDefault="00205451" w:rsidP="00205451">
      <w:pPr>
        <w:ind w:left="708"/>
      </w:pPr>
    </w:p>
    <w:p w14:paraId="03AA2130" w14:textId="77777777" w:rsidR="00205451" w:rsidRPr="00205451" w:rsidRDefault="00205451" w:rsidP="00205451">
      <w:pPr>
        <w:ind w:left="708"/>
      </w:pPr>
      <w:r w:rsidRPr="00205451">
        <w:t xml:space="preserve">Indien de Inschrijver een beroep doet op de technische bekwaamheid van een Derde, moet de Inschrijver/Opdrachtnemer de Derde </w:t>
      </w:r>
      <w:r w:rsidRPr="00205451">
        <w:rPr>
          <w:u w:val="single"/>
        </w:rPr>
        <w:t>daadwerkelijk inzetten</w:t>
      </w:r>
      <w:r w:rsidRPr="00205451">
        <w:t xml:space="preserve"> voor de uitvoering van de opdracht.</w:t>
      </w:r>
    </w:p>
    <w:p w14:paraId="30C7E19D" w14:textId="77777777" w:rsidR="00205451" w:rsidRPr="00205451" w:rsidRDefault="00205451" w:rsidP="00205451">
      <w:pPr>
        <w:ind w:left="708"/>
      </w:pPr>
    </w:p>
    <w:p w14:paraId="7F272032" w14:textId="77777777" w:rsidR="00205451" w:rsidRPr="00205451" w:rsidRDefault="00205451" w:rsidP="00205451">
      <w:pPr>
        <w:ind w:left="708"/>
        <w:rPr>
          <w:u w:val="single"/>
        </w:rPr>
      </w:pPr>
      <w:r w:rsidRPr="00205451">
        <w:rPr>
          <w:u w:val="single"/>
        </w:rPr>
        <w:t>Voorschriften voor het inschrijven met beroep op (een) Derde(n)</w:t>
      </w:r>
    </w:p>
    <w:p w14:paraId="1B0B080A" w14:textId="29C46AF7" w:rsidR="00205451" w:rsidRPr="00205451" w:rsidRDefault="00205451" w:rsidP="00B01284">
      <w:pPr>
        <w:numPr>
          <w:ilvl w:val="0"/>
          <w:numId w:val="25"/>
        </w:numPr>
        <w:autoSpaceDN/>
        <w:spacing w:after="160" w:line="240" w:lineRule="auto"/>
        <w:textAlignment w:val="auto"/>
        <w:rPr>
          <w:rFonts w:ascii="Calibri" w:eastAsia="Calibri" w:hAnsi="Calibri" w:cs="Calibri"/>
          <w:color w:val="auto"/>
          <w:sz w:val="22"/>
          <w:szCs w:val="22"/>
        </w:rPr>
      </w:pPr>
      <w:r w:rsidRPr="00205451">
        <w:rPr>
          <w:rFonts w:ascii="Calibri" w:eastAsia="Calibri" w:hAnsi="Calibri" w:cs="Calibri"/>
          <w:color w:val="auto"/>
          <w:sz w:val="22"/>
          <w:szCs w:val="22"/>
        </w:rPr>
        <w:t>De Inschrijver (in geval van een Combinatie, iedere combinan</w:t>
      </w:r>
      <w:r w:rsidR="00FE2AB9">
        <w:rPr>
          <w:rFonts w:ascii="Calibri" w:eastAsia="Calibri" w:hAnsi="Calibri" w:cs="Calibri"/>
          <w:color w:val="auto"/>
          <w:sz w:val="22"/>
          <w:szCs w:val="22"/>
        </w:rPr>
        <w:t>t), moet in de Eigen Verklaring</w:t>
      </w:r>
      <w:r w:rsidRPr="00205451">
        <w:rPr>
          <w:rFonts w:ascii="Calibri" w:eastAsia="Calibri" w:hAnsi="Calibri" w:cs="Calibri"/>
          <w:color w:val="auto"/>
          <w:sz w:val="22"/>
          <w:szCs w:val="22"/>
        </w:rPr>
        <w:t>, Deel II C volledig invullen, waarbij de Inschrijver in het vrije tekstvak zowel de naam van de Derde als de bekwaamheid waarvoor de Inschrijver een beroep op hem doet vermeldt.</w:t>
      </w:r>
    </w:p>
    <w:p w14:paraId="11403470" w14:textId="3D3D12A1" w:rsidR="00205451" w:rsidRPr="00205451" w:rsidRDefault="00205451" w:rsidP="00B01284">
      <w:pPr>
        <w:numPr>
          <w:ilvl w:val="0"/>
          <w:numId w:val="25"/>
        </w:numPr>
        <w:autoSpaceDN/>
        <w:spacing w:line="240" w:lineRule="auto"/>
        <w:textAlignment w:val="auto"/>
        <w:rPr>
          <w:rFonts w:ascii="Calibri" w:eastAsia="Calibri" w:hAnsi="Calibri" w:cs="Calibri"/>
          <w:color w:val="auto"/>
          <w:sz w:val="22"/>
          <w:szCs w:val="22"/>
        </w:rPr>
      </w:pPr>
      <w:r w:rsidRPr="00205451">
        <w:rPr>
          <w:rFonts w:ascii="Calibri" w:eastAsia="Calibri" w:hAnsi="Calibri" w:cs="Calibri"/>
          <w:color w:val="auto"/>
          <w:sz w:val="22"/>
          <w:szCs w:val="22"/>
        </w:rPr>
        <w:t>De Derde waarop de Inschrijver een beroep doet, moet ook zelf een Eigen Verklaring invullen (alleen de delen II A, II B en III) en rechtsgeldig ondertekenen. De Inschrijver moet de Eigen Verklaring van de Derde indienen bij zijn Inschrijving.</w:t>
      </w:r>
    </w:p>
    <w:p w14:paraId="67286721" w14:textId="77777777" w:rsidR="00205451" w:rsidRPr="00205451" w:rsidRDefault="00205451" w:rsidP="00205451">
      <w:pPr>
        <w:ind w:left="708"/>
      </w:pPr>
    </w:p>
    <w:p w14:paraId="140950E8" w14:textId="7E56B92F" w:rsidR="00205451" w:rsidRPr="00205451" w:rsidRDefault="00205451" w:rsidP="00205451">
      <w:pPr>
        <w:ind w:left="708"/>
      </w:pPr>
      <w:r w:rsidRPr="00205451">
        <w:t xml:space="preserve">De Inschrijver die een beroep doet op (een) Derde(n) en waaraan de </w:t>
      </w:r>
      <w:r>
        <w:t>Tweede Kamer</w:t>
      </w:r>
      <w:r w:rsidRPr="00205451">
        <w:t xml:space="preserve"> de opdracht beoogt te gunnen moet binnen de termijn </w:t>
      </w:r>
      <w:r w:rsidR="00FE2AB9">
        <w:t xml:space="preserve">die vermeld staat in het hoofdstuk </w:t>
      </w:r>
      <w:r w:rsidR="00FE2AB9">
        <w:rPr>
          <w:rFonts w:ascii="Calibri" w:eastAsia="Calibri" w:hAnsi="Calibri" w:cs="Calibri"/>
          <w:color w:val="auto"/>
          <w:sz w:val="22"/>
          <w:szCs w:val="22"/>
        </w:rPr>
        <w:t>“</w:t>
      </w:r>
      <w:r w:rsidR="00FE2AB9" w:rsidRPr="00D61605">
        <w:rPr>
          <w:rFonts w:ascii="Calibri" w:eastAsia="Calibri" w:hAnsi="Calibri" w:cs="Calibri"/>
          <w:i/>
          <w:color w:val="auto"/>
          <w:sz w:val="22"/>
          <w:szCs w:val="22"/>
        </w:rPr>
        <w:t>Verificatie van de Inschrijving van de voorgenomen begunstigde</w:t>
      </w:r>
      <w:r w:rsidR="00FE2AB9">
        <w:rPr>
          <w:rFonts w:ascii="Calibri" w:eastAsia="Calibri" w:hAnsi="Calibri" w:cs="Calibri"/>
          <w:color w:val="auto"/>
          <w:sz w:val="22"/>
          <w:szCs w:val="22"/>
        </w:rPr>
        <w:t xml:space="preserve">” </w:t>
      </w:r>
      <w:r w:rsidRPr="00205451">
        <w:t>daarnaast het volgende indienen:</w:t>
      </w:r>
    </w:p>
    <w:p w14:paraId="447187AF" w14:textId="77777777" w:rsidR="00205451" w:rsidRPr="00205451" w:rsidRDefault="00205451" w:rsidP="00B01284">
      <w:pPr>
        <w:numPr>
          <w:ilvl w:val="0"/>
          <w:numId w:val="26"/>
        </w:numPr>
        <w:autoSpaceDN/>
        <w:spacing w:after="160" w:line="240" w:lineRule="auto"/>
        <w:textAlignment w:val="auto"/>
        <w:rPr>
          <w:rFonts w:ascii="Calibri" w:eastAsia="Calibri" w:hAnsi="Calibri" w:cs="Calibri"/>
          <w:color w:val="auto"/>
          <w:sz w:val="22"/>
          <w:szCs w:val="22"/>
        </w:rPr>
      </w:pPr>
      <w:r w:rsidRPr="00205451">
        <w:rPr>
          <w:rFonts w:ascii="Calibri" w:eastAsia="Calibri" w:hAnsi="Calibri" w:cs="Calibri"/>
          <w:color w:val="auto"/>
          <w:sz w:val="22"/>
          <w:szCs w:val="22"/>
        </w:rPr>
        <w:t>Een verklaring waaruit blijkt dat de Inschrijver daadwerkelijk kan beschikken over de middelen van de Derde(n) waarop hij zich beroept. Daarvoor dient de Inschrijver gebruik te maken van het format in:</w:t>
      </w:r>
    </w:p>
    <w:p w14:paraId="526F0F47" w14:textId="7A5FFE3C" w:rsidR="00205451" w:rsidRPr="00205451" w:rsidRDefault="00205451" w:rsidP="00B01284">
      <w:pPr>
        <w:numPr>
          <w:ilvl w:val="1"/>
          <w:numId w:val="26"/>
        </w:numPr>
        <w:autoSpaceDN/>
        <w:spacing w:after="160" w:line="240" w:lineRule="auto"/>
        <w:textAlignment w:val="auto"/>
        <w:rPr>
          <w:rFonts w:ascii="Calibri" w:eastAsia="Calibri" w:hAnsi="Calibri" w:cs="Calibri"/>
          <w:color w:val="auto"/>
          <w:sz w:val="22"/>
          <w:szCs w:val="22"/>
        </w:rPr>
      </w:pPr>
      <w:r w:rsidRPr="00205451">
        <w:rPr>
          <w:rFonts w:ascii="Calibri" w:eastAsia="Calibri" w:hAnsi="Calibri" w:cs="Calibri"/>
          <w:color w:val="auto"/>
          <w:sz w:val="22"/>
          <w:szCs w:val="22"/>
        </w:rPr>
        <w:t xml:space="preserve">Bijlage </w:t>
      </w:r>
      <w:r w:rsidR="00026934" w:rsidRPr="00026934">
        <w:rPr>
          <w:rFonts w:ascii="Calibri" w:eastAsia="Calibri" w:hAnsi="Calibri" w:cs="Calibri"/>
          <w:i/>
          <w:color w:val="auto"/>
          <w:sz w:val="22"/>
          <w:szCs w:val="22"/>
        </w:rPr>
        <w:t>“Derdenverklaring in verband met beroep op de financiële en economische bekwaamheid”</w:t>
      </w:r>
      <w:r w:rsidRPr="00205451">
        <w:rPr>
          <w:rFonts w:ascii="Calibri" w:eastAsia="Calibri" w:hAnsi="Calibri" w:cs="Calibri"/>
          <w:color w:val="auto"/>
          <w:sz w:val="22"/>
          <w:szCs w:val="22"/>
        </w:rPr>
        <w:t>, als hij een beroep doet op de financiële en economische draagkracht van de Derde;</w:t>
      </w:r>
    </w:p>
    <w:p w14:paraId="09A9F44F" w14:textId="3D15E093" w:rsidR="00205451" w:rsidRPr="00205451" w:rsidRDefault="00205451" w:rsidP="00B01284">
      <w:pPr>
        <w:numPr>
          <w:ilvl w:val="1"/>
          <w:numId w:val="26"/>
        </w:numPr>
        <w:autoSpaceDN/>
        <w:spacing w:after="160" w:line="240" w:lineRule="auto"/>
        <w:textAlignment w:val="auto"/>
        <w:rPr>
          <w:rFonts w:ascii="Calibri" w:eastAsia="Calibri" w:hAnsi="Calibri" w:cs="Calibri"/>
          <w:color w:val="auto"/>
          <w:sz w:val="22"/>
          <w:szCs w:val="22"/>
        </w:rPr>
      </w:pPr>
      <w:r w:rsidRPr="00205451">
        <w:rPr>
          <w:rFonts w:ascii="Calibri" w:eastAsia="Calibri" w:hAnsi="Calibri" w:cs="Calibri"/>
          <w:color w:val="auto"/>
          <w:sz w:val="22"/>
          <w:szCs w:val="22"/>
        </w:rPr>
        <w:t xml:space="preserve">Bijlage </w:t>
      </w:r>
      <w:r w:rsidR="00026934" w:rsidRPr="00026934">
        <w:rPr>
          <w:rFonts w:ascii="Calibri" w:eastAsia="Calibri" w:hAnsi="Calibri" w:cs="Calibri"/>
          <w:i/>
          <w:color w:val="auto"/>
          <w:sz w:val="22"/>
          <w:szCs w:val="22"/>
        </w:rPr>
        <w:t>“Derdenverklaring in verband met beroep op de technische en beroepsbekwaamheid”</w:t>
      </w:r>
      <w:r w:rsidRPr="00205451">
        <w:rPr>
          <w:rFonts w:ascii="Calibri" w:eastAsia="Calibri" w:hAnsi="Calibri" w:cs="Calibri"/>
          <w:color w:val="auto"/>
          <w:sz w:val="22"/>
          <w:szCs w:val="22"/>
        </w:rPr>
        <w:t>, als hij een beroep doet op de technische bekwaamheid van de Derde.</w:t>
      </w:r>
    </w:p>
    <w:p w14:paraId="580E222F" w14:textId="2FC5F534" w:rsidR="00205451" w:rsidRPr="00205451" w:rsidRDefault="00205451" w:rsidP="00B01284">
      <w:pPr>
        <w:numPr>
          <w:ilvl w:val="0"/>
          <w:numId w:val="26"/>
        </w:numPr>
        <w:autoSpaceDN/>
        <w:spacing w:after="160" w:line="240" w:lineRule="auto"/>
        <w:textAlignment w:val="auto"/>
        <w:rPr>
          <w:rFonts w:ascii="Calibri" w:eastAsia="Calibri" w:hAnsi="Calibri" w:cs="Calibri"/>
          <w:color w:val="auto"/>
          <w:sz w:val="22"/>
          <w:szCs w:val="22"/>
        </w:rPr>
      </w:pPr>
      <w:r w:rsidRPr="00205451">
        <w:rPr>
          <w:rFonts w:ascii="Calibri" w:eastAsia="Calibri" w:hAnsi="Calibri" w:cs="Calibri"/>
          <w:color w:val="auto"/>
          <w:sz w:val="22"/>
          <w:szCs w:val="22"/>
        </w:rPr>
        <w:t>Een uittreksel uit het handelsregister van de Kamer van Koophandel van de onderneming van de Derde. Daaruit moet de tekeningsbevoegdheid blijken van degene die de Eigen Verklaring van de Derde heeft ondertekend.</w:t>
      </w:r>
    </w:p>
    <w:p w14:paraId="31425AB6" w14:textId="62E2645F" w:rsidR="00205451" w:rsidRPr="00205451" w:rsidRDefault="00205451" w:rsidP="00B01284">
      <w:pPr>
        <w:numPr>
          <w:ilvl w:val="0"/>
          <w:numId w:val="26"/>
        </w:numPr>
        <w:autoSpaceDN/>
        <w:spacing w:after="160" w:line="240" w:lineRule="auto"/>
        <w:textAlignment w:val="auto"/>
        <w:rPr>
          <w:rFonts w:ascii="Calibri" w:eastAsia="Calibri" w:hAnsi="Calibri" w:cs="Calibri"/>
          <w:color w:val="auto"/>
          <w:sz w:val="22"/>
          <w:szCs w:val="22"/>
        </w:rPr>
      </w:pPr>
      <w:r w:rsidRPr="00205451">
        <w:rPr>
          <w:rFonts w:ascii="Calibri" w:eastAsia="Calibri" w:hAnsi="Calibri" w:cs="Calibri"/>
          <w:color w:val="auto"/>
          <w:sz w:val="22"/>
          <w:szCs w:val="22"/>
        </w:rPr>
        <w:t xml:space="preserve">Alle bewijsstukken waarmee de Derde aantoont dat de Uitsluitingsgronden niet op hem van toepassing zijn (zie in dit kader de opsomming van bewijsstukken in paragraaf </w:t>
      </w:r>
      <w:r w:rsidR="00026934">
        <w:rPr>
          <w:rFonts w:ascii="Calibri" w:eastAsia="Calibri" w:hAnsi="Calibri" w:cs="Calibri"/>
          <w:color w:val="auto"/>
          <w:sz w:val="22"/>
          <w:szCs w:val="22"/>
        </w:rPr>
        <w:t>“</w:t>
      </w:r>
      <w:r w:rsidR="00026934" w:rsidRPr="00026934">
        <w:rPr>
          <w:rFonts w:ascii="Calibri" w:eastAsia="Calibri" w:hAnsi="Calibri" w:cs="Calibri"/>
          <w:i/>
          <w:color w:val="auto"/>
          <w:sz w:val="22"/>
          <w:szCs w:val="22"/>
        </w:rPr>
        <w:t>Uitsluitingsgronden</w:t>
      </w:r>
      <w:r w:rsidR="00026934">
        <w:rPr>
          <w:rFonts w:ascii="Calibri" w:eastAsia="Calibri" w:hAnsi="Calibri" w:cs="Calibri"/>
          <w:color w:val="auto"/>
          <w:sz w:val="22"/>
          <w:szCs w:val="22"/>
        </w:rPr>
        <w:t>”</w:t>
      </w:r>
      <w:r w:rsidRPr="00205451">
        <w:rPr>
          <w:rFonts w:ascii="Calibri" w:eastAsia="Calibri" w:hAnsi="Calibri" w:cs="Calibri"/>
          <w:color w:val="auto"/>
          <w:sz w:val="22"/>
          <w:szCs w:val="22"/>
        </w:rPr>
        <w:t xml:space="preserve">). </w:t>
      </w:r>
    </w:p>
    <w:p w14:paraId="599ED8B3" w14:textId="4E085563" w:rsidR="00205451" w:rsidRPr="00205451" w:rsidRDefault="00205451" w:rsidP="00B01284">
      <w:pPr>
        <w:numPr>
          <w:ilvl w:val="0"/>
          <w:numId w:val="26"/>
        </w:numPr>
        <w:autoSpaceDN/>
        <w:spacing w:line="240" w:lineRule="auto"/>
        <w:textAlignment w:val="auto"/>
        <w:rPr>
          <w:rFonts w:ascii="Calibri" w:eastAsia="Calibri" w:hAnsi="Calibri" w:cs="Calibri"/>
          <w:color w:val="auto"/>
          <w:sz w:val="22"/>
          <w:szCs w:val="22"/>
        </w:rPr>
      </w:pPr>
      <w:r w:rsidRPr="00205451">
        <w:rPr>
          <w:rFonts w:ascii="Calibri" w:eastAsia="Calibri" w:hAnsi="Calibri" w:cs="Calibri"/>
          <w:color w:val="auto"/>
          <w:sz w:val="22"/>
          <w:szCs w:val="22"/>
        </w:rPr>
        <w:t xml:space="preserve">Alle bewijsstukken waarmee de Derde aantoont dat hij voldoet aan de Geschiktheidseisen waarvoor de Inschrijver een beroep op hem doet (zie </w:t>
      </w:r>
      <w:r w:rsidRPr="00205451">
        <w:rPr>
          <w:rFonts w:ascii="Calibri" w:eastAsia="Calibri" w:hAnsi="Calibri" w:cs="Calibri"/>
          <w:color w:val="auto"/>
          <w:sz w:val="22"/>
          <w:szCs w:val="22"/>
        </w:rPr>
        <w:lastRenderedPageBreak/>
        <w:t>in dit kader paragraaf</w:t>
      </w:r>
      <w:r w:rsidR="00026934">
        <w:rPr>
          <w:rFonts w:ascii="Calibri" w:eastAsia="Calibri" w:hAnsi="Calibri" w:cs="Calibri"/>
          <w:color w:val="auto"/>
          <w:sz w:val="22"/>
          <w:szCs w:val="22"/>
        </w:rPr>
        <w:t xml:space="preserve"> “</w:t>
      </w:r>
      <w:r w:rsidR="00026934" w:rsidRPr="00026934">
        <w:rPr>
          <w:rFonts w:ascii="Calibri" w:eastAsia="Calibri" w:hAnsi="Calibri" w:cs="Calibri"/>
          <w:i/>
          <w:color w:val="auto"/>
          <w:sz w:val="22"/>
          <w:szCs w:val="22"/>
        </w:rPr>
        <w:t>Geschiktheidseisen</w:t>
      </w:r>
      <w:r w:rsidR="00026934">
        <w:rPr>
          <w:rFonts w:ascii="Calibri" w:eastAsia="Calibri" w:hAnsi="Calibri" w:cs="Calibri"/>
          <w:color w:val="auto"/>
          <w:sz w:val="22"/>
          <w:szCs w:val="22"/>
        </w:rPr>
        <w:t>” en bijbehorende subparagrafen).</w:t>
      </w:r>
    </w:p>
    <w:p w14:paraId="3DEC2A09" w14:textId="77777777" w:rsidR="00205451" w:rsidRPr="00205451" w:rsidRDefault="00205451" w:rsidP="00205451">
      <w:pPr>
        <w:autoSpaceDN/>
        <w:spacing w:line="240" w:lineRule="auto"/>
        <w:ind w:left="720"/>
        <w:textAlignment w:val="auto"/>
        <w:rPr>
          <w:rFonts w:ascii="Calibri" w:eastAsia="Calibri" w:hAnsi="Calibri" w:cs="Calibri"/>
          <w:color w:val="auto"/>
          <w:sz w:val="22"/>
          <w:szCs w:val="22"/>
        </w:rPr>
      </w:pPr>
    </w:p>
    <w:p w14:paraId="28158166" w14:textId="77777777" w:rsidR="00205451" w:rsidRPr="00205451" w:rsidRDefault="00205451" w:rsidP="00B01284">
      <w:pPr>
        <w:numPr>
          <w:ilvl w:val="0"/>
          <w:numId w:val="15"/>
        </w:numPr>
        <w:autoSpaceDN/>
        <w:spacing w:line="240" w:lineRule="auto"/>
        <w:textAlignment w:val="auto"/>
        <w:rPr>
          <w:rFonts w:ascii="Calibri" w:eastAsia="Calibri" w:hAnsi="Calibri" w:cs="Calibri"/>
          <w:b/>
          <w:color w:val="auto"/>
          <w:sz w:val="22"/>
          <w:szCs w:val="22"/>
        </w:rPr>
      </w:pPr>
      <w:r w:rsidRPr="00205451">
        <w:rPr>
          <w:rFonts w:ascii="Calibri" w:eastAsia="Calibri" w:hAnsi="Calibri" w:cs="Calibri"/>
          <w:b/>
          <w:color w:val="auto"/>
          <w:sz w:val="22"/>
          <w:szCs w:val="22"/>
        </w:rPr>
        <w:t>Vergoeding van kosten</w:t>
      </w:r>
    </w:p>
    <w:p w14:paraId="5C11EFA2" w14:textId="4A740A3E" w:rsidR="00205451" w:rsidRPr="00205451" w:rsidRDefault="00205451" w:rsidP="00205451">
      <w:pPr>
        <w:autoSpaceDN/>
        <w:spacing w:line="240" w:lineRule="auto"/>
        <w:ind w:left="720"/>
        <w:textAlignment w:val="auto"/>
        <w:rPr>
          <w:rFonts w:ascii="Calibri" w:eastAsia="Calibri" w:hAnsi="Calibri" w:cs="Calibri"/>
          <w:color w:val="auto"/>
          <w:sz w:val="22"/>
          <w:szCs w:val="22"/>
        </w:rPr>
      </w:pPr>
      <w:r w:rsidRPr="00205451">
        <w:rPr>
          <w:rFonts w:ascii="Calibri" w:eastAsia="Calibri" w:hAnsi="Calibri" w:cs="Calibri"/>
          <w:color w:val="auto"/>
          <w:sz w:val="22"/>
          <w:szCs w:val="22"/>
        </w:rPr>
        <w:t>Voor het opstelle</w:t>
      </w:r>
      <w:r w:rsidR="00652484">
        <w:rPr>
          <w:rFonts w:ascii="Calibri" w:eastAsia="Calibri" w:hAnsi="Calibri" w:cs="Calibri"/>
          <w:color w:val="auto"/>
          <w:sz w:val="22"/>
          <w:szCs w:val="22"/>
        </w:rPr>
        <w:t>n en indienen van de Inschrijving</w:t>
      </w:r>
      <w:r w:rsidRPr="00205451">
        <w:rPr>
          <w:rFonts w:ascii="Calibri" w:eastAsia="Calibri" w:hAnsi="Calibri" w:cs="Calibri"/>
          <w:color w:val="auto"/>
          <w:sz w:val="22"/>
          <w:szCs w:val="22"/>
        </w:rPr>
        <w:t xml:space="preserve"> vergoedt de </w:t>
      </w:r>
      <w:r>
        <w:rPr>
          <w:rFonts w:ascii="Calibri" w:eastAsia="Calibri" w:hAnsi="Calibri" w:cs="Calibri"/>
          <w:color w:val="auto"/>
          <w:sz w:val="22"/>
          <w:szCs w:val="22"/>
        </w:rPr>
        <w:t>Tweede Kamer</w:t>
      </w:r>
      <w:r w:rsidRPr="00205451">
        <w:rPr>
          <w:rFonts w:ascii="Calibri" w:eastAsia="Calibri" w:hAnsi="Calibri" w:cs="Calibri"/>
          <w:color w:val="auto"/>
          <w:sz w:val="22"/>
          <w:szCs w:val="22"/>
        </w:rPr>
        <w:t xml:space="preserve"> geen kosten aan de Inschrijver, behoudens in de gevallen als genoemd in deze paragraaf onder </w:t>
      </w:r>
      <w:r w:rsidR="00026934">
        <w:rPr>
          <w:rFonts w:ascii="Calibri" w:eastAsia="Calibri" w:hAnsi="Calibri" w:cs="Calibri"/>
          <w:color w:val="auto"/>
          <w:sz w:val="22"/>
          <w:szCs w:val="22"/>
        </w:rPr>
        <w:t>“</w:t>
      </w:r>
      <w:r w:rsidR="00026934" w:rsidRPr="00026934">
        <w:rPr>
          <w:rFonts w:ascii="Calibri" w:eastAsia="Calibri" w:hAnsi="Calibri" w:cs="Calibri"/>
          <w:i/>
          <w:color w:val="auto"/>
          <w:sz w:val="22"/>
          <w:szCs w:val="22"/>
        </w:rPr>
        <w:t>Voorbehouden Tweede Kamer</w:t>
      </w:r>
      <w:r w:rsidR="00026934">
        <w:rPr>
          <w:rFonts w:ascii="Calibri" w:eastAsia="Calibri" w:hAnsi="Calibri" w:cs="Calibri"/>
          <w:color w:val="auto"/>
          <w:sz w:val="22"/>
          <w:szCs w:val="22"/>
        </w:rPr>
        <w:t>”.</w:t>
      </w:r>
      <w:r w:rsidRPr="00205451">
        <w:rPr>
          <w:rFonts w:ascii="Calibri" w:eastAsia="Calibri" w:hAnsi="Calibri" w:cs="Calibri"/>
          <w:color w:val="auto"/>
          <w:sz w:val="22"/>
          <w:szCs w:val="22"/>
        </w:rPr>
        <w:t xml:space="preserve"> </w:t>
      </w:r>
    </w:p>
    <w:p w14:paraId="372301EE" w14:textId="77777777" w:rsidR="00205451" w:rsidRPr="00205451" w:rsidRDefault="00205451" w:rsidP="00205451">
      <w:pPr>
        <w:autoSpaceDN/>
        <w:spacing w:line="240" w:lineRule="auto"/>
        <w:ind w:left="720"/>
        <w:textAlignment w:val="auto"/>
        <w:rPr>
          <w:rFonts w:ascii="Calibri" w:eastAsia="Calibri" w:hAnsi="Calibri" w:cs="Calibri"/>
          <w:color w:val="auto"/>
          <w:sz w:val="22"/>
          <w:szCs w:val="22"/>
        </w:rPr>
      </w:pPr>
    </w:p>
    <w:p w14:paraId="550DC666" w14:textId="0E6C4FC6" w:rsidR="00205451" w:rsidRPr="00205451" w:rsidRDefault="00205451" w:rsidP="00B01284">
      <w:pPr>
        <w:numPr>
          <w:ilvl w:val="0"/>
          <w:numId w:val="15"/>
        </w:numPr>
        <w:autoSpaceDN/>
        <w:spacing w:line="240" w:lineRule="auto"/>
        <w:textAlignment w:val="auto"/>
        <w:rPr>
          <w:rFonts w:ascii="Calibri" w:eastAsia="Calibri" w:hAnsi="Calibri" w:cs="Calibri"/>
          <w:b/>
          <w:color w:val="auto"/>
          <w:sz w:val="22"/>
          <w:szCs w:val="22"/>
        </w:rPr>
      </w:pPr>
      <w:r w:rsidRPr="00205451">
        <w:rPr>
          <w:rFonts w:ascii="Calibri" w:eastAsia="Calibri" w:hAnsi="Calibri" w:cs="Calibri"/>
          <w:b/>
          <w:color w:val="auto"/>
          <w:sz w:val="22"/>
          <w:szCs w:val="22"/>
        </w:rPr>
        <w:t xml:space="preserve">Voorbehouden </w:t>
      </w:r>
      <w:r>
        <w:rPr>
          <w:rFonts w:ascii="Calibri" w:eastAsia="Calibri" w:hAnsi="Calibri" w:cs="Calibri"/>
          <w:b/>
          <w:color w:val="auto"/>
          <w:sz w:val="22"/>
          <w:szCs w:val="22"/>
        </w:rPr>
        <w:t>Tweede Kamer</w:t>
      </w:r>
    </w:p>
    <w:p w14:paraId="4E2413A9" w14:textId="77777777" w:rsidR="004B5E3D" w:rsidRDefault="00257E16" w:rsidP="00B01284">
      <w:pPr>
        <w:pStyle w:val="Lijstalinea"/>
        <w:numPr>
          <w:ilvl w:val="0"/>
          <w:numId w:val="30"/>
        </w:numPr>
      </w:pPr>
      <w:r>
        <w:t xml:space="preserve">De Tweede Kamer behoudt zich het recht voor om de Aanbestedingsprocedure tijdelijk of definitief te stoppen, dan wel de Overeenkomst niet te gunnen. Inschrijvers kunnen in dat geval geen aanspraak maken op </w:t>
      </w:r>
      <w:r w:rsidR="004B5E3D">
        <w:t>v</w:t>
      </w:r>
      <w:r>
        <w:t>ergoeding</w:t>
      </w:r>
      <w:r w:rsidR="004B5E3D">
        <w:t xml:space="preserve"> van schade die (in)direct gevolg is van dat besluit</w:t>
      </w:r>
      <w:r>
        <w:t xml:space="preserve">. </w:t>
      </w:r>
    </w:p>
    <w:p w14:paraId="0984868A" w14:textId="77777777" w:rsidR="004B5E3D" w:rsidRDefault="004B5E3D" w:rsidP="004B5E3D">
      <w:pPr>
        <w:pStyle w:val="Lijstalinea"/>
        <w:ind w:left="1080"/>
      </w:pPr>
    </w:p>
    <w:p w14:paraId="5DA91C67" w14:textId="6722DE4C" w:rsidR="00257E16" w:rsidRPr="000548D3" w:rsidRDefault="00B64B52" w:rsidP="004B5E3D">
      <w:pPr>
        <w:pStyle w:val="Lijstalinea"/>
        <w:ind w:left="1080"/>
      </w:pPr>
      <w:r>
        <w:t>In beginsel</w:t>
      </w:r>
      <w:r w:rsidR="00257E16">
        <w:t xml:space="preserve"> hebben Inschrijvers in </w:t>
      </w:r>
      <w:r w:rsidR="004B5E3D">
        <w:t xml:space="preserve">voornoemde </w:t>
      </w:r>
      <w:r w:rsidR="00257E16">
        <w:t>geval</w:t>
      </w:r>
      <w:r w:rsidR="004B5E3D">
        <w:t>len</w:t>
      </w:r>
      <w:r w:rsidR="00257E16">
        <w:t xml:space="preserve"> evenmin </w:t>
      </w:r>
      <w:r w:rsidR="004B5E3D">
        <w:t xml:space="preserve">recht </w:t>
      </w:r>
      <w:r w:rsidR="00257E16">
        <w:t>op vergoeding van kosten die gemaakt zijn in het kader van (de inschrijving op) de Aanbestedingsprocedure. De Tweede Kamer</w:t>
      </w:r>
      <w:r w:rsidR="00257E16" w:rsidRPr="00536735">
        <w:t xml:space="preserve"> </w:t>
      </w:r>
      <w:r w:rsidR="00257E16">
        <w:t>heeft</w:t>
      </w:r>
      <w:r w:rsidR="00257E16" w:rsidRPr="00536735">
        <w:t xml:space="preserve"> de Aanbestedingsprocedure </w:t>
      </w:r>
      <w:r w:rsidR="00257E16">
        <w:t xml:space="preserve">immers </w:t>
      </w:r>
      <w:r w:rsidR="00257E16" w:rsidRPr="00536735">
        <w:t xml:space="preserve">met de grootst mogelijke zorgvuldigheid opgezet en </w:t>
      </w:r>
      <w:r w:rsidR="00257E16">
        <w:t xml:space="preserve">vraagt van de Inschrijvers niet om een meer dan normale inspanning. </w:t>
      </w:r>
    </w:p>
    <w:p w14:paraId="3BB381FF" w14:textId="77777777" w:rsidR="00257E16" w:rsidRDefault="00257E16" w:rsidP="00257E16">
      <w:pPr>
        <w:pStyle w:val="Lijstalinea"/>
      </w:pPr>
    </w:p>
    <w:p w14:paraId="708EE0A9" w14:textId="5BB1DB12" w:rsidR="00257E16" w:rsidRDefault="00B64B52" w:rsidP="00257E16">
      <w:pPr>
        <w:pStyle w:val="Lijstalinea"/>
        <w:ind w:left="1080"/>
      </w:pPr>
      <w:r>
        <w:t xml:space="preserve">Uitsluitend indien de </w:t>
      </w:r>
      <w:r w:rsidR="00257E16">
        <w:t>Tweede Kamer de Aanbestedingsprocedure definitief stopzet na de sluitingstermijn voor het indienen van de Inschrijvingen</w:t>
      </w:r>
      <w:r w:rsidR="00257E16" w:rsidRPr="001F454A">
        <w:t xml:space="preserve"> </w:t>
      </w:r>
      <w:r w:rsidR="00CC083B">
        <w:t xml:space="preserve">wegens omstandigheden </w:t>
      </w:r>
      <w:r w:rsidR="00257E16">
        <w:t xml:space="preserve">die </w:t>
      </w:r>
      <w:r w:rsidR="00CC083B">
        <w:t>volledig liggen in de risicosfeer van</w:t>
      </w:r>
      <w:r w:rsidR="00257E16">
        <w:t xml:space="preserve"> de Tweede Kamer</w:t>
      </w:r>
      <w:r>
        <w:t xml:space="preserve">, kan de Tweede Kamer </w:t>
      </w:r>
      <w:r w:rsidR="00D83C80">
        <w:t xml:space="preserve">besluiten </w:t>
      </w:r>
      <w:r>
        <w:t>tot het vergoeden van tenderkosten</w:t>
      </w:r>
      <w:r w:rsidR="00257E16">
        <w:t xml:space="preserve">. </w:t>
      </w:r>
      <w:r w:rsidR="00D83C80">
        <w:t xml:space="preserve">Alleen Inschrijvers die een geldige Inschrijving hebben ingediend, komen eventueel in aanmerking voor de tenderkostenvergoeding. </w:t>
      </w:r>
    </w:p>
    <w:p w14:paraId="344DA91C" w14:textId="77777777" w:rsidR="00257E16" w:rsidRDefault="00257E16" w:rsidP="00257E16">
      <w:pPr>
        <w:pStyle w:val="Lijstalinea"/>
        <w:ind w:left="1080"/>
      </w:pPr>
    </w:p>
    <w:p w14:paraId="3F8B7F2C" w14:textId="03461616" w:rsidR="00205451" w:rsidRPr="00257E16" w:rsidRDefault="00205451" w:rsidP="00B01284">
      <w:pPr>
        <w:pStyle w:val="Lijstalinea"/>
        <w:numPr>
          <w:ilvl w:val="0"/>
          <w:numId w:val="30"/>
        </w:numPr>
        <w:rPr>
          <w:b/>
        </w:rPr>
      </w:pPr>
      <w:r w:rsidRPr="00257E16">
        <w:t xml:space="preserve">De </w:t>
      </w:r>
      <w:r w:rsidR="00933D6D" w:rsidRPr="00257E16">
        <w:t>Tweede Kamer</w:t>
      </w:r>
      <w:r w:rsidRPr="00257E16">
        <w:t xml:space="preserve"> behoudt zich het recht voor om de gegevens en verklaringen die de Inschrijver verstrekt aan een nader onderzoek te onderwerpen en op juistheid te controleren.</w:t>
      </w:r>
    </w:p>
    <w:p w14:paraId="659A9C77" w14:textId="77777777" w:rsidR="00205451" w:rsidRPr="00205451" w:rsidRDefault="00205451" w:rsidP="00205451">
      <w:pPr>
        <w:autoSpaceDN/>
        <w:spacing w:line="240" w:lineRule="auto"/>
        <w:ind w:left="720"/>
        <w:textAlignment w:val="auto"/>
        <w:rPr>
          <w:rFonts w:ascii="Calibri" w:eastAsia="Calibri" w:hAnsi="Calibri" w:cs="Calibri"/>
          <w:color w:val="auto"/>
          <w:sz w:val="22"/>
          <w:szCs w:val="22"/>
        </w:rPr>
      </w:pPr>
    </w:p>
    <w:p w14:paraId="77716721" w14:textId="77777777" w:rsidR="00205451" w:rsidRPr="00205451" w:rsidRDefault="00205451" w:rsidP="00B01284">
      <w:pPr>
        <w:numPr>
          <w:ilvl w:val="0"/>
          <w:numId w:val="15"/>
        </w:numPr>
        <w:autoSpaceDN/>
        <w:spacing w:line="240" w:lineRule="auto"/>
        <w:textAlignment w:val="auto"/>
        <w:rPr>
          <w:rFonts w:ascii="Calibri" w:eastAsia="Calibri" w:hAnsi="Calibri" w:cs="Calibri"/>
          <w:b/>
          <w:color w:val="auto"/>
          <w:sz w:val="22"/>
          <w:szCs w:val="22"/>
        </w:rPr>
      </w:pPr>
      <w:r w:rsidRPr="00205451">
        <w:rPr>
          <w:rFonts w:ascii="Calibri" w:eastAsia="Calibri" w:hAnsi="Calibri" w:cs="Calibri"/>
          <w:b/>
          <w:color w:val="auto"/>
          <w:sz w:val="22"/>
          <w:szCs w:val="22"/>
        </w:rPr>
        <w:t>Geheimhouding en vertrouwelijkheid</w:t>
      </w:r>
    </w:p>
    <w:p w14:paraId="548E5E63" w14:textId="62597BA1" w:rsidR="00205451" w:rsidRPr="00205451" w:rsidRDefault="00205451" w:rsidP="00205451">
      <w:pPr>
        <w:autoSpaceDN/>
        <w:spacing w:line="240" w:lineRule="auto"/>
        <w:ind w:left="720"/>
        <w:textAlignment w:val="auto"/>
        <w:rPr>
          <w:rFonts w:ascii="Calibri" w:eastAsia="Calibri" w:hAnsi="Calibri" w:cs="Calibri"/>
          <w:color w:val="auto"/>
          <w:sz w:val="22"/>
          <w:szCs w:val="22"/>
        </w:rPr>
      </w:pPr>
      <w:r w:rsidRPr="00DD73F2">
        <w:rPr>
          <w:rFonts w:ascii="Calibri" w:eastAsia="Calibri" w:hAnsi="Calibri" w:cs="Calibri"/>
          <w:color w:val="auto"/>
          <w:sz w:val="22"/>
          <w:szCs w:val="22"/>
          <w:u w:val="single"/>
        </w:rPr>
        <w:t>De Inschrijver</w:t>
      </w:r>
      <w:r w:rsidRPr="00205451">
        <w:rPr>
          <w:rFonts w:ascii="Calibri" w:eastAsia="Calibri" w:hAnsi="Calibri" w:cs="Calibri"/>
          <w:color w:val="auto"/>
          <w:sz w:val="22"/>
          <w:szCs w:val="22"/>
        </w:rPr>
        <w:t xml:space="preserve"> neemt strikte vertrouwelijkheid in acht ter zake van alle informatie die hem bekend is of wordt van de </w:t>
      </w:r>
      <w:r w:rsidR="00933D6D">
        <w:rPr>
          <w:rFonts w:ascii="Calibri" w:eastAsia="Calibri" w:hAnsi="Calibri" w:cs="Calibri"/>
          <w:color w:val="auto"/>
          <w:sz w:val="22"/>
          <w:szCs w:val="22"/>
        </w:rPr>
        <w:t>Tweede Kamer</w:t>
      </w:r>
      <w:r w:rsidR="00D83C80">
        <w:rPr>
          <w:rFonts w:ascii="Calibri" w:eastAsia="Calibri" w:hAnsi="Calibri" w:cs="Calibri"/>
          <w:color w:val="auto"/>
          <w:sz w:val="22"/>
          <w:szCs w:val="22"/>
        </w:rPr>
        <w:t>, de Aanbestedingsprocedure en/of de opdracht</w:t>
      </w:r>
      <w:r w:rsidRPr="00205451">
        <w:rPr>
          <w:rFonts w:ascii="Calibri" w:eastAsia="Calibri" w:hAnsi="Calibri" w:cs="Calibri"/>
          <w:color w:val="auto"/>
          <w:sz w:val="22"/>
          <w:szCs w:val="22"/>
        </w:rPr>
        <w:t xml:space="preserve">. De Inschrijver gebruikt alle gegevens die de </w:t>
      </w:r>
      <w:r w:rsidR="00933D6D">
        <w:rPr>
          <w:rFonts w:ascii="Calibri" w:eastAsia="Calibri" w:hAnsi="Calibri" w:cs="Calibri"/>
          <w:color w:val="auto"/>
          <w:sz w:val="22"/>
          <w:szCs w:val="22"/>
        </w:rPr>
        <w:t xml:space="preserve">Tweede Kamer </w:t>
      </w:r>
      <w:r w:rsidRPr="00205451">
        <w:rPr>
          <w:rFonts w:ascii="Calibri" w:eastAsia="Calibri" w:hAnsi="Calibri" w:cs="Calibri"/>
          <w:color w:val="auto"/>
          <w:sz w:val="22"/>
          <w:szCs w:val="22"/>
        </w:rPr>
        <w:t xml:space="preserve">in verband met de Aanbestedingsprocedure verstrekt, uitsluitend voor het doel waarvoor de informatie is verstrekt, en stelt de gegevens niet ter beschikking aan derden, tenzij dat nodig is voor het indienen van een Inschrijving dan wel – indien van toepassing – het uitvoeren van de Overeenkomst. </w:t>
      </w:r>
    </w:p>
    <w:p w14:paraId="74C7F07A" w14:textId="77777777" w:rsidR="00205451" w:rsidRPr="00205451" w:rsidRDefault="00205451" w:rsidP="00205451">
      <w:pPr>
        <w:autoSpaceDN/>
        <w:spacing w:line="240" w:lineRule="auto"/>
        <w:ind w:left="720"/>
        <w:textAlignment w:val="auto"/>
        <w:rPr>
          <w:rFonts w:ascii="Calibri" w:eastAsia="Calibri" w:hAnsi="Calibri" w:cs="Calibri"/>
          <w:color w:val="auto"/>
          <w:sz w:val="22"/>
          <w:szCs w:val="22"/>
        </w:rPr>
      </w:pPr>
    </w:p>
    <w:p w14:paraId="35616378" w14:textId="63964060" w:rsidR="00205451" w:rsidRPr="00205451" w:rsidRDefault="00205451" w:rsidP="00205451">
      <w:pPr>
        <w:autoSpaceDN/>
        <w:spacing w:line="240" w:lineRule="auto"/>
        <w:ind w:left="720"/>
        <w:textAlignment w:val="auto"/>
        <w:rPr>
          <w:rFonts w:ascii="Calibri" w:eastAsia="Calibri" w:hAnsi="Calibri" w:cs="Calibri"/>
          <w:color w:val="auto"/>
          <w:sz w:val="22"/>
          <w:szCs w:val="22"/>
        </w:rPr>
      </w:pPr>
      <w:r w:rsidRPr="00DD73F2">
        <w:rPr>
          <w:rFonts w:ascii="Calibri" w:eastAsia="Calibri" w:hAnsi="Calibri" w:cs="Calibri"/>
          <w:color w:val="auto"/>
          <w:sz w:val="22"/>
          <w:szCs w:val="22"/>
          <w:u w:val="single"/>
        </w:rPr>
        <w:t xml:space="preserve">De </w:t>
      </w:r>
      <w:r w:rsidR="00933D6D" w:rsidRPr="00DD73F2">
        <w:rPr>
          <w:rFonts w:ascii="Calibri" w:eastAsia="Calibri" w:hAnsi="Calibri" w:cs="Calibri"/>
          <w:color w:val="auto"/>
          <w:sz w:val="22"/>
          <w:szCs w:val="22"/>
          <w:u w:val="single"/>
        </w:rPr>
        <w:t>Tweede Kamer</w:t>
      </w:r>
      <w:r w:rsidRPr="00205451">
        <w:rPr>
          <w:rFonts w:ascii="Calibri" w:eastAsia="Calibri" w:hAnsi="Calibri" w:cs="Calibri"/>
          <w:color w:val="auto"/>
          <w:sz w:val="22"/>
          <w:szCs w:val="22"/>
        </w:rPr>
        <w:t xml:space="preserve"> erkent de vertrouwelijkheid van de Inschrijving van de Inschrijver en zal de informatie in de Inschrijving dan ook vertrouwelijk behandelen. Daarop gelden de volgende uitzonderingen:</w:t>
      </w:r>
    </w:p>
    <w:p w14:paraId="7431C2D7" w14:textId="2FBE0D06" w:rsidR="00205451" w:rsidRPr="00205451" w:rsidRDefault="00205451" w:rsidP="00B01284">
      <w:pPr>
        <w:numPr>
          <w:ilvl w:val="0"/>
          <w:numId w:val="26"/>
        </w:numPr>
        <w:autoSpaceDN/>
        <w:spacing w:line="240" w:lineRule="auto"/>
        <w:textAlignment w:val="auto"/>
        <w:rPr>
          <w:rFonts w:ascii="Calibri" w:eastAsia="Calibri" w:hAnsi="Calibri" w:cs="Calibri"/>
          <w:color w:val="auto"/>
          <w:sz w:val="22"/>
          <w:szCs w:val="22"/>
        </w:rPr>
      </w:pPr>
      <w:r w:rsidRPr="00205451">
        <w:rPr>
          <w:rFonts w:ascii="Calibri" w:eastAsia="Calibri" w:hAnsi="Calibri" w:cs="Calibri"/>
          <w:color w:val="auto"/>
          <w:sz w:val="22"/>
          <w:szCs w:val="22"/>
        </w:rPr>
        <w:lastRenderedPageBreak/>
        <w:t xml:space="preserve">De </w:t>
      </w:r>
      <w:r w:rsidR="006E5ED7">
        <w:rPr>
          <w:rFonts w:ascii="Calibri" w:eastAsia="Calibri" w:hAnsi="Calibri" w:cs="Calibri"/>
          <w:color w:val="auto"/>
          <w:sz w:val="22"/>
          <w:szCs w:val="22"/>
        </w:rPr>
        <w:t>Tweede Kamer</w:t>
      </w:r>
      <w:r w:rsidRPr="00205451">
        <w:rPr>
          <w:rFonts w:ascii="Calibri" w:eastAsia="Calibri" w:hAnsi="Calibri" w:cs="Calibri"/>
          <w:color w:val="auto"/>
          <w:sz w:val="22"/>
          <w:szCs w:val="22"/>
        </w:rPr>
        <w:t xml:space="preserve"> stelt het handelen conform wet- en regelgeving boven het handhaven van de vertrouwelijkheid van de Inschrijving;</w:t>
      </w:r>
    </w:p>
    <w:p w14:paraId="340CA08D" w14:textId="4241B20E" w:rsidR="00205451" w:rsidRPr="00205451" w:rsidRDefault="00205451" w:rsidP="00B01284">
      <w:pPr>
        <w:numPr>
          <w:ilvl w:val="0"/>
          <w:numId w:val="26"/>
        </w:numPr>
        <w:autoSpaceDN/>
        <w:spacing w:line="240" w:lineRule="auto"/>
        <w:textAlignment w:val="auto"/>
        <w:rPr>
          <w:rFonts w:ascii="Calibri" w:eastAsia="Calibri" w:hAnsi="Calibri" w:cs="Calibri"/>
          <w:color w:val="auto"/>
          <w:sz w:val="22"/>
          <w:szCs w:val="22"/>
        </w:rPr>
      </w:pPr>
      <w:r w:rsidRPr="00205451">
        <w:rPr>
          <w:rFonts w:ascii="Calibri" w:eastAsia="Calibri" w:hAnsi="Calibri" w:cs="Calibri"/>
          <w:color w:val="auto"/>
          <w:sz w:val="22"/>
          <w:szCs w:val="22"/>
        </w:rPr>
        <w:t xml:space="preserve">De </w:t>
      </w:r>
      <w:r w:rsidR="006E5ED7">
        <w:rPr>
          <w:rFonts w:ascii="Calibri" w:eastAsia="Calibri" w:hAnsi="Calibri" w:cs="Calibri"/>
          <w:color w:val="auto"/>
          <w:sz w:val="22"/>
          <w:szCs w:val="22"/>
        </w:rPr>
        <w:t>Tweede Kamer</w:t>
      </w:r>
      <w:r w:rsidRPr="00205451">
        <w:rPr>
          <w:rFonts w:ascii="Calibri" w:eastAsia="Calibri" w:hAnsi="Calibri" w:cs="Calibri"/>
          <w:color w:val="auto"/>
          <w:sz w:val="22"/>
          <w:szCs w:val="22"/>
        </w:rPr>
        <w:t xml:space="preserve"> is gerechtigd om informatie die hij van de Inschrijvers heeft ontvangen in een gerechtelijke procedure te gebruiken, teneinde zich in rechte te kunnen verweren;</w:t>
      </w:r>
    </w:p>
    <w:p w14:paraId="6378112B" w14:textId="0A20B797" w:rsidR="00205451" w:rsidRPr="00205451" w:rsidRDefault="00205451" w:rsidP="00B01284">
      <w:pPr>
        <w:numPr>
          <w:ilvl w:val="0"/>
          <w:numId w:val="26"/>
        </w:numPr>
        <w:autoSpaceDN/>
        <w:spacing w:line="240" w:lineRule="auto"/>
        <w:textAlignment w:val="auto"/>
        <w:rPr>
          <w:rFonts w:ascii="Calibri" w:eastAsia="Calibri" w:hAnsi="Calibri" w:cs="Calibri"/>
          <w:color w:val="auto"/>
          <w:sz w:val="22"/>
          <w:szCs w:val="22"/>
        </w:rPr>
      </w:pPr>
      <w:r w:rsidRPr="00205451">
        <w:rPr>
          <w:rFonts w:ascii="Calibri" w:eastAsia="Calibri" w:hAnsi="Calibri" w:cs="Calibri"/>
          <w:color w:val="auto"/>
          <w:sz w:val="22"/>
          <w:szCs w:val="22"/>
        </w:rPr>
        <w:t xml:space="preserve">De </w:t>
      </w:r>
      <w:r w:rsidR="006E5ED7">
        <w:rPr>
          <w:rFonts w:ascii="Calibri" w:eastAsia="Calibri" w:hAnsi="Calibri" w:cs="Calibri"/>
          <w:color w:val="auto"/>
          <w:sz w:val="22"/>
          <w:szCs w:val="22"/>
        </w:rPr>
        <w:t>Tweede Kamer</w:t>
      </w:r>
      <w:r w:rsidRPr="00205451">
        <w:rPr>
          <w:rFonts w:ascii="Calibri" w:eastAsia="Calibri" w:hAnsi="Calibri" w:cs="Calibri"/>
          <w:color w:val="auto"/>
          <w:sz w:val="22"/>
          <w:szCs w:val="22"/>
        </w:rPr>
        <w:t xml:space="preserve"> maakt informatie uit de Inschrijving bekend, indien en voor zover dat wettelijk geoorloofd is en noodzakelijk is voor het motiveren van de gunningsbeslissing. </w:t>
      </w:r>
    </w:p>
    <w:p w14:paraId="1037978F" w14:textId="77777777" w:rsidR="00205451" w:rsidRPr="00205451" w:rsidRDefault="00205451" w:rsidP="00205451"/>
    <w:p w14:paraId="3FBE02DE" w14:textId="77777777" w:rsidR="00205451" w:rsidRPr="00205451" w:rsidRDefault="00205451" w:rsidP="00B01284">
      <w:pPr>
        <w:numPr>
          <w:ilvl w:val="0"/>
          <w:numId w:val="15"/>
        </w:numPr>
        <w:autoSpaceDN/>
        <w:spacing w:line="240" w:lineRule="auto"/>
        <w:textAlignment w:val="auto"/>
        <w:rPr>
          <w:rFonts w:ascii="Calibri" w:eastAsia="Calibri" w:hAnsi="Calibri" w:cs="Calibri"/>
          <w:b/>
          <w:color w:val="auto"/>
          <w:sz w:val="22"/>
          <w:szCs w:val="22"/>
        </w:rPr>
      </w:pPr>
      <w:r w:rsidRPr="00205451">
        <w:rPr>
          <w:rFonts w:ascii="Calibri" w:eastAsia="Calibri" w:hAnsi="Calibri" w:cs="Calibri"/>
          <w:b/>
          <w:color w:val="auto"/>
          <w:sz w:val="22"/>
          <w:szCs w:val="22"/>
        </w:rPr>
        <w:t>Gestanddoeningstermijn</w:t>
      </w:r>
    </w:p>
    <w:p w14:paraId="7780E825" w14:textId="77777777" w:rsidR="00205451" w:rsidRPr="00205451" w:rsidRDefault="00205451" w:rsidP="00205451">
      <w:pPr>
        <w:autoSpaceDN/>
        <w:spacing w:line="240" w:lineRule="auto"/>
        <w:ind w:left="720"/>
        <w:textAlignment w:val="auto"/>
        <w:rPr>
          <w:rFonts w:ascii="Calibri" w:eastAsia="Calibri" w:hAnsi="Calibri" w:cs="Calibri"/>
          <w:color w:val="auto"/>
          <w:sz w:val="22"/>
          <w:szCs w:val="22"/>
        </w:rPr>
      </w:pPr>
      <w:r w:rsidRPr="00205451">
        <w:rPr>
          <w:rFonts w:ascii="Calibri" w:eastAsia="Calibri" w:hAnsi="Calibri" w:cs="Calibri"/>
          <w:color w:val="auto"/>
          <w:sz w:val="22"/>
          <w:szCs w:val="22"/>
        </w:rPr>
        <w:t xml:space="preserve">De Inschrijver die een Inschrijving heeft ingediend, doet zijn Inschrijving drie maanden gestand, gerekend van de sluitingsdatum voor het indienen van de Inschrijvingen. </w:t>
      </w:r>
    </w:p>
    <w:p w14:paraId="2756CA0E" w14:textId="77777777" w:rsidR="00205451" w:rsidRPr="00205451" w:rsidRDefault="00205451" w:rsidP="00205451">
      <w:pPr>
        <w:autoSpaceDN/>
        <w:spacing w:line="240" w:lineRule="auto"/>
        <w:ind w:left="720"/>
        <w:textAlignment w:val="auto"/>
        <w:rPr>
          <w:rFonts w:ascii="Calibri" w:eastAsia="Calibri" w:hAnsi="Calibri" w:cs="Calibri"/>
          <w:color w:val="auto"/>
          <w:sz w:val="22"/>
          <w:szCs w:val="22"/>
        </w:rPr>
      </w:pPr>
    </w:p>
    <w:p w14:paraId="4792433E" w14:textId="44C54586" w:rsidR="00205451" w:rsidRDefault="00205451" w:rsidP="00205451">
      <w:pPr>
        <w:autoSpaceDN/>
        <w:spacing w:line="240" w:lineRule="auto"/>
        <w:ind w:left="720"/>
        <w:textAlignment w:val="auto"/>
        <w:rPr>
          <w:rFonts w:ascii="Calibri" w:eastAsia="Calibri" w:hAnsi="Calibri" w:cs="Calibri"/>
          <w:color w:val="auto"/>
          <w:sz w:val="22"/>
          <w:szCs w:val="22"/>
        </w:rPr>
      </w:pPr>
      <w:r w:rsidRPr="00205451">
        <w:rPr>
          <w:rFonts w:ascii="Calibri" w:eastAsia="Calibri" w:hAnsi="Calibri" w:cs="Calibri"/>
          <w:color w:val="auto"/>
          <w:sz w:val="22"/>
          <w:szCs w:val="22"/>
        </w:rPr>
        <w:t xml:space="preserve">Indien tegen de gunningsbeslissing een kortgeding aanhangig wordt gemaakt, wordt de gestanddoeningstermijn – indien nodig – automatisch verlengd met een termijn van 30 kalenderdagen te rekenen vanaf de dag van de uitspraak van de rechter. </w:t>
      </w:r>
    </w:p>
    <w:p w14:paraId="5F0905F6" w14:textId="77777777" w:rsidR="006E5ED7" w:rsidRPr="00205451" w:rsidRDefault="006E5ED7" w:rsidP="00205451">
      <w:pPr>
        <w:autoSpaceDN/>
        <w:spacing w:line="240" w:lineRule="auto"/>
        <w:ind w:left="720"/>
        <w:textAlignment w:val="auto"/>
        <w:rPr>
          <w:rFonts w:ascii="Calibri" w:eastAsia="Calibri" w:hAnsi="Calibri" w:cs="Calibri"/>
          <w:color w:val="auto"/>
          <w:sz w:val="22"/>
          <w:szCs w:val="22"/>
        </w:rPr>
      </w:pPr>
    </w:p>
    <w:p w14:paraId="512A784A" w14:textId="77777777" w:rsidR="00205451" w:rsidRPr="00205451" w:rsidRDefault="00205451" w:rsidP="00B01284">
      <w:pPr>
        <w:numPr>
          <w:ilvl w:val="0"/>
          <w:numId w:val="15"/>
        </w:numPr>
        <w:autoSpaceDN/>
        <w:spacing w:line="240" w:lineRule="auto"/>
        <w:textAlignment w:val="auto"/>
        <w:rPr>
          <w:rFonts w:ascii="Calibri" w:eastAsia="Calibri" w:hAnsi="Calibri" w:cs="Calibri"/>
          <w:b/>
          <w:color w:val="auto"/>
          <w:sz w:val="22"/>
          <w:szCs w:val="22"/>
        </w:rPr>
      </w:pPr>
      <w:r w:rsidRPr="00205451">
        <w:rPr>
          <w:rFonts w:ascii="Calibri" w:eastAsia="Calibri" w:hAnsi="Calibri" w:cs="Calibri"/>
          <w:b/>
          <w:color w:val="auto"/>
          <w:sz w:val="22"/>
          <w:szCs w:val="22"/>
        </w:rPr>
        <w:t>Algemene voorwaarden</w:t>
      </w:r>
    </w:p>
    <w:p w14:paraId="37CC5008" w14:textId="77777777" w:rsidR="00580E6B" w:rsidRPr="00580E6B" w:rsidRDefault="00205451" w:rsidP="00580E6B">
      <w:pPr>
        <w:autoSpaceDN/>
        <w:spacing w:line="240" w:lineRule="auto"/>
        <w:ind w:left="720"/>
        <w:textAlignment w:val="auto"/>
        <w:rPr>
          <w:rFonts w:ascii="Calibri" w:eastAsia="Calibri" w:hAnsi="Calibri" w:cs="Calibri"/>
          <w:color w:val="auto"/>
          <w:sz w:val="22"/>
          <w:szCs w:val="22"/>
        </w:rPr>
      </w:pPr>
      <w:r w:rsidRPr="00205451">
        <w:rPr>
          <w:rFonts w:ascii="Calibri" w:eastAsia="Calibri" w:hAnsi="Calibri" w:cs="Calibri"/>
          <w:color w:val="auto"/>
          <w:sz w:val="22"/>
          <w:szCs w:val="22"/>
        </w:rPr>
        <w:t>Op de Overeenkomst zijn de</w:t>
      </w:r>
      <w:r w:rsidR="00580E6B">
        <w:rPr>
          <w:rFonts w:ascii="Calibri" w:eastAsia="Calibri" w:hAnsi="Calibri" w:cs="Calibri"/>
          <w:color w:val="auto"/>
          <w:sz w:val="22"/>
          <w:szCs w:val="22"/>
        </w:rPr>
        <w:t xml:space="preserve"> </w:t>
      </w:r>
      <w:r w:rsidRPr="00205451">
        <w:rPr>
          <w:rFonts w:ascii="Calibri" w:eastAsia="Calibri" w:hAnsi="Calibri" w:cs="Calibri"/>
          <w:color w:val="auto"/>
          <w:sz w:val="22"/>
          <w:szCs w:val="22"/>
        </w:rPr>
        <w:t xml:space="preserve"> </w:t>
      </w:r>
      <w:r w:rsidR="00580E6B" w:rsidRPr="00580E6B">
        <w:rPr>
          <w:rFonts w:ascii="Calibri" w:eastAsia="Calibri" w:hAnsi="Calibri" w:cs="Calibri"/>
          <w:color w:val="auto"/>
          <w:sz w:val="22"/>
          <w:szCs w:val="22"/>
        </w:rPr>
        <w:t>ALGEMENE RIJKSVOORWAARDEN</w:t>
      </w:r>
    </w:p>
    <w:p w14:paraId="655595C2" w14:textId="7A2408AD" w:rsidR="00205451" w:rsidRPr="00205451" w:rsidRDefault="00580E6B" w:rsidP="00580E6B">
      <w:pPr>
        <w:autoSpaceDN/>
        <w:spacing w:line="240" w:lineRule="auto"/>
        <w:ind w:left="720"/>
        <w:textAlignment w:val="auto"/>
        <w:rPr>
          <w:rFonts w:ascii="Calibri" w:eastAsia="Calibri" w:hAnsi="Calibri" w:cs="Calibri"/>
          <w:color w:val="auto"/>
          <w:sz w:val="22"/>
          <w:szCs w:val="22"/>
        </w:rPr>
      </w:pPr>
      <w:r w:rsidRPr="00580E6B">
        <w:rPr>
          <w:rFonts w:ascii="Calibri" w:eastAsia="Calibri" w:hAnsi="Calibri" w:cs="Calibri"/>
          <w:color w:val="auto"/>
          <w:sz w:val="22"/>
          <w:szCs w:val="22"/>
        </w:rPr>
        <w:t>BIJ IT OVEREENKOMSTEN 2018</w:t>
      </w:r>
      <w:r>
        <w:rPr>
          <w:rFonts w:ascii="Calibri" w:eastAsia="Calibri" w:hAnsi="Calibri" w:cs="Calibri"/>
          <w:color w:val="auto"/>
          <w:sz w:val="22"/>
          <w:szCs w:val="22"/>
        </w:rPr>
        <w:t xml:space="preserve"> </w:t>
      </w:r>
      <w:r w:rsidRPr="00580E6B">
        <w:rPr>
          <w:rFonts w:ascii="Calibri" w:eastAsia="Calibri" w:hAnsi="Calibri" w:cs="Calibri"/>
          <w:color w:val="auto"/>
          <w:sz w:val="22"/>
          <w:szCs w:val="22"/>
        </w:rPr>
        <w:t>(ARBIT-2018)</w:t>
      </w:r>
      <w:r w:rsidR="00D33F81">
        <w:rPr>
          <w:rFonts w:ascii="Calibri" w:eastAsia="Calibri" w:hAnsi="Calibri" w:cs="Calibri"/>
          <w:color w:val="auto"/>
          <w:sz w:val="22"/>
          <w:szCs w:val="22"/>
        </w:rPr>
        <w:t xml:space="preserve"> </w:t>
      </w:r>
      <w:r w:rsidR="00205451" w:rsidRPr="00205451">
        <w:rPr>
          <w:rFonts w:ascii="Calibri" w:eastAsia="Calibri" w:hAnsi="Calibri" w:cs="Calibri"/>
          <w:color w:val="auto"/>
          <w:sz w:val="22"/>
          <w:szCs w:val="22"/>
        </w:rPr>
        <w:t xml:space="preserve">van toepassing. </w:t>
      </w:r>
      <w:r w:rsidR="00DD73F2">
        <w:rPr>
          <w:rFonts w:ascii="Calibri" w:eastAsia="Calibri" w:hAnsi="Calibri" w:cs="Calibri"/>
          <w:color w:val="auto"/>
          <w:sz w:val="22"/>
          <w:szCs w:val="22"/>
        </w:rPr>
        <w:t xml:space="preserve">Genoemde voorwaarden </w:t>
      </w:r>
      <w:r w:rsidR="00AF14F6">
        <w:rPr>
          <w:rFonts w:ascii="Calibri" w:eastAsia="Calibri" w:hAnsi="Calibri" w:cs="Calibri"/>
          <w:color w:val="auto"/>
          <w:sz w:val="22"/>
          <w:szCs w:val="22"/>
        </w:rPr>
        <w:t>maken</w:t>
      </w:r>
      <w:r w:rsidR="00DD73F2">
        <w:rPr>
          <w:rFonts w:ascii="Calibri" w:eastAsia="Calibri" w:hAnsi="Calibri" w:cs="Calibri"/>
          <w:color w:val="auto"/>
          <w:sz w:val="22"/>
          <w:szCs w:val="22"/>
        </w:rPr>
        <w:t xml:space="preserve"> als Bijlage </w:t>
      </w:r>
      <w:r w:rsidR="00AF14F6">
        <w:rPr>
          <w:rFonts w:ascii="Calibri" w:eastAsia="Calibri" w:hAnsi="Calibri" w:cs="Calibri"/>
          <w:color w:val="auto"/>
          <w:sz w:val="22"/>
          <w:szCs w:val="22"/>
        </w:rPr>
        <w:t xml:space="preserve">deel uit van </w:t>
      </w:r>
      <w:r w:rsidR="00DD73F2">
        <w:rPr>
          <w:rFonts w:ascii="Calibri" w:eastAsia="Calibri" w:hAnsi="Calibri" w:cs="Calibri"/>
          <w:color w:val="auto"/>
          <w:sz w:val="22"/>
          <w:szCs w:val="22"/>
        </w:rPr>
        <w:t>de Aanbestedingsleidraad.</w:t>
      </w:r>
    </w:p>
    <w:p w14:paraId="1F5F1C61" w14:textId="77777777" w:rsidR="00205451" w:rsidRPr="00205451" w:rsidRDefault="00205451" w:rsidP="00205451">
      <w:pPr>
        <w:autoSpaceDN/>
        <w:spacing w:line="240" w:lineRule="auto"/>
        <w:ind w:left="720"/>
        <w:textAlignment w:val="auto"/>
        <w:rPr>
          <w:rFonts w:ascii="Calibri" w:eastAsia="Calibri" w:hAnsi="Calibri" w:cs="Calibri"/>
          <w:color w:val="auto"/>
          <w:sz w:val="22"/>
          <w:szCs w:val="22"/>
        </w:rPr>
      </w:pPr>
    </w:p>
    <w:p w14:paraId="1ED0741B" w14:textId="1D8A7F15" w:rsidR="00205451" w:rsidRPr="00205451" w:rsidRDefault="00205451" w:rsidP="00205451">
      <w:pPr>
        <w:autoSpaceDN/>
        <w:spacing w:line="240" w:lineRule="auto"/>
        <w:ind w:left="720"/>
        <w:textAlignment w:val="auto"/>
        <w:rPr>
          <w:rFonts w:ascii="Calibri" w:eastAsia="Calibri" w:hAnsi="Calibri" w:cs="Calibri"/>
          <w:color w:val="auto"/>
          <w:sz w:val="22"/>
          <w:szCs w:val="22"/>
        </w:rPr>
      </w:pPr>
      <w:r w:rsidRPr="00205451">
        <w:rPr>
          <w:rFonts w:ascii="Calibri" w:eastAsia="Calibri" w:hAnsi="Calibri" w:cs="Calibri"/>
          <w:color w:val="auto"/>
          <w:sz w:val="22"/>
          <w:szCs w:val="22"/>
        </w:rPr>
        <w:t xml:space="preserve">Inschrijvingen die andere (algemene) voorwaarden van toepassing verklaren dan de </w:t>
      </w:r>
      <w:r w:rsidR="00EA5438">
        <w:rPr>
          <w:rFonts w:ascii="Calibri" w:eastAsia="Calibri" w:hAnsi="Calibri" w:cs="Calibri"/>
          <w:color w:val="auto"/>
          <w:sz w:val="22"/>
          <w:szCs w:val="22"/>
        </w:rPr>
        <w:t>algemene inkoopvoorwaarden die de Tweede Kamer van toepassing heeft verklaard</w:t>
      </w:r>
      <w:r w:rsidRPr="00205451">
        <w:rPr>
          <w:rFonts w:ascii="Calibri" w:eastAsia="Calibri" w:hAnsi="Calibri" w:cs="Calibri"/>
          <w:color w:val="auto"/>
          <w:sz w:val="22"/>
          <w:szCs w:val="22"/>
        </w:rPr>
        <w:t xml:space="preserve"> of waaraan anderszins voorwaarden zijn verbonden, merkt de </w:t>
      </w:r>
      <w:r w:rsidR="006E5ED7">
        <w:rPr>
          <w:rFonts w:ascii="Calibri" w:eastAsia="Calibri" w:hAnsi="Calibri" w:cs="Calibri"/>
          <w:color w:val="auto"/>
          <w:sz w:val="22"/>
          <w:szCs w:val="22"/>
        </w:rPr>
        <w:t>Tweede Kamer</w:t>
      </w:r>
      <w:r w:rsidRPr="00205451">
        <w:rPr>
          <w:rFonts w:ascii="Calibri" w:eastAsia="Calibri" w:hAnsi="Calibri" w:cs="Calibri"/>
          <w:color w:val="auto"/>
          <w:sz w:val="22"/>
          <w:szCs w:val="22"/>
        </w:rPr>
        <w:t xml:space="preserve"> aan als voorwaardelijke Inschrijvingen. Voorwaardelijke Inschrijvingen zijn ongeldig en legt de </w:t>
      </w:r>
      <w:r w:rsidR="006E5ED7">
        <w:rPr>
          <w:rFonts w:ascii="Calibri" w:eastAsia="Calibri" w:hAnsi="Calibri" w:cs="Calibri"/>
          <w:color w:val="auto"/>
          <w:sz w:val="22"/>
          <w:szCs w:val="22"/>
        </w:rPr>
        <w:t>Tweede Kamer</w:t>
      </w:r>
      <w:r w:rsidRPr="00205451">
        <w:rPr>
          <w:rFonts w:ascii="Calibri" w:eastAsia="Calibri" w:hAnsi="Calibri" w:cs="Calibri"/>
          <w:color w:val="auto"/>
          <w:sz w:val="22"/>
          <w:szCs w:val="22"/>
        </w:rPr>
        <w:t xml:space="preserve"> ter zijde.</w:t>
      </w:r>
    </w:p>
    <w:p w14:paraId="3E02F27F" w14:textId="77777777" w:rsidR="00205451" w:rsidRPr="00205451" w:rsidRDefault="00205451" w:rsidP="00205451"/>
    <w:p w14:paraId="121DBEF1" w14:textId="77777777" w:rsidR="00205451" w:rsidRPr="00205451" w:rsidRDefault="00205451" w:rsidP="00B01284">
      <w:pPr>
        <w:numPr>
          <w:ilvl w:val="0"/>
          <w:numId w:val="15"/>
        </w:numPr>
        <w:autoSpaceDN/>
        <w:spacing w:line="240" w:lineRule="auto"/>
        <w:textAlignment w:val="auto"/>
        <w:rPr>
          <w:rFonts w:ascii="Calibri" w:eastAsia="Calibri" w:hAnsi="Calibri" w:cs="Calibri"/>
          <w:b/>
          <w:color w:val="auto"/>
          <w:sz w:val="22"/>
          <w:szCs w:val="22"/>
        </w:rPr>
      </w:pPr>
      <w:r w:rsidRPr="00205451">
        <w:rPr>
          <w:rFonts w:ascii="Calibri" w:eastAsia="Calibri" w:hAnsi="Calibri" w:cs="Calibri"/>
          <w:b/>
          <w:color w:val="auto"/>
          <w:sz w:val="22"/>
          <w:szCs w:val="22"/>
        </w:rPr>
        <w:t>Rechtsgeldige ondertekening</w:t>
      </w:r>
    </w:p>
    <w:p w14:paraId="1A32DDFF" w14:textId="77777777" w:rsidR="00205451" w:rsidRPr="00205451" w:rsidRDefault="00205451" w:rsidP="00205451">
      <w:pPr>
        <w:autoSpaceDN/>
        <w:spacing w:line="240" w:lineRule="auto"/>
        <w:ind w:left="720"/>
        <w:textAlignment w:val="auto"/>
        <w:rPr>
          <w:rFonts w:ascii="Calibri" w:eastAsia="Calibri" w:hAnsi="Calibri" w:cs="Calibri"/>
          <w:color w:val="auto"/>
          <w:sz w:val="22"/>
          <w:szCs w:val="22"/>
        </w:rPr>
      </w:pPr>
      <w:r w:rsidRPr="00205451">
        <w:rPr>
          <w:rFonts w:ascii="Calibri" w:eastAsia="Calibri" w:hAnsi="Calibri" w:cs="Calibri"/>
          <w:color w:val="auto"/>
          <w:sz w:val="22"/>
          <w:szCs w:val="22"/>
        </w:rPr>
        <w:t xml:space="preserve">De documenten die de Inschrijver indient ten behoeve van de Inschrijving moeten zijn ondertekend door een persoon die rechtsgeldig bevoegd is te ondertekenen namens de onderneming waarvoor hij ondertekent. De tekeningsbevoegdheid moet blijken uit het uittreksel uit het handelsregister van de Kamer van Koophandel van de onderneming waarvoor de ondertekenaar tekent, of uit een toereikende volmacht. De volmacht moet zijn verstrekt door degene die blijkens het handelsregister bevoegd is de onderneming te vertegenwoordigen; de volmacht behoeft niet te zijn ingeschreven in het handelsregister. </w:t>
      </w:r>
    </w:p>
    <w:p w14:paraId="2C7B4D30" w14:textId="77777777" w:rsidR="00205451" w:rsidRPr="00205451" w:rsidRDefault="00205451" w:rsidP="00205451">
      <w:pPr>
        <w:autoSpaceDN/>
        <w:spacing w:line="240" w:lineRule="auto"/>
        <w:ind w:left="720"/>
        <w:textAlignment w:val="auto"/>
        <w:rPr>
          <w:rFonts w:ascii="Calibri" w:eastAsia="Calibri" w:hAnsi="Calibri" w:cs="Calibri"/>
          <w:color w:val="auto"/>
          <w:sz w:val="22"/>
          <w:szCs w:val="22"/>
        </w:rPr>
      </w:pPr>
    </w:p>
    <w:p w14:paraId="114D0434" w14:textId="77777777" w:rsidR="00205451" w:rsidRPr="00205451" w:rsidRDefault="00205451" w:rsidP="00205451">
      <w:pPr>
        <w:autoSpaceDN/>
        <w:spacing w:line="240" w:lineRule="auto"/>
        <w:ind w:left="720"/>
        <w:textAlignment w:val="auto"/>
        <w:rPr>
          <w:rFonts w:ascii="Calibri" w:eastAsia="Calibri" w:hAnsi="Calibri" w:cs="Calibri"/>
          <w:color w:val="auto"/>
          <w:sz w:val="22"/>
          <w:szCs w:val="22"/>
        </w:rPr>
      </w:pPr>
      <w:r w:rsidRPr="00205451">
        <w:rPr>
          <w:rFonts w:ascii="Calibri" w:eastAsia="Calibri" w:hAnsi="Calibri" w:cs="Calibri"/>
          <w:color w:val="auto"/>
          <w:sz w:val="22"/>
          <w:szCs w:val="22"/>
        </w:rPr>
        <w:t>Een rechtsgeldige handtekening mag zowel nat als digitaal zijn gezet:</w:t>
      </w:r>
    </w:p>
    <w:p w14:paraId="52A70998" w14:textId="03A20702" w:rsidR="00205451" w:rsidRPr="00205451" w:rsidRDefault="00205451" w:rsidP="00B01284">
      <w:pPr>
        <w:numPr>
          <w:ilvl w:val="0"/>
          <w:numId w:val="27"/>
        </w:numPr>
        <w:autoSpaceDN/>
        <w:spacing w:after="160" w:line="240" w:lineRule="auto"/>
        <w:textAlignment w:val="auto"/>
        <w:rPr>
          <w:rFonts w:ascii="Calibri" w:eastAsia="Calibri" w:hAnsi="Calibri" w:cs="Calibri"/>
          <w:color w:val="auto"/>
          <w:sz w:val="22"/>
          <w:szCs w:val="22"/>
        </w:rPr>
      </w:pPr>
      <w:r w:rsidRPr="00205451">
        <w:rPr>
          <w:rFonts w:ascii="Calibri" w:eastAsia="Calibri" w:hAnsi="Calibri" w:cs="Calibri"/>
          <w:color w:val="auto"/>
          <w:sz w:val="22"/>
          <w:szCs w:val="22"/>
        </w:rPr>
        <w:t xml:space="preserve">Onder een ‘natte handtekening’ verstaat de </w:t>
      </w:r>
      <w:r w:rsidR="005C2C46">
        <w:rPr>
          <w:rFonts w:ascii="Calibri" w:eastAsia="Calibri" w:hAnsi="Calibri" w:cs="Calibri"/>
          <w:color w:val="auto"/>
          <w:sz w:val="22"/>
          <w:szCs w:val="22"/>
        </w:rPr>
        <w:t>Tweede Kamer</w:t>
      </w:r>
      <w:r w:rsidRPr="00205451">
        <w:rPr>
          <w:rFonts w:ascii="Calibri" w:eastAsia="Calibri" w:hAnsi="Calibri" w:cs="Calibri"/>
          <w:color w:val="auto"/>
          <w:sz w:val="22"/>
          <w:szCs w:val="22"/>
        </w:rPr>
        <w:t xml:space="preserve"> een handtekening die met pen is gezet op het document dat vervolgens is gescand en geüpload in TenderNed;</w:t>
      </w:r>
    </w:p>
    <w:p w14:paraId="0E67D1FD" w14:textId="629753FB" w:rsidR="00250340" w:rsidRPr="00250340" w:rsidRDefault="00205451" w:rsidP="00B01284">
      <w:pPr>
        <w:numPr>
          <w:ilvl w:val="0"/>
          <w:numId w:val="27"/>
        </w:numPr>
        <w:autoSpaceDN/>
        <w:spacing w:after="160" w:line="240" w:lineRule="auto"/>
        <w:textAlignment w:val="auto"/>
        <w:rPr>
          <w:rFonts w:ascii="Calibri" w:eastAsia="Calibri" w:hAnsi="Calibri" w:cs="Calibri"/>
          <w:color w:val="auto"/>
          <w:sz w:val="22"/>
          <w:szCs w:val="22"/>
        </w:rPr>
      </w:pPr>
      <w:r w:rsidRPr="00205451">
        <w:rPr>
          <w:rFonts w:ascii="Calibri" w:eastAsia="Calibri" w:hAnsi="Calibri" w:cs="Calibri"/>
          <w:color w:val="auto"/>
          <w:sz w:val="22"/>
          <w:szCs w:val="22"/>
        </w:rPr>
        <w:lastRenderedPageBreak/>
        <w:t xml:space="preserve">Onder een digitale handtekening verstaat de </w:t>
      </w:r>
      <w:r w:rsidR="005C2C46">
        <w:rPr>
          <w:rFonts w:ascii="Calibri" w:eastAsia="Calibri" w:hAnsi="Calibri" w:cs="Calibri"/>
          <w:color w:val="auto"/>
          <w:sz w:val="22"/>
          <w:szCs w:val="22"/>
        </w:rPr>
        <w:t>Tweede Kamer</w:t>
      </w:r>
      <w:r w:rsidRPr="00205451">
        <w:rPr>
          <w:rFonts w:ascii="Calibri" w:eastAsia="Calibri" w:hAnsi="Calibri" w:cs="Calibri"/>
          <w:color w:val="auto"/>
          <w:sz w:val="22"/>
          <w:szCs w:val="22"/>
        </w:rPr>
        <w:t xml:space="preserve"> een verifieerbare, digitale handtekening (zoals bijvoorbeeld met behulp van DocuSign) die digitaal is aangebracht in het document dat is geüpload in TenderNed.</w:t>
      </w:r>
    </w:p>
    <w:p w14:paraId="14198354" w14:textId="499476A0" w:rsidR="00250340" w:rsidRPr="00250340" w:rsidRDefault="00250340" w:rsidP="00B01284">
      <w:pPr>
        <w:pStyle w:val="Lijstalinea"/>
        <w:numPr>
          <w:ilvl w:val="0"/>
          <w:numId w:val="15"/>
        </w:numPr>
        <w:rPr>
          <w:b/>
        </w:rPr>
      </w:pPr>
      <w:r w:rsidRPr="00250340">
        <w:rPr>
          <w:b/>
        </w:rPr>
        <w:t>Varianten</w:t>
      </w:r>
    </w:p>
    <w:p w14:paraId="5F97ADB1" w14:textId="5FDEDC0E" w:rsidR="00250340" w:rsidRPr="00250340" w:rsidRDefault="00250340" w:rsidP="00250340">
      <w:pPr>
        <w:pStyle w:val="Lijstalinea"/>
      </w:pPr>
      <w:r w:rsidRPr="00605AB8">
        <w:t>Het indienen van varianten (als bedoeld in ar</w:t>
      </w:r>
      <w:r w:rsidR="00D33F81" w:rsidRPr="00605AB8">
        <w:t xml:space="preserve">tikel 2.83 Aanbestedingswet) is </w:t>
      </w:r>
      <w:r w:rsidRPr="00605AB8">
        <w:t>niet toegestaan</w:t>
      </w:r>
      <w:r>
        <w:t>.</w:t>
      </w:r>
    </w:p>
    <w:p w14:paraId="5D1C6462" w14:textId="6082BA60" w:rsidR="00CE700A" w:rsidRPr="00D16AD7" w:rsidRDefault="00EE6C97" w:rsidP="00CE700A">
      <w:pPr>
        <w:pStyle w:val="RapportKop2"/>
      </w:pPr>
      <w:bookmarkStart w:id="14" w:name="_Toc105606076"/>
      <w:r>
        <w:t>Inlichtingen</w:t>
      </w:r>
      <w:bookmarkEnd w:id="14"/>
    </w:p>
    <w:p w14:paraId="0E095842" w14:textId="6A1BA5E1" w:rsidR="006727F3" w:rsidRDefault="00B362AC" w:rsidP="00CE700A">
      <w:r>
        <w:t>De</w:t>
      </w:r>
      <w:r w:rsidR="00057DED">
        <w:t xml:space="preserve"> Inschrijvers kunnen inlichtingen vragen over de Aanbestedingsprocedure en/of de Aanbestedingsstukken. </w:t>
      </w:r>
      <w:r>
        <w:t xml:space="preserve">Inlichtingen dienen te worden gevraagd voor sluiting van de termijn voor het stellen van vragen </w:t>
      </w:r>
      <w:r w:rsidR="00EA79CA">
        <w:t xml:space="preserve">(zie </w:t>
      </w:r>
      <w:r w:rsidR="00735976">
        <w:t xml:space="preserve">paragraaf </w:t>
      </w:r>
      <w:r w:rsidR="00DD73F2">
        <w:t>“</w:t>
      </w:r>
      <w:r w:rsidR="00DD73F2" w:rsidRPr="00DD73F2">
        <w:rPr>
          <w:i/>
        </w:rPr>
        <w:t>Planning</w:t>
      </w:r>
      <w:r w:rsidR="00DD73F2">
        <w:t>”</w:t>
      </w:r>
      <w:r w:rsidR="00735976">
        <w:t>)</w:t>
      </w:r>
      <w:r w:rsidR="00EA79CA">
        <w:t>. De inlichtingen kunnen bijvoorbeeld betreffen onduid</w:t>
      </w:r>
      <w:r w:rsidR="006727F3">
        <w:t xml:space="preserve">elijkheden, dubbelzinnigheden of </w:t>
      </w:r>
      <w:r w:rsidR="00EA79CA">
        <w:t>tegenstrijdigheden</w:t>
      </w:r>
      <w:r w:rsidR="006727F3">
        <w:t xml:space="preserve">, maar kunnen ook opmerkingen zijn met daaraan gekoppelde wijzigingsvoorstellen. </w:t>
      </w:r>
    </w:p>
    <w:p w14:paraId="3B2014DD" w14:textId="46A1950F" w:rsidR="00B362AC" w:rsidRDefault="00B362AC" w:rsidP="00CE700A"/>
    <w:p w14:paraId="3FE048AD" w14:textId="2AD06ADA" w:rsidR="00B362AC" w:rsidRDefault="00B362AC" w:rsidP="00CE700A">
      <w:r w:rsidRPr="00580E6B">
        <w:t>De tweede gelegenheid tot het stellen van vragen (die resulteert in Nota van Inlichtingen 2) is uitsluitend bedoeld voor het stellen van vervolgvragen, dat wil zeggen vragen die betrekking hebben op de beantwoording van vragen in Nota van Inlichtingen 1. Indien gestelde vragen in de tweede inlichtingenronde door de Tweede Kamer niet worden aangemerkt als vervolgvragen, kan de Tweede Kamer niet garanderen dat deze vragen nog (tijdig) worden beantwoord.</w:t>
      </w:r>
      <w:r>
        <w:t xml:space="preserve"> </w:t>
      </w:r>
    </w:p>
    <w:p w14:paraId="0BCD597F" w14:textId="77777777" w:rsidR="006727F3" w:rsidRDefault="006727F3" w:rsidP="00CE700A"/>
    <w:p w14:paraId="759E5D0A" w14:textId="174A4C17" w:rsidR="00716B9D" w:rsidRDefault="000F4B00" w:rsidP="00716B9D">
      <w:r>
        <w:t>Inlichtingen dienen te worden gevraagd door</w:t>
      </w:r>
      <w:r w:rsidR="00DF6135">
        <w:t xml:space="preserve"> middel van het vragenformulier dat als </w:t>
      </w:r>
      <w:r>
        <w:t>Bijlage</w:t>
      </w:r>
      <w:r w:rsidR="00DF6135">
        <w:t xml:space="preserve"> </w:t>
      </w:r>
      <w:r w:rsidR="00AF14F6">
        <w:t xml:space="preserve">deel uitmaakt van </w:t>
      </w:r>
      <w:r w:rsidR="00DF6135">
        <w:t>de Aanbestedingsleidraad</w:t>
      </w:r>
      <w:r>
        <w:t>. De Inschrijver dient het ingevulde vragenformulier in bewerkbaar Excel-format in te dienen via de berichtenmodule van TenderNed.</w:t>
      </w:r>
      <w:r w:rsidR="000F5AE1">
        <w:t xml:space="preserve"> Per vraag dient de Inschrijver alle gevraagde gegevens (zoals het onderdeel van de Aanbestedingsstukken waarop de vraag betrekking heeft) in te vullen. </w:t>
      </w:r>
      <w:r w:rsidR="00716B9D">
        <w:t xml:space="preserve">De Tweede Kamer attendeert de Inschrijvers erop dat in de Aanbestedingsprocedure geen gebruik wordt gemaakt van de ‘Vraag en antwoordmodule’ op TenderNed. </w:t>
      </w:r>
    </w:p>
    <w:p w14:paraId="607A5DCA" w14:textId="77777777" w:rsidR="00DC4BAE" w:rsidRDefault="00DC4BAE" w:rsidP="00DC4BAE"/>
    <w:p w14:paraId="6FE78F1B" w14:textId="276B7529" w:rsidR="00DC4BAE" w:rsidRDefault="00DC4BAE" w:rsidP="00DC4BAE">
      <w:r>
        <w:t xml:space="preserve">De Tweede Kamer neemt de vragen van de Inschrijvers geanonimiseerd op in de Nota van Inlichtingen, alsook de antwoorden daarop. De Nota van Inlichtingen wordt gepubliceerd op TenderNed. </w:t>
      </w:r>
    </w:p>
    <w:p w14:paraId="5F0D996C" w14:textId="631BE045" w:rsidR="00716B9D" w:rsidRDefault="00716B9D" w:rsidP="00CE700A"/>
    <w:p w14:paraId="406CFB1E" w14:textId="77F140EF" w:rsidR="00DF6135" w:rsidRPr="00DF6135" w:rsidRDefault="00DF6135" w:rsidP="00DF6135">
      <w:r w:rsidRPr="00DF6135">
        <w:t xml:space="preserve">Inlichtingen dienen te worden gevraagd op de wijze die in deze paragraaf staat beschreven. Indien de </w:t>
      </w:r>
      <w:r>
        <w:t xml:space="preserve">Inschrijver </w:t>
      </w:r>
      <w:r w:rsidRPr="00DF6135">
        <w:t xml:space="preserve">niet tijdig en/of niet op de voorgeschreven wijze inlichtingen vraagt dan verwerkt hij (in beginsel) zijn recht om tegen eventueel geconstateerde gebreken en in een later stadium bezwaar te maken. Indien een </w:t>
      </w:r>
      <w:r>
        <w:t xml:space="preserve">Inschrijver </w:t>
      </w:r>
      <w:r w:rsidRPr="00DF6135">
        <w:t>vragen indient nadat de termijn voor het stellen van vragen is verstreken, zal de Tweede Kamer handelen naar bevind van zaken; de tijdige beantwoording van vragen kan in dat geval niet worden gegarandeerd.</w:t>
      </w:r>
    </w:p>
    <w:p w14:paraId="18F3F2F1" w14:textId="77777777" w:rsidR="00DF6135" w:rsidRDefault="00DF6135" w:rsidP="00CE700A"/>
    <w:p w14:paraId="53C512DF" w14:textId="233383C7" w:rsidR="00AC429B" w:rsidRPr="00006529" w:rsidRDefault="00AC429B" w:rsidP="00CE700A">
      <w:r>
        <w:t>De Inschrijver is verantwoordelijk voor het op tijd en op de juiste wijze indienen van vragen. Indien de Inschrijver hinder ondervindt bij het stellen van vragen vanwege een storing bij TenderNed, dan dient hij direct contact op te nemen met TenderNed en met de contactpersoon van de Tweede Kamer (zie paragraaf</w:t>
      </w:r>
      <w:r w:rsidR="00463A16">
        <w:t xml:space="preserve"> “</w:t>
      </w:r>
      <w:r w:rsidR="00463A16" w:rsidRPr="00E95C4C">
        <w:rPr>
          <w:i/>
        </w:rPr>
        <w:t>Contactpersoon</w:t>
      </w:r>
      <w:r w:rsidR="00463A16">
        <w:t>”</w:t>
      </w:r>
      <w:r>
        <w:t>). Indien daadwerkelijk sprake blijkt van een TenderNed-storing, zal de Tweede Kamer handelen naar bevind van zaken</w:t>
      </w:r>
      <w:r w:rsidR="00575A21">
        <w:t>, met inachtneming van de Aanbestedingswet.</w:t>
      </w:r>
    </w:p>
    <w:p w14:paraId="1AB08F51" w14:textId="2F7ADDBF" w:rsidR="001B31F1" w:rsidRDefault="001B31F1" w:rsidP="001B31F1">
      <w:pPr>
        <w:rPr>
          <w:b/>
          <w:color w:val="auto"/>
        </w:rPr>
      </w:pPr>
    </w:p>
    <w:p w14:paraId="45BDB7BF" w14:textId="52506D14" w:rsidR="00BF4DB2" w:rsidRPr="00D16AD7" w:rsidRDefault="00BF4DB2" w:rsidP="00BF4DB2">
      <w:pPr>
        <w:pStyle w:val="RapportKop2"/>
      </w:pPr>
      <w:bookmarkStart w:id="15" w:name="_Toc105606077"/>
      <w:r>
        <w:t>Klachtenregeling</w:t>
      </w:r>
      <w:bookmarkEnd w:id="15"/>
    </w:p>
    <w:p w14:paraId="077DE565" w14:textId="5FA98802" w:rsidR="00336AA2" w:rsidRDefault="00822C47" w:rsidP="00D16D6D">
      <w:r>
        <w:t xml:space="preserve">Van de Inschrijver wordt verwacht dat hij klachten over de Aanbestedingsprocedure en/of de Aanbestedingsstukken in een zo vroeg mogelijk stadium indient. De Inschrijver dient een klacht </w:t>
      </w:r>
      <w:r w:rsidR="00826935">
        <w:t>zoveel mogelijk kenbaar te maken door middel van vragen en/of opmerkingen ten behoeve van de Nota van Inlichtingen (paragraaf</w:t>
      </w:r>
      <w:r w:rsidR="007F6C1E">
        <w:t xml:space="preserve"> “</w:t>
      </w:r>
      <w:r w:rsidR="007F6C1E" w:rsidRPr="007F6C1E">
        <w:rPr>
          <w:i/>
        </w:rPr>
        <w:t>Inlichtingen</w:t>
      </w:r>
      <w:r w:rsidR="007F6C1E">
        <w:t>”</w:t>
      </w:r>
      <w:r w:rsidR="00826935">
        <w:t xml:space="preserve">). Indien de </w:t>
      </w:r>
      <w:r w:rsidR="001542A3">
        <w:t>Tweede Kamer de klacht niet honoreert, dan kan de Inschrijver de klacht voorleggen aan het</w:t>
      </w:r>
      <w:r w:rsidR="00336AA2">
        <w:t xml:space="preserve"> Klachtenmeldpunt Aanbesteden </w:t>
      </w:r>
    </w:p>
    <w:p w14:paraId="480299EF" w14:textId="77777777" w:rsidR="00336AA2" w:rsidRDefault="00336AA2" w:rsidP="00D16D6D"/>
    <w:p w14:paraId="748A88A1" w14:textId="22E69653" w:rsidR="00D16D6D" w:rsidRDefault="00D16D6D" w:rsidP="00D16D6D">
      <w:r>
        <w:t>Voor het indienen van een klacht bij het Klachtenmeldpunt Aanbesteden, dient de Inschrijver de instructies te volgen, zoals vermeld in de klachtenregeling</w:t>
      </w:r>
      <w:r w:rsidR="00336AA2">
        <w:t xml:space="preserve"> (Bijlage </w:t>
      </w:r>
      <w:r w:rsidR="007F6C1E">
        <w:t>“</w:t>
      </w:r>
      <w:r w:rsidR="007F6C1E" w:rsidRPr="007F6C1E">
        <w:rPr>
          <w:i/>
        </w:rPr>
        <w:t>Klachtenregeling Tweede Kamer april 2015</w:t>
      </w:r>
      <w:r w:rsidR="007F6C1E">
        <w:t>”)</w:t>
      </w:r>
      <w:r w:rsidR="00336AA2">
        <w:t xml:space="preserve">. Ook voor het verloop van de klachtenprocedure en de beschrijving van de wijze van afhandeling van de klacht verwijst de Tweede Kamer naar de klachtenregeling. </w:t>
      </w:r>
    </w:p>
    <w:p w14:paraId="20285A9B" w14:textId="6921A2BA" w:rsidR="00336AA2" w:rsidRDefault="00336AA2" w:rsidP="00D16D6D"/>
    <w:p w14:paraId="4A6CB4E7" w14:textId="6BFBB247" w:rsidR="00336AA2" w:rsidRDefault="00336AA2" w:rsidP="00D16D6D">
      <w:r>
        <w:t xml:space="preserve">De Tweede Kamer benadrukt dat het indienen van een klacht de Aanbestedingsprocedure niet opschort. De Tweede Kamer kan desalniettemin tot opschorting besluiten. De Tweede Kamer informeert de Inschrijvers schriftelijk indien zij besluit tot opschorting van de Aanbestedingsprocedure. </w:t>
      </w:r>
    </w:p>
    <w:p w14:paraId="31F334AC" w14:textId="34A5531A" w:rsidR="00336AA2" w:rsidRDefault="00336AA2" w:rsidP="00D16D6D"/>
    <w:p w14:paraId="419C4229" w14:textId="3888C9C7" w:rsidR="002A32F3" w:rsidRDefault="00336AA2" w:rsidP="001542A3">
      <w:pPr>
        <w:pStyle w:val="RapportKop2"/>
      </w:pPr>
      <w:bookmarkStart w:id="16" w:name="_Toc105606078"/>
      <w:r w:rsidRPr="002A32F3">
        <w:t>Geschillen</w:t>
      </w:r>
      <w:bookmarkEnd w:id="16"/>
    </w:p>
    <w:p w14:paraId="125209CC" w14:textId="4F47F4AF" w:rsidR="002A32F3" w:rsidRDefault="002A32F3" w:rsidP="001542A3">
      <w:r>
        <w:t>De Inschrijver dient bezwaren tegen (aspecten die verband houden met) de Aanbestedingsprocedure en/of de Aanbestedingsstukken in een zo vroeg mogelijk stadium kenbaar te maken aan de contactpersoon van</w:t>
      </w:r>
      <w:r w:rsidR="007F6C1E">
        <w:t xml:space="preserve"> de Tweede Kamer (zie paragraaf “</w:t>
      </w:r>
      <w:r w:rsidR="007F6C1E" w:rsidRPr="007F6C1E">
        <w:rPr>
          <w:i/>
        </w:rPr>
        <w:t>Contactpersoon</w:t>
      </w:r>
      <w:r w:rsidR="007F6C1E">
        <w:t>”</w:t>
      </w:r>
      <w:r>
        <w:t xml:space="preserve">). </w:t>
      </w:r>
    </w:p>
    <w:p w14:paraId="0CFD794E" w14:textId="738813BE" w:rsidR="002A32F3" w:rsidRDefault="002A32F3" w:rsidP="001542A3"/>
    <w:p w14:paraId="3C25F59F" w14:textId="75F4A1AB" w:rsidR="006303B0" w:rsidRDefault="006303B0" w:rsidP="001542A3">
      <w:r>
        <w:t>De Inschrijver kan zijn bezwaren tegen de Aanbestedingsprocedure en/of de Aanbestedingsstukken voorleggen aan de rechter. Daarvoor geldt het volgende.</w:t>
      </w:r>
    </w:p>
    <w:p w14:paraId="44EB0F76" w14:textId="71D51C9A" w:rsidR="006303B0" w:rsidRDefault="006303B0" w:rsidP="001542A3"/>
    <w:p w14:paraId="3DF135AE" w14:textId="77777777" w:rsidR="006303B0" w:rsidRDefault="006303B0" w:rsidP="00B01284">
      <w:pPr>
        <w:pStyle w:val="Lijstalinea"/>
        <w:numPr>
          <w:ilvl w:val="0"/>
          <w:numId w:val="17"/>
        </w:numPr>
      </w:pPr>
      <w:r>
        <w:t xml:space="preserve">Op de Aanbestedingsprocedure is Nederlands recht van toepassing. </w:t>
      </w:r>
    </w:p>
    <w:p w14:paraId="0166F03A" w14:textId="77777777" w:rsidR="006303B0" w:rsidRDefault="006303B0" w:rsidP="00B01284">
      <w:pPr>
        <w:pStyle w:val="Lijstalinea"/>
        <w:numPr>
          <w:ilvl w:val="0"/>
          <w:numId w:val="17"/>
        </w:numPr>
      </w:pPr>
      <w:r>
        <w:t>Uitsluitend de voorzieningenrechter van de rechtbank Den Haag, locatie Den Haag is bevoegd om geschillen te beslechten die verband houden met de Aanbestedingsprocedure.</w:t>
      </w:r>
    </w:p>
    <w:p w14:paraId="3D5347E0" w14:textId="3ABBB9E1" w:rsidR="002A32F3" w:rsidRDefault="002A32F3" w:rsidP="00B01284">
      <w:pPr>
        <w:pStyle w:val="Lijstalinea"/>
        <w:numPr>
          <w:ilvl w:val="0"/>
          <w:numId w:val="17"/>
        </w:numPr>
      </w:pPr>
      <w:r>
        <w:lastRenderedPageBreak/>
        <w:t xml:space="preserve">De </w:t>
      </w:r>
      <w:r w:rsidR="008D2883">
        <w:t xml:space="preserve">termijn waarbinnen de Inschrijver door middel van een gerechtelijke procedure bezwaar kan maken  tegen de gunningsbeslissing en/of de Aanbestedingsprocedure, bedraagt twintig kalenderdagen, te rekenen vanaf de dagtekening van de gunningsbeslissing. Binnen die termijn moet een dagvaarding worden betekend aan het adres van de Tweede Kamer. Verstrijkt de genoemde termijn zonder dat een juridische procedure is aangevangen door het laten betekenen van een kortgedingdagvaarding, dan </w:t>
      </w:r>
      <w:r w:rsidR="006303B0">
        <w:t>vervalt het recht van</w:t>
      </w:r>
      <w:r w:rsidR="008D2883">
        <w:t xml:space="preserve"> de Inschrijver</w:t>
      </w:r>
      <w:r w:rsidR="006303B0">
        <w:t xml:space="preserve"> daartoe.</w:t>
      </w:r>
    </w:p>
    <w:p w14:paraId="4ED6C66D" w14:textId="1EA49EB6" w:rsidR="006303B0" w:rsidRDefault="006303B0" w:rsidP="00B01284">
      <w:pPr>
        <w:pStyle w:val="Lijstalinea"/>
        <w:numPr>
          <w:ilvl w:val="0"/>
          <w:numId w:val="17"/>
        </w:numPr>
      </w:pPr>
      <w:r>
        <w:rPr>
          <w:kern w:val="3"/>
          <w:lang w:eastAsia="zh-CN" w:bidi="hi-IN"/>
        </w:rPr>
        <w:t xml:space="preserve">De Inschrijver dient </w:t>
      </w:r>
      <w:r w:rsidR="00FF4B20">
        <w:rPr>
          <w:kern w:val="3"/>
          <w:lang w:eastAsia="zh-CN" w:bidi="hi-IN"/>
        </w:rPr>
        <w:t xml:space="preserve">via de </w:t>
      </w:r>
      <w:r w:rsidR="00FF4B20" w:rsidRPr="00D16AD7">
        <w:rPr>
          <w:kern w:val="3"/>
          <w:lang w:eastAsia="zh-CN" w:bidi="hi-IN"/>
        </w:rPr>
        <w:t>berichtenmodule</w:t>
      </w:r>
      <w:r w:rsidR="00FF4B20">
        <w:rPr>
          <w:kern w:val="3"/>
          <w:lang w:eastAsia="zh-CN" w:bidi="hi-IN"/>
        </w:rPr>
        <w:t xml:space="preserve"> van TenderNed een </w:t>
      </w:r>
      <w:r w:rsidR="00FF4B20" w:rsidRPr="00D16AD7">
        <w:rPr>
          <w:kern w:val="3"/>
          <w:lang w:eastAsia="zh-CN" w:bidi="hi-IN"/>
        </w:rPr>
        <w:t xml:space="preserve">kopie van de dagvaarding </w:t>
      </w:r>
      <w:r w:rsidR="00FF4B20">
        <w:rPr>
          <w:kern w:val="3"/>
          <w:lang w:eastAsia="zh-CN" w:bidi="hi-IN"/>
        </w:rPr>
        <w:t xml:space="preserve">te sturen aan </w:t>
      </w:r>
      <w:r>
        <w:rPr>
          <w:kern w:val="3"/>
          <w:lang w:eastAsia="zh-CN" w:bidi="hi-IN"/>
        </w:rPr>
        <w:t xml:space="preserve">de contactpersoon </w:t>
      </w:r>
      <w:r w:rsidR="00FF4B20">
        <w:rPr>
          <w:kern w:val="3"/>
          <w:lang w:eastAsia="zh-CN" w:bidi="hi-IN"/>
        </w:rPr>
        <w:t xml:space="preserve">van de Aanbestedingsprocedure </w:t>
      </w:r>
      <w:r>
        <w:rPr>
          <w:kern w:val="3"/>
          <w:lang w:eastAsia="zh-CN" w:bidi="hi-IN"/>
        </w:rPr>
        <w:t xml:space="preserve">(zie paragraaf </w:t>
      </w:r>
      <w:r w:rsidR="00FF4B20">
        <w:rPr>
          <w:kern w:val="3"/>
          <w:lang w:eastAsia="zh-CN" w:bidi="hi-IN"/>
        </w:rPr>
        <w:t>“</w:t>
      </w:r>
      <w:r w:rsidR="00FF4B20" w:rsidRPr="00FF4B20">
        <w:rPr>
          <w:i/>
          <w:kern w:val="3"/>
          <w:lang w:eastAsia="zh-CN" w:bidi="hi-IN"/>
        </w:rPr>
        <w:t>Contactpersoon</w:t>
      </w:r>
      <w:r w:rsidR="00FF4B20">
        <w:rPr>
          <w:kern w:val="3"/>
          <w:lang w:eastAsia="zh-CN" w:bidi="hi-IN"/>
        </w:rPr>
        <w:t>”</w:t>
      </w:r>
      <w:r>
        <w:rPr>
          <w:kern w:val="3"/>
          <w:lang w:eastAsia="zh-CN" w:bidi="hi-IN"/>
        </w:rPr>
        <w:t>).</w:t>
      </w:r>
    </w:p>
    <w:p w14:paraId="24E71EFC" w14:textId="3F60839D" w:rsidR="008D2883" w:rsidRDefault="008D2883" w:rsidP="001542A3"/>
    <w:p w14:paraId="274FF9C3" w14:textId="60E12202" w:rsidR="007D53EE" w:rsidRDefault="007D53EE" w:rsidP="001542A3">
      <w:r>
        <w:t>Het is voor alle partijen van belang om zo spoedig mogelijk duidelijkheid te krijgen en alle argumenten in het kortgeding in eerste aanleg op tafel te krijgen. Daarom dient</w:t>
      </w:r>
    </w:p>
    <w:p w14:paraId="512F1469" w14:textId="1824C37A" w:rsidR="002A32F3" w:rsidRPr="00FA4F50" w:rsidRDefault="007D53EE" w:rsidP="00FA4F50">
      <w:r>
        <w:t xml:space="preserve">de Inschrijver waaraan de opdracht voorlopig is gegund (de voorgenomen begunstigde) te interveniëren in het kortgeding tegen de gunningsbeslissing en/of de Aanbestedingsprocedure dat een (andere) Inschrijver tijdig en rechtsgeldig aanhangig heeft gemaakt. Intervenieert de voorgenomen begunstigde niet, dan verspeelt de voorgenomen begunstigde zijn recht om een gerechtelijke procedure of derdenverzet in te stellen, in geval het vonnis in het kortgeding in eerste aanleg de Tweede Kamer dwingt tot wijziging of intrekking van de gunningsbeslissing. </w:t>
      </w:r>
    </w:p>
    <w:p w14:paraId="4DDDD8A1" w14:textId="77777777" w:rsidR="002A32F3" w:rsidRPr="00D16AD7" w:rsidRDefault="002A32F3" w:rsidP="002A32F3"/>
    <w:p w14:paraId="52CC73E6" w14:textId="18656C29" w:rsidR="002A32F3" w:rsidRPr="00D16AD7" w:rsidRDefault="00EC615B" w:rsidP="002A32F3">
      <w:r>
        <w:t>In geval</w:t>
      </w:r>
      <w:r w:rsidR="000946A3">
        <w:t xml:space="preserve"> een kort</w:t>
      </w:r>
      <w:r w:rsidR="002A32F3" w:rsidRPr="00D16AD7">
        <w:t xml:space="preserve">geding aanhangig wordt gemaakt, dan </w:t>
      </w:r>
      <w:r>
        <w:t>informeert de Tweede Kamer</w:t>
      </w:r>
      <w:r w:rsidR="002A32F3" w:rsidRPr="00D16AD7">
        <w:t xml:space="preserve"> alle Inschrijvers </w:t>
      </w:r>
      <w:r>
        <w:t>daarover schriftelijk</w:t>
      </w:r>
      <w:r w:rsidR="002A32F3" w:rsidRPr="00D16AD7">
        <w:t>.</w:t>
      </w:r>
    </w:p>
    <w:p w14:paraId="201F262A" w14:textId="6912CCC9" w:rsidR="001542A3" w:rsidRDefault="001542A3" w:rsidP="001542A3"/>
    <w:p w14:paraId="26310451" w14:textId="4CDEFBD1" w:rsidR="00C53250" w:rsidRPr="00E2055C" w:rsidRDefault="00C53250" w:rsidP="00C53250">
      <w:pPr>
        <w:pStyle w:val="RapportKop2"/>
      </w:pPr>
      <w:bookmarkStart w:id="17" w:name="_Toc105606079"/>
      <w:r w:rsidRPr="00E2055C">
        <w:t>Indienen van de Inschrijving</w:t>
      </w:r>
      <w:bookmarkEnd w:id="17"/>
    </w:p>
    <w:p w14:paraId="4DF9D23D" w14:textId="1B4F1B76" w:rsidR="00670F53" w:rsidRDefault="00145AD0" w:rsidP="00670F53">
      <w:pPr>
        <w:rPr>
          <w:rFonts w:asciiTheme="minorHAnsi" w:eastAsiaTheme="minorHAnsi" w:hAnsiTheme="minorHAnsi" w:cstheme="minorHAnsi"/>
          <w:color w:val="auto"/>
          <w:sz w:val="22"/>
          <w:szCs w:val="22"/>
          <w:lang w:eastAsia="en-US"/>
        </w:rPr>
      </w:pPr>
      <w:r>
        <w:t xml:space="preserve">Voor inschrijving dient de Inschrijver gebruik te maken </w:t>
      </w:r>
      <w:r w:rsidR="000946A3">
        <w:t>van de formats die conform de inhoudsopgave van de Aanbestedingsleidraad zijn aangemerkt als “</w:t>
      </w:r>
      <w:r w:rsidR="000946A3" w:rsidRPr="000946A3">
        <w:rPr>
          <w:i/>
        </w:rPr>
        <w:t>Bijlagen ten behoeve van het indienen van de Inschrijving</w:t>
      </w:r>
      <w:r w:rsidR="000946A3">
        <w:t>”</w:t>
      </w:r>
      <w:r>
        <w:t xml:space="preserve">. </w:t>
      </w:r>
      <w:r w:rsidR="00670F53" w:rsidRPr="00670F53">
        <w:rPr>
          <w:rFonts w:asciiTheme="minorHAnsi" w:eastAsiaTheme="minorHAnsi" w:hAnsiTheme="minorHAnsi" w:cstheme="minorHAnsi"/>
          <w:color w:val="auto"/>
          <w:sz w:val="22"/>
          <w:szCs w:val="22"/>
          <w:lang w:eastAsia="en-US"/>
        </w:rPr>
        <w:t>De Inschrijving  bestaat</w:t>
      </w:r>
      <w:r w:rsidR="00670F53">
        <w:rPr>
          <w:rFonts w:asciiTheme="minorHAnsi" w:eastAsiaTheme="minorHAnsi" w:hAnsiTheme="minorHAnsi" w:cstheme="minorHAnsi"/>
          <w:color w:val="auto"/>
          <w:sz w:val="22"/>
          <w:szCs w:val="22"/>
          <w:lang w:eastAsia="en-US"/>
        </w:rPr>
        <w:t xml:space="preserve"> allereerst</w:t>
      </w:r>
      <w:r w:rsidR="00670F53" w:rsidRPr="00670F53">
        <w:rPr>
          <w:rFonts w:asciiTheme="minorHAnsi" w:eastAsiaTheme="minorHAnsi" w:hAnsiTheme="minorHAnsi" w:cstheme="minorHAnsi"/>
          <w:color w:val="auto"/>
          <w:sz w:val="22"/>
          <w:szCs w:val="22"/>
          <w:lang w:eastAsia="en-US"/>
        </w:rPr>
        <w:t xml:space="preserve"> uit:</w:t>
      </w:r>
    </w:p>
    <w:p w14:paraId="0E98E088" w14:textId="77777777" w:rsidR="00670F53" w:rsidRPr="0091018B" w:rsidRDefault="00670F53" w:rsidP="00670F53">
      <w:pPr>
        <w:rPr>
          <w:rFonts w:asciiTheme="minorHAnsi" w:eastAsiaTheme="minorHAnsi" w:hAnsiTheme="minorHAnsi" w:cstheme="minorHAnsi"/>
          <w:color w:val="auto"/>
          <w:sz w:val="22"/>
          <w:szCs w:val="22"/>
          <w:lang w:eastAsia="en-US"/>
        </w:rPr>
      </w:pPr>
    </w:p>
    <w:p w14:paraId="0403563D" w14:textId="77777777" w:rsidR="00670F53" w:rsidRDefault="00670F53" w:rsidP="00670F53">
      <w:pPr>
        <w:numPr>
          <w:ilvl w:val="0"/>
          <w:numId w:val="34"/>
        </w:numPr>
        <w:autoSpaceDN/>
        <w:spacing w:after="160" w:line="240" w:lineRule="auto"/>
        <w:textAlignment w:val="auto"/>
        <w:rPr>
          <w:rFonts w:asciiTheme="minorHAnsi" w:eastAsiaTheme="minorHAnsi" w:hAnsiTheme="minorHAnsi" w:cstheme="minorHAnsi"/>
          <w:color w:val="auto"/>
          <w:sz w:val="22"/>
          <w:szCs w:val="22"/>
          <w:lang w:eastAsia="en-US"/>
        </w:rPr>
      </w:pPr>
      <w:r>
        <w:rPr>
          <w:rFonts w:asciiTheme="minorHAnsi" w:eastAsiaTheme="minorHAnsi" w:hAnsiTheme="minorHAnsi" w:cstheme="minorHAnsi"/>
          <w:color w:val="auto"/>
          <w:sz w:val="22"/>
          <w:szCs w:val="22"/>
          <w:lang w:eastAsia="en-US"/>
        </w:rPr>
        <w:t>Een aanbiedingsbrief</w:t>
      </w:r>
    </w:p>
    <w:p w14:paraId="0F10211A" w14:textId="299246C2" w:rsidR="00670F53" w:rsidRDefault="00670F53" w:rsidP="00670F53">
      <w:pPr>
        <w:numPr>
          <w:ilvl w:val="0"/>
          <w:numId w:val="34"/>
        </w:numPr>
        <w:autoSpaceDN/>
        <w:spacing w:after="160" w:line="240" w:lineRule="auto"/>
        <w:textAlignment w:val="auto"/>
        <w:rPr>
          <w:rFonts w:asciiTheme="minorHAnsi" w:eastAsiaTheme="minorHAnsi" w:hAnsiTheme="minorHAnsi" w:cstheme="minorHAnsi"/>
          <w:color w:val="auto"/>
          <w:sz w:val="22"/>
          <w:szCs w:val="22"/>
          <w:lang w:eastAsia="en-US"/>
        </w:rPr>
      </w:pPr>
      <w:r>
        <w:rPr>
          <w:rFonts w:asciiTheme="minorHAnsi" w:eastAsiaTheme="minorHAnsi" w:hAnsiTheme="minorHAnsi" w:cstheme="minorHAnsi"/>
          <w:color w:val="auto"/>
          <w:sz w:val="22"/>
          <w:szCs w:val="22"/>
          <w:lang w:eastAsia="en-US"/>
        </w:rPr>
        <w:t>Opgave van de dienstverlening</w:t>
      </w:r>
      <w:r w:rsidR="00F65A63">
        <w:rPr>
          <w:rFonts w:asciiTheme="minorHAnsi" w:eastAsiaTheme="minorHAnsi" w:hAnsiTheme="minorHAnsi" w:cstheme="minorHAnsi"/>
          <w:color w:val="auto"/>
          <w:sz w:val="22"/>
          <w:szCs w:val="22"/>
          <w:lang w:eastAsia="en-US"/>
        </w:rPr>
        <w:t xml:space="preserve"> </w:t>
      </w:r>
    </w:p>
    <w:p w14:paraId="78D2AC19" w14:textId="27AEE9F9" w:rsidR="00670F53" w:rsidRPr="0091018B" w:rsidRDefault="00670F53" w:rsidP="00670F53">
      <w:pPr>
        <w:numPr>
          <w:ilvl w:val="1"/>
          <w:numId w:val="34"/>
        </w:numPr>
        <w:autoSpaceDN/>
        <w:spacing w:after="160" w:line="240" w:lineRule="auto"/>
        <w:textAlignment w:val="auto"/>
        <w:rPr>
          <w:rFonts w:asciiTheme="minorHAnsi" w:eastAsiaTheme="minorHAnsi" w:hAnsiTheme="minorHAnsi" w:cstheme="minorHAnsi"/>
          <w:color w:val="auto"/>
          <w:sz w:val="22"/>
          <w:szCs w:val="22"/>
          <w:lang w:eastAsia="en-US"/>
        </w:rPr>
      </w:pPr>
      <w:r w:rsidRPr="0091018B">
        <w:rPr>
          <w:rFonts w:asciiTheme="minorHAnsi" w:eastAsiaTheme="minorHAnsi" w:hAnsiTheme="minorHAnsi" w:cstheme="minorHAnsi"/>
          <w:color w:val="auto"/>
          <w:sz w:val="22"/>
          <w:szCs w:val="22"/>
          <w:lang w:eastAsia="en-US"/>
        </w:rPr>
        <w:t>Omschrijving van het systeem</w:t>
      </w:r>
      <w:r w:rsidR="00383133">
        <w:rPr>
          <w:rFonts w:asciiTheme="minorHAnsi" w:eastAsiaTheme="minorHAnsi" w:hAnsiTheme="minorHAnsi" w:cstheme="minorHAnsi"/>
          <w:color w:val="auto"/>
          <w:sz w:val="22"/>
          <w:szCs w:val="22"/>
          <w:lang w:eastAsia="en-US"/>
        </w:rPr>
        <w:t xml:space="preserve"> en de werking</w:t>
      </w:r>
      <w:r w:rsidR="00F65A63">
        <w:rPr>
          <w:rFonts w:asciiTheme="minorHAnsi" w:eastAsiaTheme="minorHAnsi" w:hAnsiTheme="minorHAnsi" w:cstheme="minorHAnsi"/>
          <w:color w:val="auto"/>
          <w:sz w:val="22"/>
          <w:szCs w:val="22"/>
          <w:lang w:eastAsia="en-US"/>
        </w:rPr>
        <w:t xml:space="preserve"> (kwaliteitscriterium 1)</w:t>
      </w:r>
    </w:p>
    <w:p w14:paraId="45212A20" w14:textId="69EE6448" w:rsidR="00670F53" w:rsidRPr="0091018B" w:rsidRDefault="00670F53" w:rsidP="00670F53">
      <w:pPr>
        <w:numPr>
          <w:ilvl w:val="1"/>
          <w:numId w:val="34"/>
        </w:numPr>
        <w:autoSpaceDN/>
        <w:spacing w:after="160" w:line="240" w:lineRule="auto"/>
        <w:textAlignment w:val="auto"/>
        <w:rPr>
          <w:rFonts w:asciiTheme="minorHAnsi" w:eastAsiaTheme="minorHAnsi" w:hAnsiTheme="minorHAnsi" w:cstheme="minorHAnsi"/>
          <w:color w:val="auto"/>
          <w:sz w:val="22"/>
          <w:szCs w:val="22"/>
          <w:lang w:eastAsia="en-US"/>
        </w:rPr>
      </w:pPr>
      <w:r w:rsidRPr="0091018B">
        <w:rPr>
          <w:rFonts w:asciiTheme="minorHAnsi" w:eastAsiaTheme="minorHAnsi" w:hAnsiTheme="minorHAnsi" w:cstheme="minorHAnsi"/>
          <w:color w:val="auto"/>
          <w:sz w:val="22"/>
          <w:szCs w:val="22"/>
          <w:lang w:eastAsia="en-US"/>
        </w:rPr>
        <w:t>Omschrijving van de dienstverlening, inclusief beschikbaarheid gedurende kantooruren en daarbuiten.</w:t>
      </w:r>
      <w:r w:rsidR="00F65A63">
        <w:rPr>
          <w:rFonts w:asciiTheme="minorHAnsi" w:eastAsiaTheme="minorHAnsi" w:hAnsiTheme="minorHAnsi" w:cstheme="minorHAnsi"/>
          <w:color w:val="auto"/>
          <w:sz w:val="22"/>
          <w:szCs w:val="22"/>
          <w:lang w:eastAsia="en-US"/>
        </w:rPr>
        <w:t xml:space="preserve"> (kwaliteitscriterium 2-3-4)</w:t>
      </w:r>
    </w:p>
    <w:p w14:paraId="2459EEF5" w14:textId="6077E3B0" w:rsidR="00670F53" w:rsidRDefault="00E2055C" w:rsidP="00670F53">
      <w:pPr>
        <w:numPr>
          <w:ilvl w:val="1"/>
          <w:numId w:val="34"/>
        </w:numPr>
        <w:autoSpaceDN/>
        <w:spacing w:after="160" w:line="240" w:lineRule="auto"/>
        <w:textAlignment w:val="auto"/>
        <w:rPr>
          <w:rFonts w:asciiTheme="minorHAnsi" w:eastAsiaTheme="minorHAnsi" w:hAnsiTheme="minorHAnsi" w:cstheme="minorHAnsi"/>
          <w:color w:val="auto"/>
          <w:sz w:val="22"/>
          <w:szCs w:val="22"/>
          <w:lang w:eastAsia="en-US"/>
        </w:rPr>
      </w:pPr>
      <w:r w:rsidRPr="00F65A63">
        <w:rPr>
          <w:rFonts w:asciiTheme="minorHAnsi" w:eastAsiaTheme="minorHAnsi" w:hAnsiTheme="minorHAnsi" w:cstheme="minorHAnsi"/>
          <w:color w:val="auto"/>
          <w:sz w:val="22"/>
          <w:szCs w:val="22"/>
          <w:lang w:eastAsia="en-US"/>
        </w:rPr>
        <w:t>O</w:t>
      </w:r>
      <w:r w:rsidR="00670F53" w:rsidRPr="00F65A63">
        <w:rPr>
          <w:rFonts w:asciiTheme="minorHAnsi" w:eastAsiaTheme="minorHAnsi" w:hAnsiTheme="minorHAnsi" w:cstheme="minorHAnsi"/>
          <w:color w:val="auto"/>
          <w:sz w:val="22"/>
          <w:szCs w:val="22"/>
          <w:lang w:eastAsia="en-US"/>
        </w:rPr>
        <w:t xml:space="preserve">verzicht van de levering </w:t>
      </w:r>
      <w:r w:rsidRPr="00F65A63">
        <w:rPr>
          <w:rFonts w:asciiTheme="minorHAnsi" w:eastAsiaTheme="minorHAnsi" w:hAnsiTheme="minorHAnsi" w:cstheme="minorHAnsi"/>
          <w:color w:val="auto"/>
          <w:sz w:val="22"/>
          <w:szCs w:val="22"/>
          <w:lang w:eastAsia="en-US"/>
        </w:rPr>
        <w:t xml:space="preserve"> op hoofdlijnen, planning met mijlpalen </w:t>
      </w:r>
      <w:r w:rsidR="00F65A63">
        <w:rPr>
          <w:rFonts w:asciiTheme="minorHAnsi" w:eastAsiaTheme="minorHAnsi" w:hAnsiTheme="minorHAnsi" w:cstheme="minorHAnsi"/>
          <w:color w:val="auto"/>
          <w:sz w:val="22"/>
          <w:szCs w:val="22"/>
          <w:lang w:eastAsia="en-US"/>
        </w:rPr>
        <w:t>etc</w:t>
      </w:r>
      <w:r w:rsidRPr="00F65A63">
        <w:rPr>
          <w:rFonts w:asciiTheme="minorHAnsi" w:eastAsiaTheme="minorHAnsi" w:hAnsiTheme="minorHAnsi" w:cstheme="minorHAnsi"/>
          <w:color w:val="auto"/>
          <w:sz w:val="22"/>
          <w:szCs w:val="22"/>
          <w:lang w:eastAsia="en-US"/>
        </w:rPr>
        <w:t>. Concretisering van implementatie e.d. na definitieve gunning.</w:t>
      </w:r>
    </w:p>
    <w:p w14:paraId="7266BF16" w14:textId="0329B525" w:rsidR="00F65A63" w:rsidRDefault="00F65A63" w:rsidP="00F65A63">
      <w:pPr>
        <w:autoSpaceDN/>
        <w:spacing w:after="160" w:line="240" w:lineRule="auto"/>
        <w:textAlignment w:val="auto"/>
        <w:rPr>
          <w:rFonts w:asciiTheme="minorHAnsi" w:eastAsiaTheme="minorHAnsi" w:hAnsiTheme="minorHAnsi" w:cstheme="minorHAnsi"/>
          <w:color w:val="auto"/>
          <w:sz w:val="22"/>
          <w:szCs w:val="22"/>
          <w:lang w:eastAsia="en-US"/>
        </w:rPr>
      </w:pPr>
    </w:p>
    <w:p w14:paraId="7216EF0E" w14:textId="77777777" w:rsidR="00F65A63" w:rsidRPr="00F65A63" w:rsidRDefault="00F65A63" w:rsidP="00F65A63">
      <w:pPr>
        <w:autoSpaceDN/>
        <w:spacing w:after="160" w:line="240" w:lineRule="auto"/>
        <w:textAlignment w:val="auto"/>
        <w:rPr>
          <w:rFonts w:asciiTheme="minorHAnsi" w:eastAsiaTheme="minorHAnsi" w:hAnsiTheme="minorHAnsi" w:cstheme="minorHAnsi"/>
          <w:color w:val="auto"/>
          <w:sz w:val="22"/>
          <w:szCs w:val="22"/>
          <w:lang w:eastAsia="en-US"/>
        </w:rPr>
      </w:pPr>
    </w:p>
    <w:p w14:paraId="293104F9" w14:textId="77777777" w:rsidR="00670F53" w:rsidRPr="0091018B" w:rsidRDefault="00670F53" w:rsidP="00670F53">
      <w:pPr>
        <w:numPr>
          <w:ilvl w:val="0"/>
          <w:numId w:val="34"/>
        </w:numPr>
        <w:autoSpaceDN/>
        <w:spacing w:after="160" w:line="240" w:lineRule="auto"/>
        <w:textAlignment w:val="auto"/>
        <w:rPr>
          <w:rFonts w:asciiTheme="minorHAnsi" w:eastAsiaTheme="minorHAnsi" w:hAnsiTheme="minorHAnsi" w:cstheme="minorHAnsi"/>
          <w:color w:val="auto"/>
          <w:sz w:val="22"/>
          <w:szCs w:val="22"/>
          <w:lang w:eastAsia="en-US"/>
        </w:rPr>
      </w:pPr>
      <w:r w:rsidRPr="0091018B">
        <w:rPr>
          <w:rFonts w:asciiTheme="minorHAnsi" w:eastAsiaTheme="minorHAnsi" w:hAnsiTheme="minorHAnsi" w:cstheme="minorHAnsi"/>
          <w:color w:val="auto"/>
          <w:sz w:val="22"/>
          <w:szCs w:val="22"/>
          <w:lang w:eastAsia="en-US"/>
        </w:rPr>
        <w:lastRenderedPageBreak/>
        <w:t>Een kostenoverzicht:</w:t>
      </w:r>
    </w:p>
    <w:p w14:paraId="5898815F" w14:textId="422E58F3" w:rsidR="00670F53" w:rsidRPr="0091018B" w:rsidRDefault="00670F53" w:rsidP="00670F53">
      <w:pPr>
        <w:numPr>
          <w:ilvl w:val="1"/>
          <w:numId w:val="34"/>
        </w:numPr>
        <w:autoSpaceDN/>
        <w:spacing w:after="160" w:line="240" w:lineRule="auto"/>
        <w:textAlignment w:val="auto"/>
        <w:rPr>
          <w:rFonts w:asciiTheme="minorHAnsi" w:eastAsiaTheme="minorHAnsi" w:hAnsiTheme="minorHAnsi" w:cstheme="minorHAnsi"/>
          <w:color w:val="auto"/>
          <w:sz w:val="22"/>
          <w:szCs w:val="22"/>
          <w:lang w:eastAsia="en-US"/>
        </w:rPr>
      </w:pPr>
      <w:r w:rsidRPr="0091018B">
        <w:rPr>
          <w:rFonts w:asciiTheme="minorHAnsi" w:eastAsiaTheme="minorHAnsi" w:hAnsiTheme="minorHAnsi" w:cstheme="minorHAnsi"/>
          <w:color w:val="auto"/>
          <w:sz w:val="22"/>
          <w:szCs w:val="22"/>
          <w:lang w:eastAsia="en-US"/>
        </w:rPr>
        <w:t>Voor de dienstverlening over een periode van 4 jaar (plus optioneel 2x</w:t>
      </w:r>
      <w:r w:rsidR="00F65A63">
        <w:rPr>
          <w:rFonts w:asciiTheme="minorHAnsi" w:eastAsiaTheme="minorHAnsi" w:hAnsiTheme="minorHAnsi" w:cstheme="minorHAnsi"/>
          <w:color w:val="auto"/>
          <w:sz w:val="22"/>
          <w:szCs w:val="22"/>
          <w:lang w:eastAsia="en-US"/>
        </w:rPr>
        <w:t xml:space="preserve"> maximaal 12 maanden</w:t>
      </w:r>
      <w:r w:rsidRPr="0091018B">
        <w:rPr>
          <w:rFonts w:asciiTheme="minorHAnsi" w:eastAsiaTheme="minorHAnsi" w:hAnsiTheme="minorHAnsi" w:cstheme="minorHAnsi"/>
          <w:color w:val="auto"/>
          <w:sz w:val="22"/>
          <w:szCs w:val="22"/>
          <w:lang w:eastAsia="en-US"/>
        </w:rPr>
        <w:t>);</w:t>
      </w:r>
    </w:p>
    <w:p w14:paraId="6DA80D33" w14:textId="77777777" w:rsidR="00670F53" w:rsidRPr="0091018B" w:rsidRDefault="00670F53" w:rsidP="00670F53">
      <w:pPr>
        <w:numPr>
          <w:ilvl w:val="1"/>
          <w:numId w:val="34"/>
        </w:numPr>
        <w:autoSpaceDN/>
        <w:spacing w:after="160" w:line="240" w:lineRule="auto"/>
        <w:textAlignment w:val="auto"/>
        <w:rPr>
          <w:rFonts w:asciiTheme="minorHAnsi" w:eastAsiaTheme="minorHAnsi" w:hAnsiTheme="minorHAnsi" w:cstheme="minorHAnsi"/>
          <w:color w:val="auto"/>
          <w:sz w:val="22"/>
          <w:szCs w:val="22"/>
          <w:lang w:eastAsia="en-US"/>
        </w:rPr>
      </w:pPr>
      <w:r w:rsidRPr="0091018B">
        <w:rPr>
          <w:rFonts w:asciiTheme="minorHAnsi" w:eastAsiaTheme="minorHAnsi" w:hAnsiTheme="minorHAnsi" w:cstheme="minorHAnsi"/>
          <w:color w:val="auto"/>
          <w:sz w:val="22"/>
          <w:szCs w:val="22"/>
          <w:lang w:eastAsia="en-US"/>
        </w:rPr>
        <w:t>Met specificatie van de kostenopbouw, inclusief uurtarieven en reiskosten indien activiteiten dienen te worden verricht die buiten de overeenkomst vallen;</w:t>
      </w:r>
    </w:p>
    <w:p w14:paraId="630F48BF" w14:textId="3681BFE0" w:rsidR="00670F53" w:rsidRPr="0091018B" w:rsidRDefault="00670F53" w:rsidP="00670F53">
      <w:pPr>
        <w:numPr>
          <w:ilvl w:val="1"/>
          <w:numId w:val="34"/>
        </w:numPr>
        <w:autoSpaceDN/>
        <w:spacing w:after="160" w:line="240" w:lineRule="auto"/>
        <w:textAlignment w:val="auto"/>
        <w:rPr>
          <w:rFonts w:asciiTheme="minorHAnsi" w:eastAsiaTheme="minorHAnsi" w:hAnsiTheme="minorHAnsi" w:cstheme="minorHAnsi"/>
          <w:color w:val="auto"/>
          <w:sz w:val="22"/>
          <w:szCs w:val="22"/>
          <w:lang w:eastAsia="en-US"/>
        </w:rPr>
      </w:pPr>
      <w:r w:rsidRPr="0091018B">
        <w:rPr>
          <w:rFonts w:asciiTheme="minorHAnsi" w:eastAsiaTheme="minorHAnsi" w:hAnsiTheme="minorHAnsi" w:cstheme="minorHAnsi"/>
          <w:color w:val="auto"/>
          <w:sz w:val="22"/>
          <w:szCs w:val="22"/>
          <w:lang w:eastAsia="en-US"/>
        </w:rPr>
        <w:t xml:space="preserve">All-in prijs op basis van 175 uur per maand en inrichtingskosten </w:t>
      </w:r>
    </w:p>
    <w:p w14:paraId="1E60EA17" w14:textId="2A3320A5" w:rsidR="00EA5438" w:rsidRDefault="00670F53" w:rsidP="00C53250">
      <w:r>
        <w:t xml:space="preserve">Verder gebruikt u de </w:t>
      </w:r>
      <w:r w:rsidR="000946A3">
        <w:t xml:space="preserve">hierna genoemde </w:t>
      </w:r>
      <w:r w:rsidR="00145AD0">
        <w:t>volledig ingevulde en recht</w:t>
      </w:r>
      <w:r w:rsidR="000946A3">
        <w:t>sgeldig ondertekende Bijlagen:</w:t>
      </w:r>
    </w:p>
    <w:p w14:paraId="567B9CD1" w14:textId="5FD4F774" w:rsidR="00EA5438" w:rsidRDefault="00EA5438" w:rsidP="00C53250"/>
    <w:tbl>
      <w:tblPr>
        <w:tblStyle w:val="Tabelraster"/>
        <w:tblW w:w="0" w:type="auto"/>
        <w:tblLook w:val="04A0" w:firstRow="1" w:lastRow="0" w:firstColumn="1" w:lastColumn="0" w:noHBand="0" w:noVBand="1"/>
      </w:tblPr>
      <w:tblGrid>
        <w:gridCol w:w="1413"/>
        <w:gridCol w:w="6571"/>
      </w:tblGrid>
      <w:tr w:rsidR="00EA5438" w:rsidRPr="00284DEE" w14:paraId="2443C1FF" w14:textId="77777777" w:rsidTr="00261233">
        <w:tc>
          <w:tcPr>
            <w:tcW w:w="7984" w:type="dxa"/>
            <w:gridSpan w:val="2"/>
            <w:shd w:val="clear" w:color="auto" w:fill="121469"/>
          </w:tcPr>
          <w:p w14:paraId="76BE55B7" w14:textId="60DE8741" w:rsidR="00EA5438" w:rsidRDefault="00EA5438" w:rsidP="00261233">
            <w:pPr>
              <w:jc w:val="center"/>
              <w:rPr>
                <w:b/>
                <w:color w:val="FFFFFF" w:themeColor="background1"/>
              </w:rPr>
            </w:pPr>
            <w:r>
              <w:rPr>
                <w:b/>
                <w:color w:val="FFFFFF" w:themeColor="background1"/>
              </w:rPr>
              <w:t>Bijlagen ten behoeve van</w:t>
            </w:r>
          </w:p>
          <w:p w14:paraId="7EEB4F07" w14:textId="77777777" w:rsidR="00EA5438" w:rsidRPr="00284DEE" w:rsidRDefault="00EA5438" w:rsidP="00261233">
            <w:pPr>
              <w:jc w:val="center"/>
              <w:rPr>
                <w:b/>
                <w:color w:val="FFFFFF" w:themeColor="background1"/>
              </w:rPr>
            </w:pPr>
            <w:r>
              <w:rPr>
                <w:b/>
                <w:color w:val="FFFFFF" w:themeColor="background1"/>
              </w:rPr>
              <w:t>het indienen van de Inschrijving</w:t>
            </w:r>
          </w:p>
        </w:tc>
      </w:tr>
      <w:tr w:rsidR="00EA5438" w:rsidRPr="00C7155E" w14:paraId="0A5A656F" w14:textId="77777777" w:rsidTr="00261233">
        <w:tc>
          <w:tcPr>
            <w:tcW w:w="7984" w:type="dxa"/>
            <w:gridSpan w:val="2"/>
          </w:tcPr>
          <w:p w14:paraId="56761041" w14:textId="77777777" w:rsidR="00EA5438" w:rsidRPr="00C7155E" w:rsidRDefault="00EA5438" w:rsidP="00261233">
            <w:pPr>
              <w:rPr>
                <w:highlight w:val="yellow"/>
              </w:rPr>
            </w:pPr>
          </w:p>
        </w:tc>
      </w:tr>
      <w:tr w:rsidR="00AF6436" w:rsidRPr="00C7155E" w14:paraId="1C740EB0" w14:textId="77777777" w:rsidTr="00AF6436">
        <w:tc>
          <w:tcPr>
            <w:tcW w:w="1413" w:type="dxa"/>
            <w:tcBorders>
              <w:bottom w:val="single" w:sz="4" w:space="0" w:color="auto"/>
              <w:right w:val="nil"/>
            </w:tcBorders>
          </w:tcPr>
          <w:p w14:paraId="1B06EE26" w14:textId="205F474D" w:rsidR="00AF6436" w:rsidRPr="00AF6436" w:rsidRDefault="00AF6436" w:rsidP="00261233">
            <w:r w:rsidRPr="00AF6436">
              <w:rPr>
                <w:b/>
              </w:rPr>
              <w:t>Bijlage 1.1</w:t>
            </w:r>
            <w:r w:rsidRPr="00AF6436">
              <w:t>:</w:t>
            </w:r>
          </w:p>
        </w:tc>
        <w:tc>
          <w:tcPr>
            <w:tcW w:w="6571" w:type="dxa"/>
            <w:tcBorders>
              <w:left w:val="nil"/>
            </w:tcBorders>
          </w:tcPr>
          <w:p w14:paraId="4C957345" w14:textId="1F6AF38E" w:rsidR="00AF6436" w:rsidRPr="00AF6436" w:rsidRDefault="00AF6436" w:rsidP="00261233">
            <w:r w:rsidRPr="00AF6436">
              <w:t>Eigen Verklaring (van de Inschrijver</w:t>
            </w:r>
            <w:r>
              <w:t>/iedere afzonderlijke combinant</w:t>
            </w:r>
            <w:r w:rsidRPr="00AF6436">
              <w:t xml:space="preserve"> en – indien van toepassing - van de Derde(n) waarop de Inschrijver een beroep doet ter zake van de Geschiktheidseisen)</w:t>
            </w:r>
          </w:p>
        </w:tc>
      </w:tr>
      <w:tr w:rsidR="00AF6436" w:rsidRPr="00C7155E" w14:paraId="3280431D" w14:textId="77777777" w:rsidTr="00AF6436">
        <w:tc>
          <w:tcPr>
            <w:tcW w:w="1413" w:type="dxa"/>
            <w:tcBorders>
              <w:bottom w:val="single" w:sz="4" w:space="0" w:color="auto"/>
              <w:right w:val="nil"/>
            </w:tcBorders>
          </w:tcPr>
          <w:p w14:paraId="50307203" w14:textId="75639E8D" w:rsidR="00AF6436" w:rsidRPr="00AF6436" w:rsidRDefault="00AF6436" w:rsidP="00261233">
            <w:r w:rsidRPr="00AF6436">
              <w:rPr>
                <w:b/>
              </w:rPr>
              <w:t>Bijlage 1.2</w:t>
            </w:r>
            <w:r w:rsidRPr="00AF6436">
              <w:t>:</w:t>
            </w:r>
          </w:p>
        </w:tc>
        <w:tc>
          <w:tcPr>
            <w:tcW w:w="6571" w:type="dxa"/>
            <w:tcBorders>
              <w:left w:val="nil"/>
            </w:tcBorders>
          </w:tcPr>
          <w:p w14:paraId="6D92C443" w14:textId="7E2B45E4" w:rsidR="00AF6436" w:rsidRPr="00AF6436" w:rsidRDefault="00AF6436" w:rsidP="00261233">
            <w:r w:rsidRPr="00AF6436">
              <w:t>Format referentieprojecten</w:t>
            </w:r>
          </w:p>
        </w:tc>
      </w:tr>
      <w:tr w:rsidR="00AF6436" w:rsidRPr="00C7155E" w14:paraId="53BAC953" w14:textId="77777777" w:rsidTr="00AF6436">
        <w:tc>
          <w:tcPr>
            <w:tcW w:w="1413" w:type="dxa"/>
            <w:tcBorders>
              <w:right w:val="nil"/>
            </w:tcBorders>
          </w:tcPr>
          <w:p w14:paraId="462B9A0E" w14:textId="119DBA7A" w:rsidR="00AF6436" w:rsidRPr="00AF6436" w:rsidRDefault="00AF6436" w:rsidP="00261233"/>
        </w:tc>
        <w:tc>
          <w:tcPr>
            <w:tcW w:w="6571" w:type="dxa"/>
            <w:tcBorders>
              <w:left w:val="nil"/>
            </w:tcBorders>
          </w:tcPr>
          <w:p w14:paraId="11C1D2A5" w14:textId="65E8EE03" w:rsidR="00AF6436" w:rsidRPr="00AF6436" w:rsidRDefault="00AF6436" w:rsidP="00261233"/>
        </w:tc>
      </w:tr>
      <w:tr w:rsidR="00EA5438" w:rsidRPr="00C7155E" w14:paraId="28FED266" w14:textId="77777777" w:rsidTr="00261233">
        <w:tc>
          <w:tcPr>
            <w:tcW w:w="7984" w:type="dxa"/>
            <w:gridSpan w:val="2"/>
          </w:tcPr>
          <w:p w14:paraId="5B09FB69" w14:textId="760C5E93" w:rsidR="00690181" w:rsidRPr="00C7155E" w:rsidRDefault="00F65A63" w:rsidP="00261233">
            <w:pPr>
              <w:rPr>
                <w:highlight w:val="yellow"/>
              </w:rPr>
            </w:pPr>
            <w:r w:rsidRPr="00383133">
              <w:t>Verder format-vrij:</w:t>
            </w:r>
          </w:p>
        </w:tc>
      </w:tr>
      <w:tr w:rsidR="00690181" w:rsidRPr="00C7155E" w14:paraId="6016500A" w14:textId="77777777" w:rsidTr="00261233">
        <w:tc>
          <w:tcPr>
            <w:tcW w:w="7984" w:type="dxa"/>
            <w:gridSpan w:val="2"/>
          </w:tcPr>
          <w:p w14:paraId="2E286E25" w14:textId="582479A9" w:rsidR="00690181" w:rsidRDefault="00F65A63" w:rsidP="00F65A63">
            <w:pPr>
              <w:pStyle w:val="Lijstalinea"/>
              <w:numPr>
                <w:ilvl w:val="0"/>
                <w:numId w:val="26"/>
              </w:numPr>
              <w:tabs>
                <w:tab w:val="left" w:pos="1245"/>
              </w:tabs>
            </w:pPr>
            <w:r>
              <w:t xml:space="preserve">Kwaliteitscriterium 1 </w:t>
            </w:r>
          </w:p>
        </w:tc>
      </w:tr>
      <w:tr w:rsidR="00F65A63" w:rsidRPr="00C7155E" w14:paraId="14C50FD5" w14:textId="77777777" w:rsidTr="00261233">
        <w:tc>
          <w:tcPr>
            <w:tcW w:w="7984" w:type="dxa"/>
            <w:gridSpan w:val="2"/>
          </w:tcPr>
          <w:p w14:paraId="07C11165" w14:textId="21C9FE86" w:rsidR="00F65A63" w:rsidRDefault="00F65A63" w:rsidP="00F65A63">
            <w:pPr>
              <w:pStyle w:val="Lijstalinea"/>
              <w:numPr>
                <w:ilvl w:val="0"/>
                <w:numId w:val="26"/>
              </w:numPr>
              <w:tabs>
                <w:tab w:val="left" w:pos="1245"/>
              </w:tabs>
            </w:pPr>
            <w:r>
              <w:t>Kwaliteitscriterium 2</w:t>
            </w:r>
          </w:p>
        </w:tc>
      </w:tr>
      <w:tr w:rsidR="00F65A63" w:rsidRPr="00C7155E" w14:paraId="0CB82068" w14:textId="77777777" w:rsidTr="00261233">
        <w:tc>
          <w:tcPr>
            <w:tcW w:w="7984" w:type="dxa"/>
            <w:gridSpan w:val="2"/>
          </w:tcPr>
          <w:p w14:paraId="42FA05AA" w14:textId="0920ECE9" w:rsidR="00F65A63" w:rsidRDefault="00F65A63" w:rsidP="00F65A63">
            <w:pPr>
              <w:pStyle w:val="Lijstalinea"/>
              <w:numPr>
                <w:ilvl w:val="0"/>
                <w:numId w:val="26"/>
              </w:numPr>
              <w:tabs>
                <w:tab w:val="left" w:pos="1245"/>
              </w:tabs>
            </w:pPr>
            <w:r>
              <w:t>Kwaliteitscriterium 3</w:t>
            </w:r>
          </w:p>
        </w:tc>
      </w:tr>
      <w:tr w:rsidR="00F65A63" w:rsidRPr="00C7155E" w14:paraId="046FF8EC" w14:textId="77777777" w:rsidTr="00261233">
        <w:tc>
          <w:tcPr>
            <w:tcW w:w="7984" w:type="dxa"/>
            <w:gridSpan w:val="2"/>
          </w:tcPr>
          <w:p w14:paraId="5EF8A8C8" w14:textId="380E5404" w:rsidR="00F65A63" w:rsidRDefault="00F65A63" w:rsidP="00F65A63">
            <w:pPr>
              <w:pStyle w:val="Lijstalinea"/>
              <w:numPr>
                <w:ilvl w:val="0"/>
                <w:numId w:val="26"/>
              </w:numPr>
              <w:tabs>
                <w:tab w:val="left" w:pos="1245"/>
              </w:tabs>
            </w:pPr>
            <w:r>
              <w:t>Kwaliteitscriterium 4</w:t>
            </w:r>
          </w:p>
        </w:tc>
      </w:tr>
      <w:tr w:rsidR="00F65A63" w:rsidRPr="00C7155E" w14:paraId="64122552" w14:textId="77777777" w:rsidTr="00261233">
        <w:tc>
          <w:tcPr>
            <w:tcW w:w="7984" w:type="dxa"/>
            <w:gridSpan w:val="2"/>
          </w:tcPr>
          <w:p w14:paraId="4DC6F0D6" w14:textId="54D0E923" w:rsidR="00F65A63" w:rsidRDefault="00F65A63" w:rsidP="00F65A63">
            <w:pPr>
              <w:pStyle w:val="Lijstalinea"/>
              <w:numPr>
                <w:ilvl w:val="0"/>
                <w:numId w:val="26"/>
              </w:numPr>
              <w:tabs>
                <w:tab w:val="left" w:pos="1723"/>
              </w:tabs>
            </w:pPr>
            <w:r>
              <w:t>Verzoeke de omschrijving voor de dienstverlening t.b.v. de verschillende kwaliteitscriteria als afzonderlijke documenten in te leveren. D</w:t>
            </w:r>
            <w:r w:rsidR="00766C3B">
              <w:t>us niet integraal verwerkt in één omschrijving. Dat onder andere om de duidelijkheid te vergroten.</w:t>
            </w:r>
          </w:p>
        </w:tc>
      </w:tr>
    </w:tbl>
    <w:p w14:paraId="799B266A" w14:textId="2C3C1944" w:rsidR="00EA5438" w:rsidRDefault="00EA5438" w:rsidP="00C53250"/>
    <w:p w14:paraId="0A471826" w14:textId="3AF843D7" w:rsidR="00BC7C76" w:rsidRDefault="00145AD0" w:rsidP="00C53250">
      <w:r>
        <w:t xml:space="preserve">De Inschrijver moet alle documenten die tot de Inschrijving behoren, uploaden </w:t>
      </w:r>
      <w:r w:rsidR="00BC7C76">
        <w:t xml:space="preserve">in het tabblad ‘Overige documenten’ in TenderNed. Uiterlijk op de datum en het tijdstip van sluiting van de inschrijvingstermijn, zoals het in het planningsschema (paragraaf </w:t>
      </w:r>
      <w:r w:rsidR="00AF6436">
        <w:t>“</w:t>
      </w:r>
      <w:r w:rsidR="00AF6436" w:rsidRPr="00AF6436">
        <w:rPr>
          <w:i/>
        </w:rPr>
        <w:t>Planning</w:t>
      </w:r>
      <w:r w:rsidR="00AF6436">
        <w:t>”)</w:t>
      </w:r>
      <w:r w:rsidR="00BC7C76">
        <w:t>, dient de Inschrijving te zijn geüpload in de digitale kluis van TenderNed.</w:t>
      </w:r>
    </w:p>
    <w:p w14:paraId="6112C316" w14:textId="1D337F9A" w:rsidR="00BC7C76" w:rsidRDefault="00BC7C76" w:rsidP="00C53250"/>
    <w:p w14:paraId="2E6988FA" w14:textId="44EF92FE" w:rsidR="00BC7C76" w:rsidRDefault="00BC7C76" w:rsidP="00C53250">
      <w:r>
        <w:t xml:space="preserve">Alleen de Inschrijvingen die de Tweede Kamer in de digitale kluis aantreft bij opening daarvan komen voor beoordeling in aanmerking. </w:t>
      </w:r>
    </w:p>
    <w:p w14:paraId="329AFAAC" w14:textId="77777777" w:rsidR="00BC7C76" w:rsidRDefault="00BC7C76" w:rsidP="00C53250"/>
    <w:p w14:paraId="5BB2EC38" w14:textId="4840248E" w:rsidR="00BC7C76" w:rsidRDefault="00BC7C76" w:rsidP="00C53250">
      <w:r>
        <w:t xml:space="preserve">Inschrijvers zijn zelf verantwoordelijk voor het op tijd en op de juiste wijze indienen van hun Inschrijving. De Tweede Kamer verwijst voor het gebruik van TenderNed </w:t>
      </w:r>
      <w:r w:rsidR="006C599F">
        <w:t xml:space="preserve">in ieder geval </w:t>
      </w:r>
      <w:r>
        <w:t xml:space="preserve">naar het ‘Stappenplan digitaal inschrijven op overheidsopdrachten via </w:t>
      </w:r>
      <w:r>
        <w:lastRenderedPageBreak/>
        <w:t xml:space="preserve">TenderNed’ en de ‘Handleiding voor ondernemers’ (eGids) die vanaf de website www.tenderned.nl kunnen worden gedownload. </w:t>
      </w:r>
    </w:p>
    <w:p w14:paraId="242A5E9D" w14:textId="615230D4" w:rsidR="006C599F" w:rsidRDefault="006C599F" w:rsidP="00C53250"/>
    <w:p w14:paraId="29280E55" w14:textId="62CB943F" w:rsidR="006C599F" w:rsidRDefault="006C599F" w:rsidP="00C53250">
      <w:r>
        <w:t xml:space="preserve">De Tweede Kamer adviseert Inschrijvers tijdig te starten met het uploaden van de documenten. Ook wijst de Tweede Kamer de Inschrijver erop dat de snelheid waarmee de Inschrijving </w:t>
      </w:r>
      <w:r w:rsidR="00A468AC">
        <w:t xml:space="preserve">feitelijk wordt verzonden kan worden beïnvloed door factoren die buiten de invloedsfeer van de Inschrijver liggen, zoals internetsnelheid en de snelheid van ontvangst van de sms-transactiecode van TenderNed die nodig is om de Inschrijving te uploaden in de digitale kluis. </w:t>
      </w:r>
    </w:p>
    <w:p w14:paraId="37033025" w14:textId="4C90CF92" w:rsidR="00A468AC" w:rsidRDefault="00A468AC" w:rsidP="00C53250"/>
    <w:p w14:paraId="6A77DEF7" w14:textId="0A9300E8" w:rsidR="00A468AC" w:rsidRDefault="00A468AC" w:rsidP="00C53250">
      <w:r>
        <w:t xml:space="preserve">Indien een Inschrijver </w:t>
      </w:r>
      <w:r w:rsidR="00AF6436">
        <w:t xml:space="preserve">kort voor het sluiten van de inschrijvingstermijn </w:t>
      </w:r>
      <w:r>
        <w:t xml:space="preserve">vanwege een storing van TenderNed hinder ondervindt bij het indienen van de Inschrijving, dient hij direct contact op te nemen met TenderNed en met de contactpersoon van de Tweede Kamer (paragraaf </w:t>
      </w:r>
      <w:r w:rsidR="00AF6436">
        <w:t>“</w:t>
      </w:r>
      <w:r w:rsidR="00AF6436" w:rsidRPr="00AF6436">
        <w:rPr>
          <w:i/>
        </w:rPr>
        <w:t>Contactpersoon</w:t>
      </w:r>
      <w:r w:rsidR="00AF6436">
        <w:t>”</w:t>
      </w:r>
      <w:r>
        <w:t xml:space="preserve">). Indien blijkt dat daadwerkelijk sprake is van een storing bij TenderNed, als gevolg waarvan de indiening van de Inschrijvingen kort voor het verstrijken van de uiterste termijn niet mogelijk is en de Tweede Kamer geen kennis heeft genomen van de Inschrijvingen die ondanks de storing wel tijdig zijn geüpload in de digitale kluis van TenderNed, zal de Tweede Kamer de termijn voor indiening van de Inschrijvingen verlengen met inachtneming van artikel 2.109 Aw. </w:t>
      </w:r>
    </w:p>
    <w:p w14:paraId="13519BF1" w14:textId="3C0C0FE0" w:rsidR="00A468AC" w:rsidRDefault="00A468AC" w:rsidP="00C53250"/>
    <w:p w14:paraId="35C9D992" w14:textId="468C8E8F" w:rsidR="001A0F24" w:rsidRDefault="00223A70" w:rsidP="00C53250">
      <w:r>
        <w:t>De Tweede Kamer adviseert Inschrijvers om ruimschoots voorafgaand aan de indiening van de Inschrijving kennis te nemen van artikel 2.109a Aw, teneinde voorbereid te zijn om in geval van storing van TenderNed tijdig de versleutelde waarde van de Inschrijving te kunnen indienen.</w:t>
      </w:r>
    </w:p>
    <w:p w14:paraId="1945E06A" w14:textId="77777777" w:rsidR="001A0F24" w:rsidRDefault="001A0F24">
      <w:pPr>
        <w:spacing w:line="240" w:lineRule="auto"/>
      </w:pPr>
      <w:r>
        <w:br w:type="page"/>
      </w:r>
    </w:p>
    <w:p w14:paraId="1BD38C9E" w14:textId="7EB2C38B" w:rsidR="001A0F24" w:rsidRDefault="001A0F24" w:rsidP="001A0F24">
      <w:pPr>
        <w:pStyle w:val="RapportKop1"/>
      </w:pPr>
      <w:bookmarkStart w:id="18" w:name="_Toc105606080"/>
      <w:r>
        <w:lastRenderedPageBreak/>
        <w:t>Beoordeling van de Inschrijvers en de Inschrijvingen</w:t>
      </w:r>
      <w:bookmarkEnd w:id="18"/>
    </w:p>
    <w:p w14:paraId="1DC65CCC" w14:textId="353863CB" w:rsidR="001A0F24" w:rsidRDefault="001A0F24" w:rsidP="001A0F24"/>
    <w:p w14:paraId="1876A8EE" w14:textId="24E57D93" w:rsidR="000152C9" w:rsidRDefault="00514505" w:rsidP="00514505">
      <w:pPr>
        <w:pStyle w:val="RapportKop2"/>
      </w:pPr>
      <w:bookmarkStart w:id="19" w:name="_Toc105606081"/>
      <w:r>
        <w:t>Beoordelingscommissie</w:t>
      </w:r>
      <w:bookmarkEnd w:id="19"/>
    </w:p>
    <w:p w14:paraId="3EB367DC" w14:textId="7F95306C" w:rsidR="000152C9" w:rsidRDefault="000152C9" w:rsidP="001A0F24">
      <w:pPr>
        <w:spacing w:line="276" w:lineRule="auto"/>
      </w:pPr>
      <w:r>
        <w:t>Een beoordelingscommissie beoordeelt de Inschrijvingen</w:t>
      </w:r>
      <w:r w:rsidR="001A0F24" w:rsidRPr="00604004">
        <w:t>.</w:t>
      </w:r>
    </w:p>
    <w:p w14:paraId="196FA522" w14:textId="77777777" w:rsidR="000152C9" w:rsidRDefault="000152C9" w:rsidP="001A0F24">
      <w:pPr>
        <w:spacing w:line="276" w:lineRule="auto"/>
      </w:pPr>
    </w:p>
    <w:p w14:paraId="59A0A6E1" w14:textId="2B20EAEA" w:rsidR="000152C9" w:rsidRDefault="000152C9" w:rsidP="001A0F24">
      <w:pPr>
        <w:spacing w:line="276" w:lineRule="auto"/>
      </w:pPr>
      <w:r>
        <w:t xml:space="preserve">De beoordelingscommissie bestaat uit </w:t>
      </w:r>
      <w:r w:rsidR="00697A2B">
        <w:t>3</w:t>
      </w:r>
      <w:r>
        <w:t xml:space="preserve"> personen. De volgende professies zijn in het beoordelingsteam vertegenwoordigd:</w:t>
      </w:r>
    </w:p>
    <w:p w14:paraId="2CF165E7" w14:textId="7E877D73" w:rsidR="000152C9" w:rsidRDefault="000152C9" w:rsidP="001A0F24">
      <w:pPr>
        <w:spacing w:line="276" w:lineRule="auto"/>
      </w:pPr>
    </w:p>
    <w:p w14:paraId="2EE497DE" w14:textId="0E5D4B60" w:rsidR="000152C9" w:rsidRDefault="00697A2B" w:rsidP="005F1E28">
      <w:pPr>
        <w:pStyle w:val="Lijstalinea"/>
        <w:numPr>
          <w:ilvl w:val="0"/>
          <w:numId w:val="17"/>
        </w:numPr>
        <w:ind w:left="714" w:hanging="357"/>
      </w:pPr>
      <w:r>
        <w:t>het diensthoofd DVR</w:t>
      </w:r>
    </w:p>
    <w:p w14:paraId="30999BEA" w14:textId="175514EF" w:rsidR="000152C9" w:rsidRDefault="00697A2B" w:rsidP="005F1E28">
      <w:pPr>
        <w:pStyle w:val="Lijstalinea"/>
        <w:numPr>
          <w:ilvl w:val="0"/>
          <w:numId w:val="17"/>
        </w:numPr>
        <w:ind w:left="714" w:hanging="357"/>
      </w:pPr>
      <w:r w:rsidRPr="00697A2B">
        <w:t>functioneel beheerder DVR</w:t>
      </w:r>
    </w:p>
    <w:p w14:paraId="5CD1F070" w14:textId="60A48F0B" w:rsidR="000152C9" w:rsidRDefault="00697A2B" w:rsidP="005F1E28">
      <w:pPr>
        <w:pStyle w:val="Lijstalinea"/>
        <w:numPr>
          <w:ilvl w:val="0"/>
          <w:numId w:val="17"/>
        </w:numPr>
        <w:ind w:left="714" w:hanging="357"/>
      </w:pPr>
      <w:r w:rsidRPr="00697A2B">
        <w:t>adviseur kwaliteit en processen DVR</w:t>
      </w:r>
    </w:p>
    <w:p w14:paraId="5DB7EE2B" w14:textId="525B52F9" w:rsidR="001A0F24" w:rsidRDefault="001A0F24" w:rsidP="001A0F24">
      <w:pPr>
        <w:spacing w:line="276" w:lineRule="auto"/>
      </w:pPr>
    </w:p>
    <w:p w14:paraId="148B0888" w14:textId="10EBEE79" w:rsidR="000152C9" w:rsidRDefault="00690181" w:rsidP="001A0F24">
      <w:pPr>
        <w:spacing w:line="276" w:lineRule="auto"/>
      </w:pPr>
      <w:r w:rsidRPr="00690181">
        <w:t>D</w:t>
      </w:r>
      <w:r w:rsidR="000152C9" w:rsidRPr="00690181">
        <w:t xml:space="preserve">e beoordelingscommissie beoordeelt de Inschrijvingen in eerste instantie zonder kennis te nemen van het financiële deel van de Inschrijving. </w:t>
      </w:r>
      <w:r w:rsidR="00DB6909" w:rsidRPr="00690181">
        <w:t>Het financiële deel van de Inschrijving wordt pas geopend nadat alle overige aspecten van de beoordeling zijn afgerond.</w:t>
      </w:r>
      <w:r w:rsidR="00DB6909">
        <w:t xml:space="preserve"> </w:t>
      </w:r>
    </w:p>
    <w:p w14:paraId="6B3C71A2" w14:textId="74878A1C" w:rsidR="00DB6909" w:rsidRDefault="00DB6909" w:rsidP="001A0F24">
      <w:pPr>
        <w:spacing w:line="276" w:lineRule="auto"/>
      </w:pPr>
    </w:p>
    <w:p w14:paraId="455084C4" w14:textId="370CB631" w:rsidR="001A0F24" w:rsidRPr="0096454E" w:rsidRDefault="00514505" w:rsidP="001A0F24">
      <w:pPr>
        <w:pStyle w:val="RapportKop2"/>
      </w:pPr>
      <w:bookmarkStart w:id="20" w:name="_Toc105606082"/>
      <w:r>
        <w:t>Beoordelingsprocedure</w:t>
      </w:r>
      <w:bookmarkEnd w:id="20"/>
    </w:p>
    <w:p w14:paraId="3D022699" w14:textId="5854E56B" w:rsidR="001A0F24" w:rsidRPr="0096454E" w:rsidRDefault="00514505" w:rsidP="001A0F24">
      <w:r>
        <w:t xml:space="preserve">De procedure van beoordeling </w:t>
      </w:r>
      <w:r w:rsidR="00B02C45">
        <w:t xml:space="preserve">van de Inschrijvingen </w:t>
      </w:r>
      <w:r>
        <w:t xml:space="preserve">staat per achtereenvolgende beoordelingsfase beschreven in de </w:t>
      </w:r>
      <w:r w:rsidR="00AF6436">
        <w:t xml:space="preserve">hiernavolgende </w:t>
      </w:r>
      <w:r>
        <w:t>hoofdstukken</w:t>
      </w:r>
      <w:r w:rsidR="00B02C45">
        <w:t>, te weten:</w:t>
      </w:r>
    </w:p>
    <w:p w14:paraId="258A5285" w14:textId="18318525" w:rsidR="00A468AC" w:rsidRDefault="00A468AC" w:rsidP="00C53250"/>
    <w:p w14:paraId="3ECD9071" w14:textId="389EAF54" w:rsidR="00514505" w:rsidRDefault="00514505" w:rsidP="00B01284">
      <w:pPr>
        <w:pStyle w:val="Lijstalinea"/>
        <w:numPr>
          <w:ilvl w:val="0"/>
          <w:numId w:val="18"/>
        </w:numPr>
      </w:pPr>
      <w:r w:rsidRPr="00AF6436">
        <w:rPr>
          <w:u w:val="single"/>
        </w:rPr>
        <w:t>Hoofdstuk 4:</w:t>
      </w:r>
      <w:r w:rsidR="00B02C45">
        <w:t xml:space="preserve"> Beoordeling op tijdige indiening, vormvereisten en compleetheid.</w:t>
      </w:r>
      <w:r w:rsidR="00DB39D0">
        <w:t xml:space="preserve"> Het niet voldoen aan één of meer van de aspecten in dit beoordelingsonderdeel leidt tot uitsluiting van verdere deelname aan de Aanbestedingsprocedure, tenzij sprake is van een geringe omissie die voor herstel in aanmerking komt.</w:t>
      </w:r>
    </w:p>
    <w:p w14:paraId="00BF0C4D" w14:textId="229933D5" w:rsidR="00514505" w:rsidRDefault="00514505" w:rsidP="00B01284">
      <w:pPr>
        <w:pStyle w:val="Lijstalinea"/>
        <w:numPr>
          <w:ilvl w:val="0"/>
          <w:numId w:val="18"/>
        </w:numPr>
      </w:pPr>
      <w:r w:rsidRPr="00AF6436">
        <w:rPr>
          <w:u w:val="single"/>
        </w:rPr>
        <w:t>Hoofdstuk 5:</w:t>
      </w:r>
      <w:r w:rsidR="00B02C45">
        <w:t xml:space="preserve"> Beoordeling op </w:t>
      </w:r>
      <w:r w:rsidR="00AF6436">
        <w:t>U</w:t>
      </w:r>
      <w:r w:rsidR="00B02C45">
        <w:t xml:space="preserve">itsluitingsgronden en </w:t>
      </w:r>
      <w:r w:rsidR="00AF6436">
        <w:t>G</w:t>
      </w:r>
      <w:r w:rsidR="00B02C45">
        <w:t xml:space="preserve">eschiktheidseisen. </w:t>
      </w:r>
      <w:r w:rsidR="00DB39D0">
        <w:t xml:space="preserve">De toepasselijkheid van één of meer </w:t>
      </w:r>
      <w:r w:rsidR="00AF6436">
        <w:t>U</w:t>
      </w:r>
      <w:r w:rsidR="00DB39D0">
        <w:t xml:space="preserve">itsluitingsgronden en/of het niet voldoen aan </w:t>
      </w:r>
      <w:r w:rsidR="00AF6436">
        <w:t>G</w:t>
      </w:r>
      <w:r w:rsidR="00DB39D0">
        <w:t>eschiktheidseisen leidt tot uitsluiting van verdere deelname aan de Aanbestedingsprocedure, tenzij sprake is van een geringe omissie die voor herstel in aanmerking komt.</w:t>
      </w:r>
    </w:p>
    <w:p w14:paraId="3C6C5AB9" w14:textId="5D531452" w:rsidR="00514505" w:rsidRDefault="00514505" w:rsidP="00B01284">
      <w:pPr>
        <w:pStyle w:val="Lijstalinea"/>
        <w:numPr>
          <w:ilvl w:val="0"/>
          <w:numId w:val="18"/>
        </w:numPr>
      </w:pPr>
      <w:r w:rsidRPr="00AF6436">
        <w:rPr>
          <w:u w:val="single"/>
        </w:rPr>
        <w:t>Hoofdstuk 6:</w:t>
      </w:r>
      <w:r w:rsidR="00B02C45">
        <w:t xml:space="preserve"> Beoordeling op de eisen die de Tweede Kamer stelt aan de uitvoering van de opdracht (Minimumeisen).</w:t>
      </w:r>
      <w:r w:rsidR="00DB39D0">
        <w:t xml:space="preserve"> Het niet voldoen aan de Minimumeisen leidt onherroepelijk tot uitsluiting van verdere deelname aan de Aanbestedingsprocedure.</w:t>
      </w:r>
    </w:p>
    <w:p w14:paraId="52A3AD89" w14:textId="77777777" w:rsidR="00C016F8" w:rsidRDefault="00B02C45" w:rsidP="00B01284">
      <w:pPr>
        <w:pStyle w:val="Lijstalinea"/>
        <w:numPr>
          <w:ilvl w:val="0"/>
          <w:numId w:val="18"/>
        </w:numPr>
      </w:pPr>
      <w:r w:rsidRPr="00AF6436">
        <w:rPr>
          <w:u w:val="single"/>
        </w:rPr>
        <w:t>Hoofdstuk 7:</w:t>
      </w:r>
      <w:r>
        <w:t xml:space="preserve"> Beoordeling aan de hand van het Gunningscriterium. D</w:t>
      </w:r>
      <w:r w:rsidR="00DB39D0">
        <w:t>it</w:t>
      </w:r>
      <w:r>
        <w:t xml:space="preserve"> onderdeel van de beoordeling </w:t>
      </w:r>
      <w:r w:rsidR="00DB39D0">
        <w:t xml:space="preserve">is bedoeld om tot een rangschikking van de Inschrijvingen te komen op basis van puntentoekenning. </w:t>
      </w:r>
    </w:p>
    <w:p w14:paraId="414CE8CC" w14:textId="3B8E06B2" w:rsidR="00C016F8" w:rsidRDefault="00B02C45" w:rsidP="00B01284">
      <w:pPr>
        <w:pStyle w:val="Lijstalinea"/>
        <w:numPr>
          <w:ilvl w:val="0"/>
          <w:numId w:val="18"/>
        </w:numPr>
      </w:pPr>
      <w:r w:rsidRPr="00C016F8">
        <w:rPr>
          <w:u w:val="single"/>
        </w:rPr>
        <w:t>Hoofdstuk 8:</w:t>
      </w:r>
      <w:r>
        <w:t xml:space="preserve"> </w:t>
      </w:r>
      <w:r w:rsidR="00C016F8">
        <w:t xml:space="preserve">Beoordeling van </w:t>
      </w:r>
    </w:p>
    <w:p w14:paraId="3E8BC39C" w14:textId="77777777" w:rsidR="00C016F8" w:rsidRDefault="00C016F8" w:rsidP="00B01284">
      <w:pPr>
        <w:pStyle w:val="Lijstalinea"/>
        <w:numPr>
          <w:ilvl w:val="1"/>
          <w:numId w:val="18"/>
        </w:numPr>
        <w:ind w:left="1505"/>
      </w:pPr>
      <w:r>
        <w:t>de stukken die de voorgenomen begunstigde moet indienen teneinde (eventuele) definitieve gunning van de Opdracht aan hem mogelijk te maken, en</w:t>
      </w:r>
    </w:p>
    <w:p w14:paraId="12DC07EC" w14:textId="77777777" w:rsidR="00C016F8" w:rsidRPr="00A060F5" w:rsidRDefault="00C016F8" w:rsidP="00B01284">
      <w:pPr>
        <w:pStyle w:val="Lijstalinea"/>
        <w:numPr>
          <w:ilvl w:val="1"/>
          <w:numId w:val="18"/>
        </w:numPr>
        <w:ind w:left="1505"/>
      </w:pPr>
      <w:r w:rsidRPr="00A060F5">
        <w:lastRenderedPageBreak/>
        <w:t xml:space="preserve">de stukken die de Inschrijver die als tweede in rang is geëindigd moet indienen, teneinde mogelijk te maken dat de Tweede Kamer (eventueel) de Wachtkamerovereenkomst met hem sluit. </w:t>
      </w:r>
    </w:p>
    <w:p w14:paraId="33AEFD27" w14:textId="4EA5003A" w:rsidR="003430ED" w:rsidRPr="00636D73" w:rsidRDefault="008530EB" w:rsidP="00B01284">
      <w:pPr>
        <w:pStyle w:val="Lijstalinea"/>
        <w:numPr>
          <w:ilvl w:val="0"/>
          <w:numId w:val="18"/>
        </w:numPr>
      </w:pPr>
      <w:r>
        <w:t>Inschrijvingen die al dan niet na verificatie onjuistheden blijken te bevatten of toezeggingen die niet (kunnen) worden waargemaakt, worden ter zijde gelegd.</w:t>
      </w:r>
      <w:r w:rsidR="003430ED" w:rsidRPr="00636D73">
        <w:rPr>
          <w:b/>
        </w:rPr>
        <w:br w:type="page"/>
      </w:r>
    </w:p>
    <w:p w14:paraId="17F8A52B" w14:textId="39FCB463" w:rsidR="003430ED" w:rsidRDefault="003430ED" w:rsidP="003430ED">
      <w:pPr>
        <w:pStyle w:val="RapportKop1"/>
        <w:spacing w:after="0"/>
      </w:pPr>
      <w:bookmarkStart w:id="21" w:name="_Toc105606083"/>
      <w:r>
        <w:lastRenderedPageBreak/>
        <w:t>Tijdige indiening, vormvereisten en compleetheid</w:t>
      </w:r>
      <w:bookmarkEnd w:id="21"/>
    </w:p>
    <w:p w14:paraId="38E52981" w14:textId="77777777" w:rsidR="003430ED" w:rsidRDefault="003430ED" w:rsidP="003430ED"/>
    <w:p w14:paraId="1B994CAE" w14:textId="0FAFBF17" w:rsidR="003430ED" w:rsidRPr="0096454E" w:rsidRDefault="003430ED" w:rsidP="003430ED">
      <w:pPr>
        <w:pStyle w:val="RapportKop2"/>
      </w:pPr>
      <w:bookmarkStart w:id="22" w:name="_Toc105606084"/>
      <w:r>
        <w:t>Tijdige indiening</w:t>
      </w:r>
      <w:bookmarkEnd w:id="22"/>
    </w:p>
    <w:p w14:paraId="1417CB40" w14:textId="575564EB" w:rsidR="003430ED" w:rsidRDefault="003430ED" w:rsidP="003430ED">
      <w:r>
        <w:t>De Inschrijver moet de Inschrijving tijdig indienen</w:t>
      </w:r>
      <w:r w:rsidRPr="0096454E">
        <w:t>.</w:t>
      </w:r>
      <w:r>
        <w:t xml:space="preserve"> Niet tijdig ingediende Inschrijvingen komen niet </w:t>
      </w:r>
      <w:r w:rsidR="00C630D3">
        <w:t>in aanmerking voor beoordeling.</w:t>
      </w:r>
    </w:p>
    <w:p w14:paraId="4921E8B1" w14:textId="77777777" w:rsidR="003430ED" w:rsidRPr="0096454E" w:rsidRDefault="003430ED" w:rsidP="003430ED"/>
    <w:p w14:paraId="1EF54403" w14:textId="4F56DABA" w:rsidR="00C630D3" w:rsidRPr="0096454E" w:rsidRDefault="00C630D3" w:rsidP="00C630D3">
      <w:pPr>
        <w:pStyle w:val="RapportKop2"/>
      </w:pPr>
      <w:bookmarkStart w:id="23" w:name="_Toc105606085"/>
      <w:r>
        <w:t>Vormvereisten en compleetheid</w:t>
      </w:r>
      <w:bookmarkEnd w:id="23"/>
    </w:p>
    <w:p w14:paraId="423EF8D6" w14:textId="476A4299" w:rsidR="00C630D3" w:rsidRDefault="00C630D3" w:rsidP="00C630D3">
      <w:r>
        <w:t>De Inschrijving moet voldoen aan de vormvereisten zoals vermeld in de Aanbestedingsstukken. Bovendien dient de Inschrijving alle onderdelen te bevatten, zoals vereist op grond van de Aanbestedingsstukken.</w:t>
      </w:r>
    </w:p>
    <w:p w14:paraId="5289CB3C" w14:textId="3ED30C0C" w:rsidR="00C630D3" w:rsidRDefault="00C630D3" w:rsidP="00C630D3"/>
    <w:p w14:paraId="41820F29" w14:textId="6E8BDF32" w:rsidR="00C630D3" w:rsidRDefault="00C630D3" w:rsidP="00C630D3">
      <w:r>
        <w:t>Inschrijvingen die niet voldoen aan de vormvereisten (waaronder de aanbestedingsvoorwaarden in paragraaf 2.2) en/of die niet alle onderdelen/documenten bevatten die vereist zijn op grond van de Aanbestedingsstukken zijn ongeldig. Ongeldige Inschrijvingen legt de Tweede Kamer ter zijde, tenzij sprake is van een herstelbare omissie.</w:t>
      </w:r>
    </w:p>
    <w:p w14:paraId="4DD7221D" w14:textId="2D27639C" w:rsidR="00EE6C97" w:rsidRDefault="00EE6C97" w:rsidP="001B31F1">
      <w:pPr>
        <w:rPr>
          <w:b/>
          <w:color w:val="auto"/>
        </w:rPr>
      </w:pPr>
    </w:p>
    <w:p w14:paraId="5B251E41" w14:textId="77777777" w:rsidR="0091018B" w:rsidRDefault="0091018B" w:rsidP="001B31F1">
      <w:pPr>
        <w:rPr>
          <w:b/>
          <w:color w:val="auto"/>
        </w:rPr>
      </w:pPr>
    </w:p>
    <w:p w14:paraId="151AFBEA" w14:textId="77777777" w:rsidR="007C7B39" w:rsidRPr="00A0682A" w:rsidRDefault="007C7B39" w:rsidP="004C3D12">
      <w:pPr>
        <w:pStyle w:val="RapportKop1"/>
        <w:spacing w:after="0"/>
      </w:pPr>
      <w:bookmarkStart w:id="24" w:name="_Toc105606086"/>
      <w:r w:rsidRPr="00A0682A">
        <w:lastRenderedPageBreak/>
        <w:t>Uitsluitingsgronden en Geschiktheidseisen</w:t>
      </w:r>
      <w:bookmarkEnd w:id="24"/>
    </w:p>
    <w:p w14:paraId="473F0577" w14:textId="111437BE" w:rsidR="007C7B39" w:rsidRDefault="007C7B39" w:rsidP="007C7B39"/>
    <w:p w14:paraId="79B0944B" w14:textId="77777777" w:rsidR="007C7B39" w:rsidRPr="0096454E" w:rsidRDefault="007C7B39" w:rsidP="0096454E">
      <w:pPr>
        <w:pStyle w:val="RapportKop2"/>
      </w:pPr>
      <w:bookmarkStart w:id="25" w:name="_Toc105606087"/>
      <w:r w:rsidRPr="0096454E">
        <w:t>Uitsluitingsgronden</w:t>
      </w:r>
      <w:bookmarkEnd w:id="25"/>
    </w:p>
    <w:p w14:paraId="67EE9900" w14:textId="77777777" w:rsidR="00615F82" w:rsidRDefault="00615F82" w:rsidP="00615F82">
      <w:r>
        <w:t xml:space="preserve">De Tweede Kamer beoordeelt of Uitsluitingsgronden van toepassing zijn op de Inschrijver. Indien één of meer Uitsluitingsgronden van toepassing zijn op de Inschrijver, wordt de Inschrijver uitgesloten van deelneming aan de Aanbestedingsprocedure. </w:t>
      </w:r>
    </w:p>
    <w:p w14:paraId="4066F470" w14:textId="77777777" w:rsidR="00615F82" w:rsidRDefault="00615F82" w:rsidP="00615F82"/>
    <w:p w14:paraId="6F539A56" w14:textId="77777777" w:rsidR="00615F82" w:rsidRDefault="00615F82" w:rsidP="00615F82">
      <w:r>
        <w:t xml:space="preserve">Indien de Inschrijver een Combinatie is en een Uitsluitingsgrond is van toepassing op een combinant, dan wordt de Combinatie als geheel uitgesloten van de Aanbestedingsprocedure. </w:t>
      </w:r>
    </w:p>
    <w:p w14:paraId="4ED275BE" w14:textId="77777777" w:rsidR="00615F82" w:rsidRDefault="00615F82" w:rsidP="00615F82"/>
    <w:p w14:paraId="14ADDB27" w14:textId="4EC48681" w:rsidR="00700052" w:rsidRDefault="00615F82" w:rsidP="0096454E">
      <w:r>
        <w:t>Indien de Inschrijver een beroep doet op de geschiktheid van een Derde</w:t>
      </w:r>
      <w:r w:rsidR="00B756EA">
        <w:t xml:space="preserve"> (zie paragraaf </w:t>
      </w:r>
      <w:r w:rsidR="009A54BD">
        <w:t>“</w:t>
      </w:r>
      <w:r w:rsidR="009A54BD" w:rsidRPr="009A54BD">
        <w:rPr>
          <w:i/>
        </w:rPr>
        <w:t>Aanbestedingsvoorschriften</w:t>
      </w:r>
      <w:r w:rsidR="009A54BD">
        <w:t>”</w:t>
      </w:r>
      <w:r w:rsidR="00B756EA">
        <w:t xml:space="preserve"> onder</w:t>
      </w:r>
      <w:r w:rsidR="009A54BD">
        <w:t xml:space="preserve"> het kopje “</w:t>
      </w:r>
      <w:r w:rsidR="009A54BD" w:rsidRPr="009A54BD">
        <w:rPr>
          <w:i/>
        </w:rPr>
        <w:t>Beroep op Derde(n)</w:t>
      </w:r>
      <w:r w:rsidR="009A54BD">
        <w:t>”</w:t>
      </w:r>
      <w:r w:rsidR="00B756EA">
        <w:t>), en een Uitsluitingsgrond van toepassing is op de Derde, dan wijst de Aanbestedende Dienst het beroep op de geschiktheid van de Derde af</w:t>
      </w:r>
      <w:r w:rsidR="00A554C5">
        <w:t>.</w:t>
      </w:r>
    </w:p>
    <w:p w14:paraId="27CB4986" w14:textId="77777777" w:rsidR="00700052" w:rsidRDefault="00700052" w:rsidP="0096454E"/>
    <w:p w14:paraId="1FD319E4" w14:textId="38A93DC4" w:rsidR="00700052" w:rsidRPr="002A6193" w:rsidRDefault="00700052" w:rsidP="00656697">
      <w:pPr>
        <w:pStyle w:val="Default"/>
        <w:adjustRightInd/>
        <w:spacing w:line="283" w:lineRule="exact"/>
        <w:ind w:left="708"/>
        <w:rPr>
          <w:rFonts w:ascii="Verdana" w:hAnsi="Verdana"/>
          <w:b/>
          <w:bCs/>
          <w:color w:val="121469"/>
          <w:sz w:val="18"/>
          <w:szCs w:val="18"/>
        </w:rPr>
      </w:pPr>
      <w:r w:rsidRPr="002A6193">
        <w:rPr>
          <w:rFonts w:ascii="Verdana" w:hAnsi="Verdana"/>
          <w:b/>
          <w:bCs/>
          <w:color w:val="121469"/>
          <w:sz w:val="18"/>
          <w:szCs w:val="18"/>
        </w:rPr>
        <w:t>Bewijs</w:t>
      </w:r>
      <w:r w:rsidR="00C20C56" w:rsidRPr="002A6193">
        <w:rPr>
          <w:rFonts w:ascii="Verdana" w:hAnsi="Verdana"/>
          <w:b/>
          <w:bCs/>
          <w:color w:val="121469"/>
          <w:sz w:val="18"/>
          <w:szCs w:val="18"/>
        </w:rPr>
        <w:t xml:space="preserve"> bij inschrijving</w:t>
      </w:r>
    </w:p>
    <w:p w14:paraId="1B6CC717" w14:textId="2795095C" w:rsidR="00C20C56" w:rsidRDefault="00615F82" w:rsidP="00656697">
      <w:pPr>
        <w:ind w:left="708"/>
      </w:pPr>
      <w:r>
        <w:t xml:space="preserve">De Inschrijver verklaart in zijn Inschrijving of Uitsluitingsgronden al dan niet op hem van toepassing zijn. Die verklaring legt de Inschrijver af door een volledig ingevulde en rechtsgeldig ondertekende Eigen Verklaring </w:t>
      </w:r>
      <w:r w:rsidR="009A54BD">
        <w:t xml:space="preserve">(zie gelijknamige Bijlage) </w:t>
      </w:r>
      <w:r>
        <w:t>in te dienen als onderdeel van zijn Inschrijving.</w:t>
      </w:r>
      <w:r w:rsidR="00C20C56">
        <w:t xml:space="preserve"> Indien sprake is van een Combinatie, dient de Combinatie een volledig ingevulde en rechtsgeldig ondertekende Eigen Verklaring in te dienen van iedere afzonderlijke combinant.</w:t>
      </w:r>
    </w:p>
    <w:p w14:paraId="703CA85D" w14:textId="21F63FEF" w:rsidR="00C20C56" w:rsidRDefault="00C20C56" w:rsidP="00656697">
      <w:pPr>
        <w:ind w:left="708"/>
      </w:pPr>
    </w:p>
    <w:p w14:paraId="7EFF7F0C" w14:textId="0FF65FD3" w:rsidR="00C20C56" w:rsidRDefault="00C20C56" w:rsidP="00656697">
      <w:pPr>
        <w:ind w:left="708"/>
      </w:pPr>
      <w:r>
        <w:t>Indien de Inschrijver een beroep doet op de geschiktheid van (een) Derde(n), dient de Inschrijver tevens een volledig ingevulde en rechtsgeldig ondertekende Eigen Verklaring in van de Derde(n).</w:t>
      </w:r>
    </w:p>
    <w:p w14:paraId="7456AFD8" w14:textId="71703CE4" w:rsidR="00700052" w:rsidRDefault="00700052" w:rsidP="00656697">
      <w:pPr>
        <w:ind w:left="708"/>
      </w:pPr>
    </w:p>
    <w:p w14:paraId="79DCF30E" w14:textId="1A9CE6A0" w:rsidR="00700052" w:rsidRDefault="00700052" w:rsidP="00656697">
      <w:pPr>
        <w:ind w:left="708"/>
      </w:pPr>
      <w:r>
        <w:t xml:space="preserve">De Tweede Kamer beoordeelt (in eerste instantie) op basis van de Eigen Verklaring van de Inschrijver, dan wel de Eigen Verklaringen van iedere afzonderlijke combinant, of Uitsluitingsgronden op de Inschrijver van toepassing zijn. </w:t>
      </w:r>
      <w:r w:rsidR="00C20C56">
        <w:t xml:space="preserve">Op basis van de Eigen Verklaring(en) van de Derde(n) beoordeelt de Tweede Kamer of Uitsluitingsgronden van toepassing zijn op de Derde(n). </w:t>
      </w:r>
    </w:p>
    <w:p w14:paraId="4666338B" w14:textId="701B8D4C" w:rsidR="00615F82" w:rsidRDefault="00615F82" w:rsidP="00656697">
      <w:pPr>
        <w:ind w:left="708"/>
      </w:pPr>
    </w:p>
    <w:p w14:paraId="7666B9BF" w14:textId="77777777" w:rsidR="00C20C56" w:rsidRPr="002A6193" w:rsidRDefault="00C20C56" w:rsidP="00656697">
      <w:pPr>
        <w:pStyle w:val="Default"/>
        <w:adjustRightInd/>
        <w:spacing w:line="283" w:lineRule="exact"/>
        <w:ind w:left="708"/>
        <w:rPr>
          <w:rFonts w:ascii="Verdana" w:hAnsi="Verdana"/>
          <w:b/>
          <w:bCs/>
          <w:color w:val="121469"/>
          <w:sz w:val="18"/>
          <w:szCs w:val="18"/>
        </w:rPr>
      </w:pPr>
      <w:r w:rsidRPr="002A6193">
        <w:rPr>
          <w:rFonts w:ascii="Verdana" w:hAnsi="Verdana"/>
          <w:b/>
          <w:bCs/>
          <w:color w:val="121469"/>
          <w:sz w:val="18"/>
          <w:szCs w:val="18"/>
        </w:rPr>
        <w:t>Bewijs door de voorgenomen begunstigde</w:t>
      </w:r>
    </w:p>
    <w:p w14:paraId="023C3ABF" w14:textId="4185AE31" w:rsidR="00C20C56" w:rsidRDefault="00C20C56" w:rsidP="00656697">
      <w:pPr>
        <w:ind w:left="708"/>
      </w:pPr>
      <w:r>
        <w:t>De Inschrijver waaraan de Tweede Kamer de opdracht beoogt te gunnen, levert op verzoek van de Tweede Kamer bewijsstukken aan waarmee hij het verklaarde in de Eigen Verklaring(en) (van de In</w:t>
      </w:r>
      <w:r w:rsidR="00906F16">
        <w:t>schrijver / de combinanten en – indien van toepassing –</w:t>
      </w:r>
      <w:r>
        <w:t xml:space="preserve"> </w:t>
      </w:r>
      <w:r w:rsidR="00906F16">
        <w:t xml:space="preserve">de </w:t>
      </w:r>
      <w:r>
        <w:t xml:space="preserve">Derde(n)) aantoont. De Inschrijver moet de </w:t>
      </w:r>
      <w:r>
        <w:lastRenderedPageBreak/>
        <w:t>bewijsstukken indienen binnen de</w:t>
      </w:r>
      <w:r w:rsidR="009A54BD">
        <w:t xml:space="preserve"> termijn die daarvoor is gesteld</w:t>
      </w:r>
      <w:r>
        <w:t xml:space="preserve"> in hoofdstuk</w:t>
      </w:r>
      <w:r w:rsidR="009A54BD">
        <w:t xml:space="preserve"> “</w:t>
      </w:r>
      <w:r w:rsidR="009A54BD" w:rsidRPr="009A54BD">
        <w:rPr>
          <w:i/>
        </w:rPr>
        <w:t>Verificatie van de Inschrijving van de voorgenomen begunstigde(n)</w:t>
      </w:r>
      <w:r w:rsidR="009A54BD">
        <w:t>”</w:t>
      </w:r>
      <w:r>
        <w:t>.</w:t>
      </w:r>
    </w:p>
    <w:p w14:paraId="64B8C1BA" w14:textId="77777777" w:rsidR="00C20C56" w:rsidRDefault="00C20C56" w:rsidP="0096454E"/>
    <w:p w14:paraId="246F69BB" w14:textId="55F7273E" w:rsidR="00615F82" w:rsidRDefault="00906F16" w:rsidP="00656697">
      <w:pPr>
        <w:ind w:left="360"/>
      </w:pPr>
      <w:r>
        <w:t xml:space="preserve">Het betreft de volgende bewijsstukken </w:t>
      </w:r>
      <w:r w:rsidRPr="00906F16">
        <w:t xml:space="preserve">van de Inschrijver / </w:t>
      </w:r>
      <w:r>
        <w:t>alle afzonderlijke</w:t>
      </w:r>
      <w:r w:rsidRPr="00906F16">
        <w:t xml:space="preserve"> combinanten en – indien van toepassing – de Derde(n)</w:t>
      </w:r>
      <w:r>
        <w:t>:</w:t>
      </w:r>
    </w:p>
    <w:p w14:paraId="76CC372C" w14:textId="1D72002F" w:rsidR="00906F16" w:rsidRDefault="00C44DF0" w:rsidP="00B01284">
      <w:pPr>
        <w:pStyle w:val="Lijstalinea"/>
        <w:numPr>
          <w:ilvl w:val="0"/>
          <w:numId w:val="18"/>
        </w:numPr>
        <w:ind w:left="1080"/>
      </w:pPr>
      <w:r>
        <w:t>(</w:t>
      </w:r>
      <w:r w:rsidR="00906F16">
        <w:t>een</w:t>
      </w:r>
      <w:r>
        <w:t>)</w:t>
      </w:r>
      <w:r w:rsidR="00906F16">
        <w:t xml:space="preserve"> uittreksel</w:t>
      </w:r>
      <w:r>
        <w:t>(s)</w:t>
      </w:r>
      <w:r w:rsidR="00906F16">
        <w:t xml:space="preserve"> uit het handelsregister van de Kamer van Koophandel, dat</w:t>
      </w:r>
      <w:r>
        <w:t>/die</w:t>
      </w:r>
      <w:r w:rsidR="00906F16">
        <w:t xml:space="preserve"> op het moment van indiening van de Inschrijving niet ouder is</w:t>
      </w:r>
      <w:r>
        <w:t>/zijn</w:t>
      </w:r>
      <w:r w:rsidR="00906F16">
        <w:t xml:space="preserve"> dan zes maanden;</w:t>
      </w:r>
    </w:p>
    <w:p w14:paraId="4CCE6CC2" w14:textId="1B17B84C" w:rsidR="00906F16" w:rsidRDefault="00C44DF0" w:rsidP="00B01284">
      <w:pPr>
        <w:pStyle w:val="Lijstalinea"/>
        <w:numPr>
          <w:ilvl w:val="0"/>
          <w:numId w:val="18"/>
        </w:numPr>
        <w:ind w:left="1080"/>
      </w:pPr>
      <w:r>
        <w:t>(</w:t>
      </w:r>
      <w:r w:rsidR="00906F16">
        <w:t>een</w:t>
      </w:r>
      <w:r>
        <w:t>)</w:t>
      </w:r>
      <w:r w:rsidR="00906F16">
        <w:t xml:space="preserve"> gedragsverklaring</w:t>
      </w:r>
      <w:r>
        <w:t>(en)</w:t>
      </w:r>
      <w:r w:rsidR="00906F16">
        <w:t xml:space="preserve"> aanbesteden, die op het moment van indiening van de Inschrijving niet ouder is</w:t>
      </w:r>
      <w:r>
        <w:t>/zijn</w:t>
      </w:r>
      <w:r w:rsidR="00906F16">
        <w:t xml:space="preserve"> dan </w:t>
      </w:r>
      <w:r w:rsidR="00BC117C">
        <w:t>twee jaar</w:t>
      </w:r>
      <w:r w:rsidR="00906F16">
        <w:t>. De Inschrijver/combinanten/Derde(n) kunnen de gedragsverklaring aanbesteden aanvragen via de website van Justis (</w:t>
      </w:r>
      <w:hyperlink r:id="rId18" w:history="1">
        <w:r w:rsidR="00906F16" w:rsidRPr="006318FE">
          <w:rPr>
            <w:rStyle w:val="Hyperlink"/>
          </w:rPr>
          <w:t>www.justis.nl</w:t>
        </w:r>
      </w:hyperlink>
      <w:r w:rsidR="00906F16">
        <w:t xml:space="preserve">); </w:t>
      </w:r>
    </w:p>
    <w:p w14:paraId="26C5EA8E" w14:textId="09298CA1" w:rsidR="00906F16" w:rsidRDefault="00C44DF0" w:rsidP="00B01284">
      <w:pPr>
        <w:pStyle w:val="Lijstalinea"/>
        <w:numPr>
          <w:ilvl w:val="0"/>
          <w:numId w:val="18"/>
        </w:numPr>
        <w:ind w:left="1080"/>
      </w:pPr>
      <w:r>
        <w:t>(</w:t>
      </w:r>
      <w:r w:rsidR="00906F16">
        <w:t>een</w:t>
      </w:r>
      <w:r>
        <w:t>)</w:t>
      </w:r>
      <w:r w:rsidR="00906F16">
        <w:t xml:space="preserve"> ve</w:t>
      </w:r>
      <w:r>
        <w:t xml:space="preserve">rklaring(en) van de belastingdienst, waarmee wordt aangetoond dat de Inschrijver/combinanten/Derde(n) heeft/hebben voldaan aan zijn/hun verplichtingen op grond van de wettelijke bepalingen met betrekking tot betaling van sociale zekerheidspremies of belastingen. De verklaring(en) van de belastingdienst mag/mogen niet ouder zijn dan zes maanden vanaf het moment van indiening van de Inschrijving. </w:t>
      </w:r>
    </w:p>
    <w:p w14:paraId="4599F27E" w14:textId="7CB673BD" w:rsidR="00615F82" w:rsidRDefault="00615F82" w:rsidP="0096454E"/>
    <w:p w14:paraId="7E830E3F" w14:textId="67834549" w:rsidR="00BC117C" w:rsidRDefault="00BC117C" w:rsidP="0096454E">
      <w:r>
        <w:t xml:space="preserve">Het verkrijgen van sommige bewijsstukken kan soms enkele weken duren. Daarom adviseert de Tweede Kamer Inschrijvers/combinanten de genoemde bewijsstukken zo snel mogelijk aan te vragen. Overigens is de Inschrijver die een beroep doet op een Derde(n) zelf verantwoordelijk voor de tijdige indiening van de bewijsstukken </w:t>
      </w:r>
      <w:r w:rsidR="00844F11">
        <w:t>van de Derde(n). Het niet of te laat indienen van de bewijsstukken waar om de Tweede Kamer de Inschrijver heeft verzocht, leidt tot uitsluiting van de Inschrijver van de Aanbestedingsprocedure.</w:t>
      </w:r>
    </w:p>
    <w:p w14:paraId="433ADB22" w14:textId="30C37296" w:rsidR="007C7B39" w:rsidRPr="0096454E" w:rsidRDefault="007C7B39" w:rsidP="0096454E">
      <w:pPr>
        <w:rPr>
          <w:b/>
        </w:rPr>
      </w:pPr>
    </w:p>
    <w:p w14:paraId="432641A8" w14:textId="77777777" w:rsidR="007C7B39" w:rsidRPr="0096454E" w:rsidRDefault="007C7B39" w:rsidP="0096454E">
      <w:pPr>
        <w:pStyle w:val="RapportKop2"/>
      </w:pPr>
      <w:bookmarkStart w:id="26" w:name="_Toc105606088"/>
      <w:r w:rsidRPr="0096454E">
        <w:t>Geschiktheidseisen</w:t>
      </w:r>
      <w:bookmarkEnd w:id="26"/>
    </w:p>
    <w:p w14:paraId="6DC88B80" w14:textId="04F4B7DD" w:rsidR="002274EA" w:rsidRDefault="00E054F1" w:rsidP="0096454E">
      <w:r>
        <w:t>De Tweede Kamer beoordeelt of de Inschrijver voldoet aan de Geschiktheidseisen.</w:t>
      </w:r>
      <w:r w:rsidR="009203A9">
        <w:t xml:space="preserve"> Indien de Inschrijver zelf niet voldoet aan (de) Geschiktheidseisen en daarvoor een beroep doet op (een) Derde(n), beoordeelt de Tweede Kamer of de Derde(n) voldoet/voldoen aan de Geschiktheidseisen</w:t>
      </w:r>
      <w:r w:rsidR="002A6193">
        <w:t>.</w:t>
      </w:r>
      <w:r w:rsidR="009203A9">
        <w:t xml:space="preserve"> </w:t>
      </w:r>
      <w:r w:rsidR="002A6193" w:rsidRPr="002A6193">
        <w:t>In geval van een beroep op (een) Derde(n) dient de Insch</w:t>
      </w:r>
      <w:r w:rsidR="002A6193">
        <w:t xml:space="preserve">rijver te voldoen aan de eisen en instructies </w:t>
      </w:r>
      <w:r w:rsidR="002A6193" w:rsidRPr="002A6193">
        <w:t>zoals ge</w:t>
      </w:r>
      <w:r w:rsidR="00CC5C07">
        <w:t>noemd in paragraaf “</w:t>
      </w:r>
      <w:r w:rsidR="00CC5C07" w:rsidRPr="00CC5C07">
        <w:rPr>
          <w:i/>
        </w:rPr>
        <w:t>Aanbestedingsvoorschriften</w:t>
      </w:r>
      <w:r w:rsidR="00CC5C07">
        <w:t>”</w:t>
      </w:r>
      <w:r w:rsidR="002A6193" w:rsidRPr="002A6193">
        <w:t xml:space="preserve"> onder</w:t>
      </w:r>
      <w:r w:rsidR="00CC5C07">
        <w:t xml:space="preserve"> het kopje “</w:t>
      </w:r>
      <w:r w:rsidR="00CC5C07" w:rsidRPr="00CC5C07">
        <w:rPr>
          <w:i/>
        </w:rPr>
        <w:t>Beroep op Derde(n)</w:t>
      </w:r>
      <w:r w:rsidR="00CC5C07">
        <w:t>”.</w:t>
      </w:r>
      <w:r w:rsidR="002A6193" w:rsidRPr="002A6193">
        <w:t xml:space="preserve"> </w:t>
      </w:r>
    </w:p>
    <w:p w14:paraId="07905EBE" w14:textId="77777777" w:rsidR="002274EA" w:rsidRDefault="002274EA" w:rsidP="0096454E"/>
    <w:p w14:paraId="4D7C0FFF" w14:textId="0550934F" w:rsidR="00E054F1" w:rsidRDefault="004723D9" w:rsidP="0096454E">
      <w:r>
        <w:t>De Tweede Kamer stelt de volgende Geschiktheidseisen:</w:t>
      </w:r>
    </w:p>
    <w:tbl>
      <w:tblPr>
        <w:tblStyle w:val="Tabelraster"/>
        <w:tblW w:w="0" w:type="auto"/>
        <w:tblLook w:val="04A0" w:firstRow="1" w:lastRow="0" w:firstColumn="1" w:lastColumn="0" w:noHBand="0" w:noVBand="1"/>
      </w:tblPr>
      <w:tblGrid>
        <w:gridCol w:w="4815"/>
        <w:gridCol w:w="3169"/>
      </w:tblGrid>
      <w:tr w:rsidR="00130596" w14:paraId="6288DDDC" w14:textId="77777777" w:rsidTr="00130596">
        <w:tc>
          <w:tcPr>
            <w:tcW w:w="4815" w:type="dxa"/>
            <w:shd w:val="clear" w:color="auto" w:fill="2F5496" w:themeFill="accent5" w:themeFillShade="BF"/>
          </w:tcPr>
          <w:p w14:paraId="134ECF4F" w14:textId="5B056186" w:rsidR="00130596" w:rsidRPr="00130596" w:rsidRDefault="00130596" w:rsidP="00130596">
            <w:pPr>
              <w:rPr>
                <w:b/>
                <w:bCs/>
                <w:color w:val="FFFFFF" w:themeColor="background1"/>
              </w:rPr>
            </w:pPr>
            <w:r w:rsidRPr="00130596">
              <w:rPr>
                <w:b/>
                <w:bCs/>
                <w:color w:val="FFFFFF" w:themeColor="background1"/>
              </w:rPr>
              <w:t>Paragraaf</w:t>
            </w:r>
          </w:p>
        </w:tc>
        <w:tc>
          <w:tcPr>
            <w:tcW w:w="3169" w:type="dxa"/>
            <w:shd w:val="clear" w:color="auto" w:fill="2F5496" w:themeFill="accent5" w:themeFillShade="BF"/>
          </w:tcPr>
          <w:p w14:paraId="5173CCE9" w14:textId="01C673CE" w:rsidR="00130596" w:rsidRPr="00130596" w:rsidRDefault="00130596" w:rsidP="0096454E">
            <w:pPr>
              <w:rPr>
                <w:b/>
                <w:bCs/>
                <w:color w:val="FFFFFF" w:themeColor="background1"/>
              </w:rPr>
            </w:pPr>
            <w:r w:rsidRPr="00130596">
              <w:rPr>
                <w:b/>
                <w:bCs/>
                <w:color w:val="FFFFFF" w:themeColor="background1"/>
              </w:rPr>
              <w:t>Geschiktheidseis</w:t>
            </w:r>
          </w:p>
        </w:tc>
      </w:tr>
      <w:tr w:rsidR="00130596" w14:paraId="5E821EF8" w14:textId="77777777" w:rsidTr="00130596">
        <w:tc>
          <w:tcPr>
            <w:tcW w:w="4815" w:type="dxa"/>
          </w:tcPr>
          <w:p w14:paraId="5AE00788" w14:textId="7A0E74AD" w:rsidR="00130596" w:rsidRDefault="00130596" w:rsidP="0096454E">
            <w:r>
              <w:t>5.2.1 Financiële en economische draagkracht</w:t>
            </w:r>
          </w:p>
        </w:tc>
        <w:tc>
          <w:tcPr>
            <w:tcW w:w="3169" w:type="dxa"/>
          </w:tcPr>
          <w:p w14:paraId="5F8DD06F" w14:textId="6E9244BA" w:rsidR="005E4AFF" w:rsidRDefault="00130596" w:rsidP="00825F20">
            <w:r>
              <w:t xml:space="preserve">1 </w:t>
            </w:r>
            <w:r w:rsidR="00825F20">
              <w:t>–</w:t>
            </w:r>
            <w:r>
              <w:t xml:space="preserve"> Verzekering</w:t>
            </w:r>
          </w:p>
        </w:tc>
      </w:tr>
      <w:tr w:rsidR="00130596" w14:paraId="25584C9B" w14:textId="77777777" w:rsidTr="00130596">
        <w:trPr>
          <w:trHeight w:val="849"/>
        </w:trPr>
        <w:tc>
          <w:tcPr>
            <w:tcW w:w="4815" w:type="dxa"/>
          </w:tcPr>
          <w:p w14:paraId="5B05D17E" w14:textId="77777777" w:rsidR="00130596" w:rsidRDefault="00130596" w:rsidP="0096454E">
            <w:r>
              <w:t>5.2.2 Technische- en beroepsbekwaamheid</w:t>
            </w:r>
          </w:p>
          <w:p w14:paraId="114AEE69" w14:textId="0942C144" w:rsidR="00130596" w:rsidRDefault="00130596" w:rsidP="0096454E">
            <w:r>
              <w:t xml:space="preserve"> </w:t>
            </w:r>
          </w:p>
        </w:tc>
        <w:tc>
          <w:tcPr>
            <w:tcW w:w="3169" w:type="dxa"/>
          </w:tcPr>
          <w:p w14:paraId="16C9F5A3" w14:textId="6FF95CA8" w:rsidR="00130596" w:rsidRDefault="00825F20" w:rsidP="0096454E">
            <w:r>
              <w:t>2</w:t>
            </w:r>
            <w:r w:rsidR="00130596">
              <w:t xml:space="preserve"> - Referentieopdrach</w:t>
            </w:r>
            <w:r w:rsidR="00130596" w:rsidRPr="006C43E8">
              <w:t>ten</w:t>
            </w:r>
          </w:p>
          <w:p w14:paraId="02A8EB52" w14:textId="327165DC" w:rsidR="00130596" w:rsidRDefault="00130596" w:rsidP="005961C8"/>
        </w:tc>
      </w:tr>
      <w:tr w:rsidR="00130596" w14:paraId="4F1D410B" w14:textId="77777777" w:rsidTr="00130596">
        <w:tc>
          <w:tcPr>
            <w:tcW w:w="4815" w:type="dxa"/>
          </w:tcPr>
          <w:p w14:paraId="28519861" w14:textId="1E238A9C" w:rsidR="00130596" w:rsidRDefault="00130596" w:rsidP="00130596">
            <w:r>
              <w:t>5.2.3 Beroepsbevoegdheid</w:t>
            </w:r>
          </w:p>
        </w:tc>
        <w:tc>
          <w:tcPr>
            <w:tcW w:w="3169" w:type="dxa"/>
          </w:tcPr>
          <w:p w14:paraId="5D4F87E5" w14:textId="16179E91" w:rsidR="00130596" w:rsidRDefault="00766C3B" w:rsidP="0096454E">
            <w:r>
              <w:t>3</w:t>
            </w:r>
            <w:r w:rsidR="005961C8">
              <w:t xml:space="preserve"> </w:t>
            </w:r>
            <w:r w:rsidR="00130596">
              <w:t>- Inschrijving handelsregister</w:t>
            </w:r>
          </w:p>
        </w:tc>
      </w:tr>
    </w:tbl>
    <w:p w14:paraId="1A04A146" w14:textId="19DD3B16" w:rsidR="00130596" w:rsidRPr="00130596" w:rsidRDefault="00130596" w:rsidP="00130596">
      <w:pPr>
        <w:pStyle w:val="RapportKop3"/>
        <w:rPr>
          <w:bCs/>
          <w:color w:val="auto"/>
        </w:rPr>
      </w:pPr>
      <w:bookmarkStart w:id="27" w:name="_Toc105606089"/>
      <w:r w:rsidRPr="00130596">
        <w:rPr>
          <w:bCs/>
          <w:color w:val="auto"/>
        </w:rPr>
        <w:lastRenderedPageBreak/>
        <w:t>Financiële en economische draagkracht</w:t>
      </w:r>
      <w:bookmarkEnd w:id="27"/>
    </w:p>
    <w:p w14:paraId="3A9CA63D" w14:textId="4E3D6CF0" w:rsidR="002F07AB" w:rsidRPr="002F07AB" w:rsidRDefault="00656697" w:rsidP="002F07AB">
      <w:pPr>
        <w:pStyle w:val="Default"/>
        <w:adjustRightInd/>
        <w:spacing w:line="283" w:lineRule="exact"/>
        <w:rPr>
          <w:rFonts w:ascii="Verdana" w:hAnsi="Verdana"/>
          <w:b/>
          <w:bCs/>
          <w:color w:val="121469"/>
          <w:sz w:val="18"/>
          <w:szCs w:val="18"/>
        </w:rPr>
      </w:pPr>
      <w:r w:rsidRPr="00B663CB">
        <w:rPr>
          <w:rFonts w:ascii="Verdana" w:hAnsi="Verdana"/>
          <w:b/>
          <w:bCs/>
          <w:color w:val="121469"/>
          <w:sz w:val="18"/>
          <w:szCs w:val="18"/>
        </w:rPr>
        <w:t>Geschiktheidseis 1: Verzekering</w:t>
      </w:r>
    </w:p>
    <w:p w14:paraId="6024139C" w14:textId="3714695B" w:rsidR="003A4C3A" w:rsidRDefault="00FF0E41" w:rsidP="0004219D">
      <w:r>
        <w:t xml:space="preserve">De Inschrijver moet verzekerd zijn tegen wettelijke aansprakelijkheid met een minimale dekking van € </w:t>
      </w:r>
      <w:r w:rsidR="00B663CB">
        <w:t>1.250.000</w:t>
      </w:r>
      <w:r>
        <w:t xml:space="preserve"> per schadeveroorzakende gebeurtenis of reeks van samenhangende gebeurtenissen</w:t>
      </w:r>
      <w:r w:rsidR="00BC65F9">
        <w:t>, of minimaal €</w:t>
      </w:r>
      <w:r w:rsidR="00B663CB">
        <w:t xml:space="preserve"> 2.500.000,-</w:t>
      </w:r>
      <w:r w:rsidR="00BC65F9">
        <w:t xml:space="preserve"> per jaar</w:t>
      </w:r>
      <w:r>
        <w:t xml:space="preserve">. De verzekering van de Inschrijver moet in ieder geval gelden voor de duur van de Overeenkomst. </w:t>
      </w:r>
    </w:p>
    <w:p w14:paraId="186987C1" w14:textId="77777777" w:rsidR="00FF0E41" w:rsidRDefault="00FF0E41" w:rsidP="0004219D"/>
    <w:p w14:paraId="076379D1" w14:textId="71EE8C06" w:rsidR="003A4C3A" w:rsidRDefault="00FF0E41" w:rsidP="0004219D">
      <w:r>
        <w:t>Een Inschrijver die op het moment van het indienen van de Inschrijving niet beschikt over de vereiste verzekering, moet bereid en in staat zijn de verzekering te sluiten, indien de Tweede Kamer de opdracht aan hem gunt.</w:t>
      </w:r>
    </w:p>
    <w:p w14:paraId="677EB172" w14:textId="524AB5EA" w:rsidR="00FF0E41" w:rsidRDefault="00FF0E41" w:rsidP="0004219D"/>
    <w:p w14:paraId="657B4F15" w14:textId="4BFD636F" w:rsidR="00656697" w:rsidRPr="00656697" w:rsidRDefault="00656697" w:rsidP="00656697">
      <w:pPr>
        <w:pStyle w:val="Default"/>
        <w:adjustRightInd/>
        <w:spacing w:line="283" w:lineRule="exact"/>
        <w:ind w:left="708"/>
        <w:rPr>
          <w:rFonts w:ascii="Verdana" w:hAnsi="Verdana"/>
          <w:b/>
          <w:bCs/>
          <w:color w:val="121469"/>
          <w:sz w:val="18"/>
          <w:szCs w:val="18"/>
        </w:rPr>
      </w:pPr>
      <w:r w:rsidRPr="00656697">
        <w:rPr>
          <w:rFonts w:ascii="Verdana" w:hAnsi="Verdana"/>
          <w:b/>
          <w:bCs/>
          <w:color w:val="121469"/>
          <w:sz w:val="18"/>
          <w:szCs w:val="18"/>
        </w:rPr>
        <w:t>Bewijs bij indiening van de Inschrijving</w:t>
      </w:r>
    </w:p>
    <w:p w14:paraId="1731B9B6" w14:textId="6AAFE269" w:rsidR="00FF0E41" w:rsidRDefault="00D44DAA" w:rsidP="00656697">
      <w:pPr>
        <w:ind w:left="708"/>
      </w:pPr>
      <w:r>
        <w:t>Door middel van de in</w:t>
      </w:r>
      <w:r w:rsidR="00C66D93">
        <w:t>diening van de Eigen Verklaring</w:t>
      </w:r>
      <w:r w:rsidR="00016852">
        <w:rPr>
          <w:rStyle w:val="Voetnootmarkering"/>
        </w:rPr>
        <w:footnoteReference w:id="3"/>
      </w:r>
      <w:r w:rsidR="00016852">
        <w:t xml:space="preserve"> </w:t>
      </w:r>
      <w:r>
        <w:t>bewijst de Inschrijver bij het indienen van de Inschrijving dat hij voldoet aan deze eis</w:t>
      </w:r>
      <w:r w:rsidR="002274EA">
        <w:t xml:space="preserve">. </w:t>
      </w:r>
    </w:p>
    <w:p w14:paraId="254F2E3F" w14:textId="63340406" w:rsidR="00FF0E41" w:rsidRDefault="00FF0E41" w:rsidP="00656697">
      <w:pPr>
        <w:ind w:left="708"/>
      </w:pPr>
    </w:p>
    <w:p w14:paraId="1F623A39" w14:textId="19F11247" w:rsidR="00656697" w:rsidRPr="00656697" w:rsidRDefault="00656697" w:rsidP="00656697">
      <w:pPr>
        <w:pStyle w:val="Default"/>
        <w:adjustRightInd/>
        <w:spacing w:line="283" w:lineRule="exact"/>
        <w:ind w:left="708"/>
        <w:rPr>
          <w:rFonts w:ascii="Verdana" w:hAnsi="Verdana"/>
          <w:b/>
          <w:bCs/>
          <w:color w:val="121469"/>
          <w:sz w:val="18"/>
          <w:szCs w:val="18"/>
        </w:rPr>
      </w:pPr>
      <w:r w:rsidRPr="00656697">
        <w:rPr>
          <w:rFonts w:ascii="Verdana" w:hAnsi="Verdana"/>
          <w:b/>
          <w:bCs/>
          <w:color w:val="121469"/>
          <w:sz w:val="18"/>
          <w:szCs w:val="18"/>
        </w:rPr>
        <w:t>Bewijs door de voorgenomen begunstigde</w:t>
      </w:r>
    </w:p>
    <w:p w14:paraId="5D8B39B6" w14:textId="416A47BB" w:rsidR="00FF0E41" w:rsidRDefault="00B742F1" w:rsidP="00656697">
      <w:pPr>
        <w:ind w:left="708"/>
      </w:pPr>
      <w:r>
        <w:t xml:space="preserve">De Inschrijver die op grond van de beoordeling van de Inschrijvingen eindigt als eerste in rang, moet op verzoek van de Tweede Kamer </w:t>
      </w:r>
      <w:r w:rsidR="00635DE7">
        <w:t xml:space="preserve">en volgens de voorschriften van hoofdstuk </w:t>
      </w:r>
      <w:r w:rsidR="00C66D93">
        <w:t>“</w:t>
      </w:r>
      <w:r w:rsidR="00C66D93" w:rsidRPr="009A54BD">
        <w:rPr>
          <w:i/>
        </w:rPr>
        <w:t>Verificatie van de Inschrijving van de voorgenomen begunstigde(n)</w:t>
      </w:r>
      <w:r w:rsidR="00C66D93">
        <w:t xml:space="preserve">” </w:t>
      </w:r>
      <w:r>
        <w:t xml:space="preserve">bewijs leveren </w:t>
      </w:r>
      <w:r w:rsidR="00D84390">
        <w:t>dat hij daadwerkelijk voldoet aan de verzekeringseis</w:t>
      </w:r>
      <w:r>
        <w:t>. Dat brengt het volgende mee:</w:t>
      </w:r>
    </w:p>
    <w:p w14:paraId="33CC1348" w14:textId="23303B6A" w:rsidR="00B742F1" w:rsidRDefault="00B742F1" w:rsidP="00656697">
      <w:pPr>
        <w:ind w:left="708"/>
      </w:pPr>
    </w:p>
    <w:p w14:paraId="76E1F486" w14:textId="26350457" w:rsidR="00635DE7" w:rsidRDefault="00635DE7" w:rsidP="00656697">
      <w:pPr>
        <w:ind w:left="708"/>
      </w:pPr>
      <w:r w:rsidRPr="00635DE7">
        <w:rPr>
          <w:u w:val="single"/>
        </w:rPr>
        <w:t xml:space="preserve">De Inschrijver die </w:t>
      </w:r>
      <w:r w:rsidR="00D84390">
        <w:rPr>
          <w:u w:val="single"/>
        </w:rPr>
        <w:t xml:space="preserve">al voldoende </w:t>
      </w:r>
      <w:r w:rsidRPr="00635DE7">
        <w:rPr>
          <w:u w:val="single"/>
        </w:rPr>
        <w:t>verzekerd is</w:t>
      </w:r>
      <w:r>
        <w:t xml:space="preserve"> moet een kopie van de polis van de vereiste verzekering indienen of een verklaring van de verzekeraar waaruit </w:t>
      </w:r>
      <w:r w:rsidR="00D84390">
        <w:t>blijkt dat hij voldoet aan de verzekeringseis</w:t>
      </w:r>
      <w:r>
        <w:t xml:space="preserve">. Indien de verzekeringnemer een concern is, </w:t>
      </w:r>
      <w:r w:rsidR="00D84390">
        <w:t>moet de Inschrijver aan</w:t>
      </w:r>
      <w:r>
        <w:t>tonen dat hij is meeverzekerd.</w:t>
      </w:r>
    </w:p>
    <w:p w14:paraId="47613DED" w14:textId="0455705F" w:rsidR="00635DE7" w:rsidRDefault="00635DE7" w:rsidP="00656697">
      <w:pPr>
        <w:ind w:left="708"/>
      </w:pPr>
    </w:p>
    <w:p w14:paraId="588F6D91" w14:textId="5DD24454" w:rsidR="002F07AB" w:rsidRDefault="00635DE7" w:rsidP="002F07AB">
      <w:pPr>
        <w:ind w:left="708"/>
      </w:pPr>
      <w:r w:rsidRPr="00635DE7">
        <w:rPr>
          <w:u w:val="single"/>
        </w:rPr>
        <w:t>De Inschrijver die de verzekering nog moet afsluiten</w:t>
      </w:r>
      <w:r>
        <w:t xml:space="preserve"> moet </w:t>
      </w:r>
      <w:r w:rsidR="00C66D93">
        <w:t xml:space="preserve">hij </w:t>
      </w:r>
      <w:r>
        <w:t xml:space="preserve">een volledig ingevulde en rechtsgeldig ondertekende bereidverklaring indienen (Bijlage </w:t>
      </w:r>
      <w:r w:rsidR="00AE158B">
        <w:t>“</w:t>
      </w:r>
      <w:r w:rsidR="00AE158B" w:rsidRPr="00AE158B">
        <w:rPr>
          <w:i/>
        </w:rPr>
        <w:t>Polis / Verklaring verzekering / Bereidverklaring</w:t>
      </w:r>
      <w:r w:rsidR="00AE158B">
        <w:t>”</w:t>
      </w:r>
      <w:r>
        <w:t>).</w:t>
      </w:r>
      <w:r w:rsidR="005D361F">
        <w:t xml:space="preserve"> De Tweede Kamer verwijst voor de procedure en voorschriften die met de bereidverklaring gepaard gaan naar de inhoud van </w:t>
      </w:r>
      <w:r w:rsidR="00AE158B">
        <w:t xml:space="preserve">genoemde </w:t>
      </w:r>
      <w:r w:rsidR="005D361F">
        <w:t>Bijlage.</w:t>
      </w:r>
    </w:p>
    <w:p w14:paraId="3C295E70" w14:textId="291DDF55" w:rsidR="002F07AB" w:rsidRDefault="002F07AB" w:rsidP="0004219D"/>
    <w:p w14:paraId="7A0D82B6" w14:textId="7DA6A633" w:rsidR="002F07AB" w:rsidRDefault="002F07AB" w:rsidP="0004219D">
      <w:r w:rsidRPr="002F07AB">
        <w:rPr>
          <w:i/>
        </w:rPr>
        <w:t xml:space="preserve">Het is de Inschrijver toegestaan om een beroep te doen </w:t>
      </w:r>
      <w:r>
        <w:rPr>
          <w:i/>
        </w:rPr>
        <w:t>op een Derde om te voldoen aan G</w:t>
      </w:r>
      <w:r w:rsidRPr="002F07AB">
        <w:rPr>
          <w:i/>
        </w:rPr>
        <w:t xml:space="preserve">eschiktheidseis </w:t>
      </w:r>
      <w:r w:rsidR="005E4AFF">
        <w:rPr>
          <w:i/>
        </w:rPr>
        <w:t>“Verzekering”</w:t>
      </w:r>
      <w:r w:rsidRPr="002F07AB">
        <w:rPr>
          <w:i/>
        </w:rPr>
        <w:t>. In geval van een beroep op (een) Derde(n) dient de Inschrijver te voldoen aan de eisen en instructies zoals genoemd in paragraaf</w:t>
      </w:r>
      <w:r w:rsidR="005E4AFF">
        <w:rPr>
          <w:i/>
        </w:rPr>
        <w:t xml:space="preserve"> “Aanbestedingsvoorschriften”</w:t>
      </w:r>
      <w:r w:rsidRPr="002F07AB">
        <w:rPr>
          <w:i/>
        </w:rPr>
        <w:t xml:space="preserve"> onder</w:t>
      </w:r>
      <w:r w:rsidR="005E4AFF">
        <w:rPr>
          <w:i/>
        </w:rPr>
        <w:t xml:space="preserve"> het kopje “Beroep op Derde(n)”.</w:t>
      </w:r>
    </w:p>
    <w:p w14:paraId="7D42EFF4" w14:textId="4BE79556" w:rsidR="005E4AFF" w:rsidRDefault="005E4AFF" w:rsidP="0004219D"/>
    <w:p w14:paraId="47D9A991" w14:textId="6B7BE849" w:rsidR="005E4AFF" w:rsidRDefault="005E4AFF" w:rsidP="005E4AFF">
      <w:pPr>
        <w:ind w:left="708"/>
      </w:pPr>
      <w:r>
        <w:t>Indien de Inschrijver voor het voldoen aan Geschiktheidseis “</w:t>
      </w:r>
      <w:r w:rsidRPr="00CE5B8D">
        <w:rPr>
          <w:i/>
        </w:rPr>
        <w:t>Verzekering</w:t>
      </w:r>
      <w:r>
        <w:t xml:space="preserve">” een beroep doet op een Derde, moet de Inschrijver </w:t>
      </w:r>
      <w:r w:rsidR="001A241B">
        <w:t>waaraan</w:t>
      </w:r>
      <w:r>
        <w:t xml:space="preserve"> de Tweede Kamer</w:t>
      </w:r>
      <w:r w:rsidR="001A241B">
        <w:t xml:space="preserve"> de opdracht beoogt te gunnen</w:t>
      </w:r>
      <w:r>
        <w:t>, binnen de termijn die vermeld staat in hoofdstuk “</w:t>
      </w:r>
      <w:r w:rsidRPr="009A54BD">
        <w:rPr>
          <w:i/>
        </w:rPr>
        <w:t>Verificatie van de Inschrijving van de voorgenomen begunstigde(n)</w:t>
      </w:r>
      <w:r>
        <w:t xml:space="preserve">”, op de wijze en aan de hand van de stukken als hiervoor beschreven aantonen dat de Derde waarop hij een beroep doet beschikt over de vereiste verzekering. </w:t>
      </w:r>
    </w:p>
    <w:p w14:paraId="417B3B0A" w14:textId="4BB3A96C" w:rsidR="002F07AB" w:rsidRDefault="002F07AB" w:rsidP="0004219D"/>
    <w:p w14:paraId="5242F465" w14:textId="60AFFDFB" w:rsidR="00130596" w:rsidRPr="00130596" w:rsidRDefault="00130596" w:rsidP="00130596">
      <w:pPr>
        <w:pStyle w:val="RapportKop3"/>
      </w:pPr>
      <w:bookmarkStart w:id="28" w:name="_Toc105606090"/>
      <w:r>
        <w:t>Technische en beroepsbekwaamheid</w:t>
      </w:r>
      <w:bookmarkEnd w:id="28"/>
    </w:p>
    <w:p w14:paraId="01903503" w14:textId="4A3874C1" w:rsidR="002A6193" w:rsidRPr="00E4594D" w:rsidRDefault="00C221D1" w:rsidP="00E4594D">
      <w:pPr>
        <w:pStyle w:val="Default"/>
        <w:adjustRightInd/>
        <w:spacing w:line="283" w:lineRule="exact"/>
        <w:rPr>
          <w:rFonts w:ascii="Verdana" w:hAnsi="Verdana"/>
          <w:b/>
          <w:bCs/>
          <w:color w:val="121469"/>
          <w:sz w:val="18"/>
          <w:szCs w:val="18"/>
        </w:rPr>
      </w:pPr>
      <w:r w:rsidRPr="0022794C">
        <w:rPr>
          <w:rFonts w:ascii="Verdana" w:hAnsi="Verdana"/>
          <w:b/>
          <w:bCs/>
          <w:color w:val="121469"/>
          <w:sz w:val="18"/>
          <w:szCs w:val="18"/>
        </w:rPr>
        <w:t xml:space="preserve">Geschiktheidseis </w:t>
      </w:r>
      <w:r w:rsidR="0022794C" w:rsidRPr="0022794C">
        <w:rPr>
          <w:rFonts w:ascii="Verdana" w:hAnsi="Verdana"/>
          <w:b/>
          <w:bCs/>
          <w:color w:val="121469"/>
          <w:sz w:val="18"/>
          <w:szCs w:val="18"/>
        </w:rPr>
        <w:t>2</w:t>
      </w:r>
      <w:r w:rsidR="00656697" w:rsidRPr="0022794C">
        <w:rPr>
          <w:rFonts w:ascii="Verdana" w:hAnsi="Verdana"/>
          <w:b/>
          <w:bCs/>
          <w:color w:val="121469"/>
          <w:sz w:val="18"/>
          <w:szCs w:val="18"/>
        </w:rPr>
        <w:t xml:space="preserve">: </w:t>
      </w:r>
      <w:r w:rsidR="002A6193" w:rsidRPr="0022794C">
        <w:rPr>
          <w:rFonts w:ascii="Verdana" w:hAnsi="Verdana"/>
          <w:b/>
          <w:bCs/>
          <w:color w:val="121469"/>
          <w:sz w:val="18"/>
          <w:szCs w:val="18"/>
        </w:rPr>
        <w:t>Refer</w:t>
      </w:r>
      <w:r w:rsidR="00656697" w:rsidRPr="0022794C">
        <w:rPr>
          <w:rFonts w:ascii="Verdana" w:hAnsi="Verdana"/>
          <w:b/>
          <w:bCs/>
          <w:color w:val="121469"/>
          <w:sz w:val="18"/>
          <w:szCs w:val="18"/>
        </w:rPr>
        <w:t>entieopdracht</w:t>
      </w:r>
      <w:r w:rsidR="0054648D" w:rsidRPr="0022794C">
        <w:rPr>
          <w:rFonts w:ascii="Verdana" w:hAnsi="Verdana"/>
          <w:b/>
          <w:bCs/>
          <w:color w:val="121469"/>
          <w:sz w:val="18"/>
          <w:szCs w:val="18"/>
        </w:rPr>
        <w:t>en</w:t>
      </w:r>
    </w:p>
    <w:p w14:paraId="7435F9ED" w14:textId="6B5CB048" w:rsidR="00FF1E76" w:rsidRDefault="00656697" w:rsidP="0004219D">
      <w:r>
        <w:t>De Inschrijver</w:t>
      </w:r>
      <w:r w:rsidR="00E4594D">
        <w:t xml:space="preserve"> moet beschikken over relevante ervaring ter zake van de opdracht. De ervaring die de Tweede K</w:t>
      </w:r>
      <w:r w:rsidR="0054648D">
        <w:t xml:space="preserve">amer relevant acht is </w:t>
      </w:r>
      <w:r w:rsidR="00FB77FF">
        <w:t xml:space="preserve">vastgelegd </w:t>
      </w:r>
      <w:r w:rsidR="0054648D">
        <w:t>kerncompetenties.</w:t>
      </w:r>
      <w:r w:rsidR="00FB77FF">
        <w:t xml:space="preserve"> Om te beoordelen of de Inschrijver voldoet aan de relevante ervaring moet de Inschrijver referentieopdrachten indienen. </w:t>
      </w:r>
      <w:r w:rsidR="009852A0">
        <w:t xml:space="preserve">Uit de (beschrijving van de) referentieopdrachten </w:t>
      </w:r>
      <w:r w:rsidR="00FF1E76">
        <w:t>moet blijken dat de Inschrijver beschikt over de bekwaamheden die voortvloeien uit de kerncompetenties</w:t>
      </w:r>
      <w:r w:rsidR="009852A0">
        <w:t xml:space="preserve">. Een enkele verwijzing naar het referentieproject levert geen/onvoldoende bewijs op </w:t>
      </w:r>
      <w:r w:rsidR="008F0015">
        <w:t xml:space="preserve">dat de Inschrijver over de vereiste bekwaamheden beschikt; een nauwkeurige beschrijving van het referentieproject waarin alle gevraagde aspecten terugkomen is dus vereist. </w:t>
      </w:r>
      <w:r w:rsidR="008F0015" w:rsidRPr="008F0015">
        <w:t>Indien de Inschrijver in zijn Inschrijv</w:t>
      </w:r>
      <w:r w:rsidR="008F0015">
        <w:t>ing niet heeft aangetoond te beschikken over de vereiste ervaring met alle kerncompetenties, leidt dat tot ongeldigheid van de Inschrijving en uitsluiting van de Inschrijver van verdere deelname aan de Aanbestedingsprocedure.</w:t>
      </w:r>
    </w:p>
    <w:p w14:paraId="18A1D271" w14:textId="77777777" w:rsidR="00FF1E76" w:rsidRDefault="00FF1E76" w:rsidP="0004219D"/>
    <w:p w14:paraId="353EFBB0" w14:textId="607C38F4" w:rsidR="002A6193" w:rsidRDefault="00FB77FF" w:rsidP="0004219D">
      <w:r>
        <w:t xml:space="preserve">Hierna volgt een beschrijving van de kerncompetenties en de eisen die de Tweede </w:t>
      </w:r>
      <w:r w:rsidRPr="00060C04">
        <w:t>Kamer stelt aan de referentieopdrachten per kerncompetentie.</w:t>
      </w:r>
    </w:p>
    <w:p w14:paraId="17D1A013" w14:textId="3B9A65FE" w:rsidR="002A6193" w:rsidRDefault="002A6193" w:rsidP="0004219D"/>
    <w:tbl>
      <w:tblPr>
        <w:tblStyle w:val="Tabelraster"/>
        <w:tblW w:w="0" w:type="auto"/>
        <w:tblLook w:val="04A0" w:firstRow="1" w:lastRow="0" w:firstColumn="1" w:lastColumn="0" w:noHBand="0" w:noVBand="1"/>
      </w:tblPr>
      <w:tblGrid>
        <w:gridCol w:w="756"/>
        <w:gridCol w:w="7228"/>
      </w:tblGrid>
      <w:tr w:rsidR="00FB77FF" w:rsidRPr="008B5AEA" w14:paraId="730EDBCA" w14:textId="77777777" w:rsidTr="008E78F3">
        <w:tc>
          <w:tcPr>
            <w:tcW w:w="756" w:type="dxa"/>
            <w:tcBorders>
              <w:bottom w:val="single" w:sz="4" w:space="0" w:color="auto"/>
            </w:tcBorders>
            <w:shd w:val="clear" w:color="auto" w:fill="121469"/>
          </w:tcPr>
          <w:p w14:paraId="3AB8AC73" w14:textId="77777777" w:rsidR="00FB77FF" w:rsidRPr="008B5AEA" w:rsidRDefault="00FB77FF" w:rsidP="00286F48">
            <w:pPr>
              <w:rPr>
                <w:b/>
                <w:bCs/>
                <w:color w:val="FFFFFF" w:themeColor="background1"/>
              </w:rPr>
            </w:pPr>
          </w:p>
        </w:tc>
        <w:tc>
          <w:tcPr>
            <w:tcW w:w="7228" w:type="dxa"/>
            <w:tcBorders>
              <w:bottom w:val="single" w:sz="4" w:space="0" w:color="auto"/>
            </w:tcBorders>
            <w:shd w:val="clear" w:color="auto" w:fill="121469"/>
          </w:tcPr>
          <w:p w14:paraId="59BC790A" w14:textId="01D04533" w:rsidR="00FB77FF" w:rsidRDefault="00FB77FF" w:rsidP="00286F48">
            <w:pPr>
              <w:rPr>
                <w:b/>
                <w:bCs/>
                <w:color w:val="FFFFFF" w:themeColor="background1"/>
              </w:rPr>
            </w:pPr>
            <w:r w:rsidRPr="0DCA5B7E">
              <w:rPr>
                <w:b/>
                <w:bCs/>
                <w:color w:val="FFFFFF" w:themeColor="background1"/>
              </w:rPr>
              <w:t>Kerncompetentie</w:t>
            </w:r>
            <w:r>
              <w:rPr>
                <w:b/>
                <w:bCs/>
                <w:color w:val="FFFFFF" w:themeColor="background1"/>
              </w:rPr>
              <w:t>s en referentieopdrachten</w:t>
            </w:r>
          </w:p>
          <w:p w14:paraId="2E7C567E" w14:textId="77777777" w:rsidR="00FB77FF" w:rsidRPr="008B5AEA" w:rsidRDefault="00FB77FF" w:rsidP="00286F48">
            <w:pPr>
              <w:rPr>
                <w:b/>
                <w:color w:val="FFFFFF" w:themeColor="background1"/>
                <w:szCs w:val="20"/>
              </w:rPr>
            </w:pPr>
          </w:p>
        </w:tc>
      </w:tr>
      <w:tr w:rsidR="00FB77FF" w14:paraId="403D12F7" w14:textId="77777777" w:rsidTr="008E78F3">
        <w:tc>
          <w:tcPr>
            <w:tcW w:w="756" w:type="dxa"/>
            <w:shd w:val="clear" w:color="auto" w:fill="D9E2F3" w:themeFill="accent5" w:themeFillTint="33"/>
          </w:tcPr>
          <w:p w14:paraId="1C12C12E" w14:textId="77777777" w:rsidR="00FB77FF" w:rsidRPr="004E043C" w:rsidRDefault="00FB77FF" w:rsidP="00B01284">
            <w:pPr>
              <w:pStyle w:val="Lijstalinea"/>
              <w:numPr>
                <w:ilvl w:val="0"/>
                <w:numId w:val="11"/>
              </w:numPr>
              <w:ind w:left="447"/>
              <w:rPr>
                <w:szCs w:val="20"/>
              </w:rPr>
            </w:pPr>
          </w:p>
        </w:tc>
        <w:tc>
          <w:tcPr>
            <w:tcW w:w="7228" w:type="dxa"/>
            <w:shd w:val="clear" w:color="auto" w:fill="D9E2F3" w:themeFill="accent5" w:themeFillTint="33"/>
          </w:tcPr>
          <w:p w14:paraId="1689D1AA" w14:textId="1ABA7E8E" w:rsidR="00FB77FF" w:rsidRPr="00FB77FF" w:rsidRDefault="003E522C" w:rsidP="003E522C">
            <w:r>
              <w:t>E</w:t>
            </w:r>
            <w:r w:rsidR="00FB77FF">
              <w:t xml:space="preserve">rvaring met </w:t>
            </w:r>
            <w:r w:rsidR="00697A2B" w:rsidRPr="00697A2B">
              <w:t>en kennis van spraakherkenningstoepassingen en het beheer van</w:t>
            </w:r>
            <w:r w:rsidR="00697A2B">
              <w:t xml:space="preserve"> deze toepassing</w:t>
            </w:r>
            <w:r w:rsidR="00697A2B" w:rsidRPr="00697A2B">
              <w:t xml:space="preserve">, </w:t>
            </w:r>
          </w:p>
        </w:tc>
      </w:tr>
      <w:tr w:rsidR="00FB77FF" w14:paraId="106CAB27" w14:textId="77777777" w:rsidTr="008E78F3">
        <w:tc>
          <w:tcPr>
            <w:tcW w:w="756" w:type="dxa"/>
          </w:tcPr>
          <w:p w14:paraId="0CDB51EC" w14:textId="77777777" w:rsidR="00FB77FF" w:rsidRPr="00FB77FF" w:rsidRDefault="00FB77FF" w:rsidP="00FB77FF">
            <w:pPr>
              <w:ind w:left="360"/>
              <w:rPr>
                <w:szCs w:val="20"/>
              </w:rPr>
            </w:pPr>
          </w:p>
        </w:tc>
        <w:tc>
          <w:tcPr>
            <w:tcW w:w="7228" w:type="dxa"/>
          </w:tcPr>
          <w:p w14:paraId="36D794EF" w14:textId="6AEE8296" w:rsidR="00FB77FF" w:rsidRPr="00337B54" w:rsidRDefault="00FB77FF" w:rsidP="00286F48">
            <w:pPr>
              <w:rPr>
                <w:rFonts w:eastAsia="Times New Roman" w:cs="Arial"/>
                <w:b/>
                <w:bCs/>
                <w:color w:val="121469"/>
              </w:rPr>
            </w:pPr>
            <w:r w:rsidRPr="00337B54">
              <w:rPr>
                <w:rFonts w:eastAsia="Times New Roman" w:cs="Arial"/>
                <w:b/>
                <w:bCs/>
                <w:color w:val="121469"/>
              </w:rPr>
              <w:t>Referentieopdracht bij kerncompetentie 1:</w:t>
            </w:r>
          </w:p>
          <w:p w14:paraId="37BF03D7" w14:textId="35435E1B" w:rsidR="00FB77FF" w:rsidRDefault="00FB77FF" w:rsidP="00286F48">
            <w:r>
              <w:t xml:space="preserve">De Inschrijver dient in de </w:t>
            </w:r>
            <w:r w:rsidRPr="0022794C">
              <w:t>afgelopen</w:t>
            </w:r>
            <w:r w:rsidR="008E78F3" w:rsidRPr="0022794C">
              <w:t xml:space="preserve"> 3 jaar</w:t>
            </w:r>
            <w:r w:rsidRPr="0022794C">
              <w:t>, gerekend vanaf de datum van Aankondiging van de Aanbestedingsprocedure</w:t>
            </w:r>
            <w:r>
              <w:t xml:space="preserve">, een </w:t>
            </w:r>
            <w:r w:rsidR="00B663CB">
              <w:t>opdracht</w:t>
            </w:r>
            <w:r>
              <w:t xml:space="preserve"> te hebben opgeleverd dat voldoet aan kerncompetentie 1 en waarvan de opdrachtwaarde minimaal </w:t>
            </w:r>
            <w:r w:rsidR="0022794C">
              <w:t xml:space="preserve">Euro </w:t>
            </w:r>
            <w:r w:rsidR="00766C3B">
              <w:t>7.5</w:t>
            </w:r>
            <w:r w:rsidR="0022794C">
              <w:t>00,-</w:t>
            </w:r>
            <w:r>
              <w:t xml:space="preserve"> exclusief </w:t>
            </w:r>
            <w:r w:rsidR="00B663CB">
              <w:t xml:space="preserve">BTW </w:t>
            </w:r>
            <w:r w:rsidR="00B663CB" w:rsidRPr="00B663CB">
              <w:rPr>
                <w:u w:val="single"/>
              </w:rPr>
              <w:t xml:space="preserve">per </w:t>
            </w:r>
            <w:r w:rsidR="00766C3B">
              <w:rPr>
                <w:u w:val="single"/>
              </w:rPr>
              <w:t>jaar</w:t>
            </w:r>
            <w:r w:rsidR="00B663CB">
              <w:t xml:space="preserve"> </w:t>
            </w:r>
            <w:r>
              <w:t xml:space="preserve">bedroeg. </w:t>
            </w:r>
            <w:r w:rsidR="00B663CB">
              <w:t>De opdracht</w:t>
            </w:r>
            <w:r>
              <w:t xml:space="preserve"> dient conform de destijds overeengekomen voorwaarden, waaronder de realisatietermijn en budget, te zijn opgeleverd.</w:t>
            </w:r>
          </w:p>
          <w:p w14:paraId="5CB69286" w14:textId="77777777" w:rsidR="00BF5D85" w:rsidRDefault="00BF5D85" w:rsidP="00286F48"/>
          <w:p w14:paraId="54E2809B" w14:textId="774A1361" w:rsidR="00BF5D85" w:rsidRDefault="00BF5D85" w:rsidP="00286F48">
            <w:r w:rsidRPr="003E522C">
              <w:t>Een prognose geldt niet als een referentieopdracht. De referentieopdracht moet zijn uitgevoerd conform de overeengekomen voorwaarden, waaronder de (op)leveringstermijnen.</w:t>
            </w:r>
          </w:p>
        </w:tc>
      </w:tr>
      <w:tr w:rsidR="00337B54" w14:paraId="03673B1C" w14:textId="77777777" w:rsidTr="008E78F3">
        <w:tc>
          <w:tcPr>
            <w:tcW w:w="756" w:type="dxa"/>
            <w:shd w:val="clear" w:color="auto" w:fill="D9E2F3" w:themeFill="accent5" w:themeFillTint="33"/>
          </w:tcPr>
          <w:p w14:paraId="020D6E04" w14:textId="77777777" w:rsidR="00337B54" w:rsidRPr="004E043C" w:rsidRDefault="00337B54" w:rsidP="00B01284">
            <w:pPr>
              <w:pStyle w:val="Lijstalinea"/>
              <w:numPr>
                <w:ilvl w:val="0"/>
                <w:numId w:val="11"/>
              </w:numPr>
              <w:ind w:left="447"/>
              <w:rPr>
                <w:szCs w:val="20"/>
              </w:rPr>
            </w:pPr>
          </w:p>
        </w:tc>
        <w:tc>
          <w:tcPr>
            <w:tcW w:w="7228" w:type="dxa"/>
            <w:shd w:val="clear" w:color="auto" w:fill="D9E2F3" w:themeFill="accent5" w:themeFillTint="33"/>
          </w:tcPr>
          <w:p w14:paraId="58425296" w14:textId="2CEBBFCB" w:rsidR="00337B54" w:rsidRDefault="003E522C" w:rsidP="003E522C">
            <w:pPr>
              <w:rPr>
                <w:szCs w:val="20"/>
              </w:rPr>
            </w:pPr>
            <w:r>
              <w:t>E</w:t>
            </w:r>
            <w:r w:rsidR="00337B54">
              <w:t xml:space="preserve">rvaring met </w:t>
            </w:r>
            <w:r w:rsidR="008E78F3">
              <w:t>e</w:t>
            </w:r>
            <w:r w:rsidR="00697A2B" w:rsidRPr="00697A2B">
              <w:t xml:space="preserve">n kennis van ondertitelingstoepassingen in het algemeen en op het gebied van </w:t>
            </w:r>
            <w:r w:rsidR="005961C8">
              <w:t>‘</w:t>
            </w:r>
            <w:r w:rsidR="00697A2B" w:rsidRPr="00697A2B">
              <w:t>video on demand</w:t>
            </w:r>
            <w:r w:rsidR="005961C8">
              <w:t>’</w:t>
            </w:r>
            <w:r w:rsidR="00697A2B" w:rsidRPr="00697A2B">
              <w:t xml:space="preserve"> in het bijzonder, en het beheer van</w:t>
            </w:r>
            <w:r w:rsidR="008E78F3">
              <w:t xml:space="preserve"> deze toepassing</w:t>
            </w:r>
          </w:p>
        </w:tc>
      </w:tr>
      <w:tr w:rsidR="00337B54" w14:paraId="44E16334" w14:textId="77777777" w:rsidTr="008E78F3">
        <w:tc>
          <w:tcPr>
            <w:tcW w:w="756" w:type="dxa"/>
          </w:tcPr>
          <w:p w14:paraId="2266C7CC" w14:textId="77777777" w:rsidR="00337B54" w:rsidRPr="00337B54" w:rsidRDefault="00337B54" w:rsidP="00337B54">
            <w:pPr>
              <w:ind w:left="360"/>
              <w:rPr>
                <w:szCs w:val="20"/>
              </w:rPr>
            </w:pPr>
          </w:p>
        </w:tc>
        <w:tc>
          <w:tcPr>
            <w:tcW w:w="7228" w:type="dxa"/>
          </w:tcPr>
          <w:p w14:paraId="4F1E0E6B" w14:textId="3728A367" w:rsidR="00337B54" w:rsidRPr="00337B54" w:rsidRDefault="00337B54" w:rsidP="00337B54">
            <w:pPr>
              <w:rPr>
                <w:rFonts w:eastAsia="Times New Roman" w:cs="Arial"/>
                <w:b/>
                <w:bCs/>
                <w:color w:val="121469"/>
              </w:rPr>
            </w:pPr>
            <w:r w:rsidRPr="00337B54">
              <w:rPr>
                <w:rFonts w:eastAsia="Times New Roman" w:cs="Arial"/>
                <w:b/>
                <w:bCs/>
                <w:color w:val="121469"/>
              </w:rPr>
              <w:t>Referentieopdracht</w:t>
            </w:r>
            <w:r>
              <w:rPr>
                <w:rFonts w:eastAsia="Times New Roman" w:cs="Arial"/>
                <w:b/>
                <w:bCs/>
                <w:color w:val="121469"/>
              </w:rPr>
              <w:t xml:space="preserve"> bij kerncompetentie 2</w:t>
            </w:r>
            <w:r w:rsidRPr="00337B54">
              <w:rPr>
                <w:rFonts w:eastAsia="Times New Roman" w:cs="Arial"/>
                <w:b/>
                <w:bCs/>
                <w:color w:val="121469"/>
              </w:rPr>
              <w:t>:</w:t>
            </w:r>
          </w:p>
          <w:p w14:paraId="5AF0618C" w14:textId="15CCE800" w:rsidR="008A0991" w:rsidRDefault="008A0991" w:rsidP="008A0991">
            <w:r>
              <w:t xml:space="preserve">De Inschrijver dient in de </w:t>
            </w:r>
            <w:r w:rsidRPr="0022794C">
              <w:t>afgelopen 3 jaar, gerekend vanaf de datum van Aankondiging van de Aanbestedingsprocedure</w:t>
            </w:r>
            <w:r>
              <w:t xml:space="preserve">, een opdracht te hebben opgeleverd dat voldoet aan kerncompetentie 1 en waarvan de opdrachtwaarde minimaal </w:t>
            </w:r>
            <w:r w:rsidR="00766C3B">
              <w:t xml:space="preserve">7.500,- exclusief BTW </w:t>
            </w:r>
            <w:r w:rsidR="00766C3B" w:rsidRPr="00B663CB">
              <w:rPr>
                <w:u w:val="single"/>
              </w:rPr>
              <w:t xml:space="preserve">per </w:t>
            </w:r>
            <w:r w:rsidR="00766C3B">
              <w:rPr>
                <w:u w:val="single"/>
              </w:rPr>
              <w:t>jaar</w:t>
            </w:r>
            <w:r w:rsidR="00766C3B">
              <w:t xml:space="preserve"> </w:t>
            </w:r>
            <w:r>
              <w:t>bedroeg. De opdracht dient conform de destijds overeengekomen voorwaarden, waaronder de realisatietermijn en budget, te zijn opgeleverd.</w:t>
            </w:r>
          </w:p>
          <w:p w14:paraId="52DB2913" w14:textId="77777777" w:rsidR="008A0991" w:rsidRDefault="008A0991" w:rsidP="008A0991"/>
          <w:p w14:paraId="5C0B9F0B" w14:textId="3CC3A95A" w:rsidR="00CF0211" w:rsidRPr="00F43030" w:rsidRDefault="008A0991" w:rsidP="008A0991">
            <w:pPr>
              <w:rPr>
                <w:highlight w:val="lightGray"/>
              </w:rPr>
            </w:pPr>
            <w:r w:rsidRPr="003E522C">
              <w:t>Een prognose geldt niet als een referentieopdracht. De referentieopdracht moet zijn uitgevoerd conform de overeengekomen voorwaarden, waaronder de (op)leveringstermijnen.</w:t>
            </w:r>
          </w:p>
        </w:tc>
      </w:tr>
      <w:tr w:rsidR="00B74D7D" w14:paraId="705F816E" w14:textId="77777777" w:rsidTr="008E78F3">
        <w:tc>
          <w:tcPr>
            <w:tcW w:w="756" w:type="dxa"/>
            <w:shd w:val="clear" w:color="auto" w:fill="DEEAF6" w:themeFill="accent1" w:themeFillTint="33"/>
          </w:tcPr>
          <w:p w14:paraId="4BA48065" w14:textId="725DB627" w:rsidR="00B74D7D" w:rsidRPr="00337B54" w:rsidRDefault="00B74D7D" w:rsidP="00F7504C">
            <w:pPr>
              <w:ind w:left="360"/>
              <w:jc w:val="center"/>
              <w:rPr>
                <w:szCs w:val="20"/>
              </w:rPr>
            </w:pPr>
            <w:r>
              <w:rPr>
                <w:szCs w:val="20"/>
              </w:rPr>
              <w:t>3.</w:t>
            </w:r>
          </w:p>
        </w:tc>
        <w:tc>
          <w:tcPr>
            <w:tcW w:w="7228" w:type="dxa"/>
            <w:shd w:val="clear" w:color="auto" w:fill="DEEAF6" w:themeFill="accent1" w:themeFillTint="33"/>
          </w:tcPr>
          <w:p w14:paraId="00DE6F46" w14:textId="63A963AA" w:rsidR="00B74D7D" w:rsidRPr="00337B54" w:rsidRDefault="003E522C" w:rsidP="008A0991">
            <w:pPr>
              <w:rPr>
                <w:rFonts w:eastAsia="Times New Roman" w:cs="Arial"/>
                <w:b/>
                <w:bCs/>
                <w:color w:val="121469"/>
              </w:rPr>
            </w:pPr>
            <w:r>
              <w:t>E</w:t>
            </w:r>
            <w:r w:rsidR="00B74D7D">
              <w:t xml:space="preserve">rvaring met </w:t>
            </w:r>
            <w:r w:rsidR="00A04D25" w:rsidRPr="00697A2B">
              <w:t xml:space="preserve">en kennis van het domein van verslaglegging van vergaderingen van gekozen </w:t>
            </w:r>
            <w:r w:rsidR="009D0109">
              <w:t xml:space="preserve">politieke/publieke </w:t>
            </w:r>
            <w:r w:rsidR="008A0991">
              <w:t>organen in het algemeen.</w:t>
            </w:r>
          </w:p>
        </w:tc>
      </w:tr>
      <w:tr w:rsidR="00B74D7D" w14:paraId="182F4155" w14:textId="77777777" w:rsidTr="008E78F3">
        <w:tc>
          <w:tcPr>
            <w:tcW w:w="756" w:type="dxa"/>
          </w:tcPr>
          <w:p w14:paraId="3BB9B536" w14:textId="77777777" w:rsidR="00B74D7D" w:rsidRPr="00337B54" w:rsidRDefault="00B74D7D" w:rsidP="00B74D7D">
            <w:pPr>
              <w:ind w:left="360"/>
              <w:rPr>
                <w:szCs w:val="20"/>
              </w:rPr>
            </w:pPr>
          </w:p>
        </w:tc>
        <w:tc>
          <w:tcPr>
            <w:tcW w:w="7228" w:type="dxa"/>
          </w:tcPr>
          <w:p w14:paraId="46811593" w14:textId="0129C757" w:rsidR="00B74D7D" w:rsidRPr="00337B54" w:rsidRDefault="00B74D7D" w:rsidP="00B74D7D">
            <w:pPr>
              <w:rPr>
                <w:rFonts w:eastAsia="Times New Roman" w:cs="Arial"/>
                <w:b/>
                <w:bCs/>
                <w:color w:val="121469"/>
              </w:rPr>
            </w:pPr>
            <w:r w:rsidRPr="00337B54">
              <w:rPr>
                <w:rFonts w:eastAsia="Times New Roman" w:cs="Arial"/>
                <w:b/>
                <w:bCs/>
                <w:color w:val="121469"/>
              </w:rPr>
              <w:t>Referentieopdracht</w:t>
            </w:r>
            <w:r>
              <w:rPr>
                <w:rFonts w:eastAsia="Times New Roman" w:cs="Arial"/>
                <w:b/>
                <w:bCs/>
                <w:color w:val="121469"/>
              </w:rPr>
              <w:t xml:space="preserve"> bij kerncompetentie </w:t>
            </w:r>
            <w:r w:rsidR="008E78F3">
              <w:rPr>
                <w:rFonts w:eastAsia="Times New Roman" w:cs="Arial"/>
                <w:b/>
                <w:bCs/>
                <w:color w:val="121469"/>
              </w:rPr>
              <w:t>3</w:t>
            </w:r>
            <w:r w:rsidRPr="00337B54">
              <w:rPr>
                <w:rFonts w:eastAsia="Times New Roman" w:cs="Arial"/>
                <w:b/>
                <w:bCs/>
                <w:color w:val="121469"/>
              </w:rPr>
              <w:t>:</w:t>
            </w:r>
          </w:p>
          <w:p w14:paraId="1BB3C341" w14:textId="611D0E9A" w:rsidR="008A0991" w:rsidRDefault="008A0991" w:rsidP="008A0991">
            <w:r>
              <w:t xml:space="preserve">De Inschrijver dient in de </w:t>
            </w:r>
            <w:r w:rsidRPr="0022794C">
              <w:t>afgelopen 3 jaar, gerekend vanaf de datum van Aankondiging van de Aanbestedingsprocedure</w:t>
            </w:r>
            <w:r>
              <w:t xml:space="preserve">, een opdracht te hebben opgeleverd dat voldoet aan kerncompetentie 1 en waarvan de opdrachtwaarde minimaal Euro </w:t>
            </w:r>
            <w:r w:rsidR="00766C3B">
              <w:t xml:space="preserve">7.500,- exclusief BTW </w:t>
            </w:r>
            <w:r w:rsidR="00766C3B" w:rsidRPr="00B663CB">
              <w:rPr>
                <w:u w:val="single"/>
              </w:rPr>
              <w:t xml:space="preserve">per </w:t>
            </w:r>
            <w:r w:rsidR="00766C3B">
              <w:rPr>
                <w:u w:val="single"/>
              </w:rPr>
              <w:t>jaar</w:t>
            </w:r>
            <w:r w:rsidR="00766C3B">
              <w:t xml:space="preserve"> </w:t>
            </w:r>
            <w:r>
              <w:t>bedroeg. De opdracht dient conform de destijds overeengekomen voorwaarden, waaronder de realisatietermijn en budget, te zijn opgeleverd.</w:t>
            </w:r>
          </w:p>
          <w:p w14:paraId="5A565FB1" w14:textId="77777777" w:rsidR="008A0991" w:rsidRDefault="008A0991" w:rsidP="008A0991"/>
          <w:p w14:paraId="5E69B41A" w14:textId="3EA1E34A" w:rsidR="00CF0211" w:rsidRPr="00337B54" w:rsidRDefault="008A0991" w:rsidP="008A0991">
            <w:pPr>
              <w:rPr>
                <w:rFonts w:eastAsia="Times New Roman" w:cs="Arial"/>
                <w:b/>
                <w:bCs/>
                <w:color w:val="121469"/>
              </w:rPr>
            </w:pPr>
            <w:r w:rsidRPr="003E522C">
              <w:t>Een prognose geldt niet als een referentieopdracht. De referentieopdracht moet zijn uitgevoerd conform de overeengekomen voorwaarden, waaronder de (op)leveringstermijnen.</w:t>
            </w:r>
          </w:p>
        </w:tc>
      </w:tr>
      <w:tr w:rsidR="003E522C" w14:paraId="13FBAA4D" w14:textId="77777777" w:rsidTr="003E522C">
        <w:tc>
          <w:tcPr>
            <w:tcW w:w="756" w:type="dxa"/>
            <w:shd w:val="clear" w:color="auto" w:fill="DEEAF6" w:themeFill="accent1" w:themeFillTint="33"/>
          </w:tcPr>
          <w:p w14:paraId="3F3DEC7C" w14:textId="67A418C2" w:rsidR="003E522C" w:rsidRPr="008A0991" w:rsidRDefault="003E522C" w:rsidP="003E522C">
            <w:pPr>
              <w:ind w:left="360"/>
              <w:rPr>
                <w:szCs w:val="20"/>
              </w:rPr>
            </w:pPr>
            <w:r w:rsidRPr="008A0991">
              <w:rPr>
                <w:szCs w:val="20"/>
              </w:rPr>
              <w:t>4.</w:t>
            </w:r>
          </w:p>
        </w:tc>
        <w:tc>
          <w:tcPr>
            <w:tcW w:w="7228" w:type="dxa"/>
            <w:shd w:val="clear" w:color="auto" w:fill="DEEAF6" w:themeFill="accent1" w:themeFillTint="33"/>
          </w:tcPr>
          <w:p w14:paraId="45A632E7" w14:textId="1C262171" w:rsidR="003E522C" w:rsidRPr="008A0991" w:rsidRDefault="003E522C" w:rsidP="003E522C">
            <w:pPr>
              <w:rPr>
                <w:rFonts w:eastAsia="Times New Roman" w:cs="Arial"/>
                <w:b/>
                <w:bCs/>
                <w:color w:val="121469"/>
              </w:rPr>
            </w:pPr>
            <w:r w:rsidRPr="008A0991">
              <w:t xml:space="preserve">Ervaring met en kennis van het zelf leveren van dienstverlening op het gebied van klantenservice (front en back office) en tijdige </w:t>
            </w:r>
            <w:r w:rsidR="00A92D9D" w:rsidRPr="008A0991">
              <w:t xml:space="preserve">opvolging en </w:t>
            </w:r>
            <w:r w:rsidRPr="008A0991">
              <w:t>probleemoplossing.</w:t>
            </w:r>
          </w:p>
        </w:tc>
      </w:tr>
      <w:tr w:rsidR="003E522C" w14:paraId="0686F529" w14:textId="77777777" w:rsidTr="008E78F3">
        <w:tc>
          <w:tcPr>
            <w:tcW w:w="756" w:type="dxa"/>
          </w:tcPr>
          <w:p w14:paraId="257E0D16" w14:textId="77777777" w:rsidR="003E522C" w:rsidRPr="00337B54" w:rsidRDefault="003E522C" w:rsidP="003E522C">
            <w:pPr>
              <w:ind w:left="360"/>
              <w:rPr>
                <w:szCs w:val="20"/>
              </w:rPr>
            </w:pPr>
          </w:p>
        </w:tc>
        <w:tc>
          <w:tcPr>
            <w:tcW w:w="7228" w:type="dxa"/>
          </w:tcPr>
          <w:p w14:paraId="07238A1C" w14:textId="6CA4D652" w:rsidR="00A92D9D" w:rsidRPr="00337B54" w:rsidRDefault="00A92D9D" w:rsidP="00A92D9D">
            <w:pPr>
              <w:rPr>
                <w:rFonts w:eastAsia="Times New Roman" w:cs="Arial"/>
                <w:b/>
                <w:bCs/>
                <w:color w:val="121469"/>
              </w:rPr>
            </w:pPr>
            <w:r w:rsidRPr="00337B54">
              <w:rPr>
                <w:rFonts w:eastAsia="Times New Roman" w:cs="Arial"/>
                <w:b/>
                <w:bCs/>
                <w:color w:val="121469"/>
              </w:rPr>
              <w:t>Referentieopdracht</w:t>
            </w:r>
            <w:r>
              <w:rPr>
                <w:rFonts w:eastAsia="Times New Roman" w:cs="Arial"/>
                <w:b/>
                <w:bCs/>
                <w:color w:val="121469"/>
              </w:rPr>
              <w:t xml:space="preserve"> bij kerncompetentie 4</w:t>
            </w:r>
            <w:r w:rsidRPr="00337B54">
              <w:rPr>
                <w:rFonts w:eastAsia="Times New Roman" w:cs="Arial"/>
                <w:b/>
                <w:bCs/>
                <w:color w:val="121469"/>
              </w:rPr>
              <w:t>:</w:t>
            </w:r>
          </w:p>
          <w:p w14:paraId="72888BB0" w14:textId="3BF8A9BC" w:rsidR="008A0991" w:rsidRDefault="008A0991" w:rsidP="008A0991">
            <w:r>
              <w:t xml:space="preserve">De Inschrijver dient in de </w:t>
            </w:r>
            <w:r w:rsidRPr="0022794C">
              <w:t>afgelopen 3 jaar, gerekend vanaf de datum van Aankondiging van de Aanbestedingsprocedure</w:t>
            </w:r>
            <w:r>
              <w:t xml:space="preserve">, een opdracht te hebben opgeleverd dat voldoet aan kerncompetentie 1 en waarvan de opdrachtwaarde minimaal Euro </w:t>
            </w:r>
            <w:r w:rsidR="00766C3B">
              <w:t xml:space="preserve">7.500,- exclusief BTW </w:t>
            </w:r>
            <w:r w:rsidR="00766C3B" w:rsidRPr="00B663CB">
              <w:rPr>
                <w:u w:val="single"/>
              </w:rPr>
              <w:t xml:space="preserve">per </w:t>
            </w:r>
            <w:r w:rsidR="00766C3B">
              <w:rPr>
                <w:u w:val="single"/>
              </w:rPr>
              <w:t>jaar</w:t>
            </w:r>
            <w:r w:rsidR="00766C3B">
              <w:t xml:space="preserve"> </w:t>
            </w:r>
            <w:r>
              <w:t>bedroeg. De opdracht dient conform de destijds overeengekomen voorwaarden, waaronder de realisatietermijn en budget, te zijn opgeleverd.</w:t>
            </w:r>
          </w:p>
          <w:p w14:paraId="7B63C85C" w14:textId="77777777" w:rsidR="008A0991" w:rsidRDefault="008A0991" w:rsidP="008A0991"/>
          <w:p w14:paraId="6FC8D457" w14:textId="3E0A6124" w:rsidR="003E522C" w:rsidRPr="00337B54" w:rsidRDefault="008A0991" w:rsidP="008A0991">
            <w:pPr>
              <w:rPr>
                <w:rFonts w:eastAsia="Times New Roman" w:cs="Arial"/>
                <w:b/>
                <w:bCs/>
                <w:color w:val="121469"/>
              </w:rPr>
            </w:pPr>
            <w:r w:rsidRPr="003E522C">
              <w:t>Een prognose geldt niet als een referentieopdracht. De referentieopdracht moet zijn uitgevoerd conform de overeengekomen voorwaarden, waaronder de (op)leveringstermijnen.</w:t>
            </w:r>
          </w:p>
        </w:tc>
      </w:tr>
    </w:tbl>
    <w:p w14:paraId="7B7C2777" w14:textId="7EB3F790" w:rsidR="00FB77FF" w:rsidRDefault="00FB77FF" w:rsidP="0004219D"/>
    <w:p w14:paraId="57294F53" w14:textId="77777777" w:rsidR="00FB77FF" w:rsidRPr="00656697" w:rsidRDefault="00FB77FF" w:rsidP="00FB77FF">
      <w:pPr>
        <w:pStyle w:val="Default"/>
        <w:adjustRightInd/>
        <w:spacing w:line="283" w:lineRule="exact"/>
        <w:ind w:left="708"/>
        <w:rPr>
          <w:rFonts w:ascii="Verdana" w:hAnsi="Verdana"/>
          <w:b/>
          <w:bCs/>
          <w:color w:val="121469"/>
          <w:sz w:val="18"/>
          <w:szCs w:val="18"/>
        </w:rPr>
      </w:pPr>
      <w:r w:rsidRPr="00656697">
        <w:rPr>
          <w:rFonts w:ascii="Verdana" w:hAnsi="Verdana"/>
          <w:b/>
          <w:bCs/>
          <w:color w:val="121469"/>
          <w:sz w:val="18"/>
          <w:szCs w:val="18"/>
        </w:rPr>
        <w:lastRenderedPageBreak/>
        <w:t>Bewijs bij indiening van de Inschrijving</w:t>
      </w:r>
    </w:p>
    <w:p w14:paraId="63162CFE" w14:textId="1B1889C8" w:rsidR="00480DED" w:rsidRDefault="00FF1E76" w:rsidP="00FF1E76">
      <w:pPr>
        <w:ind w:left="708"/>
      </w:pPr>
      <w:r>
        <w:t xml:space="preserve">Om aan te tonen dat de Inschrijver beschikt over de relevante ervaring, </w:t>
      </w:r>
      <w:r w:rsidR="0027016B">
        <w:t xml:space="preserve">moet de Inschrijver </w:t>
      </w:r>
      <w:r w:rsidR="003E522C">
        <w:t>r</w:t>
      </w:r>
      <w:r w:rsidR="0027016B">
        <w:t>eferentieopdrachten indienen</w:t>
      </w:r>
      <w:r w:rsidR="003E522C">
        <w:t>.</w:t>
      </w:r>
    </w:p>
    <w:p w14:paraId="239C8E81" w14:textId="77777777" w:rsidR="00480DED" w:rsidRDefault="00480DED" w:rsidP="00FF1E76">
      <w:pPr>
        <w:ind w:left="708"/>
      </w:pPr>
    </w:p>
    <w:p w14:paraId="25BC56D4" w14:textId="4AECF8B5" w:rsidR="00480DED" w:rsidRPr="00480DED" w:rsidRDefault="00480DED" w:rsidP="00FF1E76">
      <w:pPr>
        <w:ind w:left="708"/>
        <w:rPr>
          <w:i/>
        </w:rPr>
      </w:pPr>
      <w:r>
        <w:rPr>
          <w:i/>
        </w:rPr>
        <w:t>Aantal referentieopdrachten per kerncompetentie</w:t>
      </w:r>
    </w:p>
    <w:p w14:paraId="7E19B8AC" w14:textId="4A176C9E" w:rsidR="009852A0" w:rsidRDefault="00480DED" w:rsidP="00480DED">
      <w:pPr>
        <w:ind w:left="708"/>
      </w:pPr>
      <w:r>
        <w:t xml:space="preserve">De Inschrijver dient zijn ervaring ter zake van de </w:t>
      </w:r>
      <w:r w:rsidRPr="00480DED">
        <w:rPr>
          <w:u w:val="single"/>
        </w:rPr>
        <w:t xml:space="preserve">kerncompetenties </w:t>
      </w:r>
      <w:r>
        <w:t xml:space="preserve">aan te tonen door middel van </w:t>
      </w:r>
      <w:r w:rsidRPr="00480DED">
        <w:rPr>
          <w:u w:val="single"/>
        </w:rPr>
        <w:t>één referentieopdracht per kerncompetentie</w:t>
      </w:r>
      <w:r>
        <w:t xml:space="preserve">. </w:t>
      </w:r>
      <w:r w:rsidR="002D740A">
        <w:t>Indien de Inschrijver meer dan één referentieproject per kerncompetentie indient, beoordeelt de Tweede Kamer alleen de eerste referentieopdracht conform de ontvangstvolgorde van documenten in de digitale kluis in TenderNed. De overige referentieopdrachten worden dan ook niet in de beoordeling van de geschiktheid van de Inschrijver betrokken.</w:t>
      </w:r>
    </w:p>
    <w:p w14:paraId="3CCCCA59" w14:textId="241C64A5" w:rsidR="009852A0" w:rsidRDefault="009852A0" w:rsidP="00FF1E76">
      <w:pPr>
        <w:ind w:left="708"/>
      </w:pPr>
    </w:p>
    <w:p w14:paraId="704DCBFB" w14:textId="2A360F73" w:rsidR="009852A0" w:rsidRDefault="009852A0" w:rsidP="00FF1E76">
      <w:pPr>
        <w:ind w:left="708"/>
      </w:pPr>
      <w:r>
        <w:t>Voor de verschillende kerncompetenties mag de Inschrijver zich beroepen op een</w:t>
      </w:r>
      <w:r w:rsidR="003E522C">
        <w:t xml:space="preserve"> en de</w:t>
      </w:r>
      <w:r>
        <w:t>zelfde referentieopdracht</w:t>
      </w:r>
      <w:r w:rsidR="005961C8">
        <w:t>, maar met een minimum van twee verschillende opdrachten/opdrachtgevers</w:t>
      </w:r>
      <w:r>
        <w:t>.</w:t>
      </w:r>
    </w:p>
    <w:p w14:paraId="7EC1D899" w14:textId="1A70ABDC" w:rsidR="009852A0" w:rsidRDefault="009852A0" w:rsidP="00FF1E76">
      <w:pPr>
        <w:ind w:left="708"/>
      </w:pPr>
    </w:p>
    <w:p w14:paraId="6F7DC740" w14:textId="3C444824" w:rsidR="00480DED" w:rsidRPr="00480DED" w:rsidRDefault="00480DED" w:rsidP="00FF1E76">
      <w:pPr>
        <w:ind w:left="708"/>
        <w:rPr>
          <w:i/>
        </w:rPr>
      </w:pPr>
      <w:r w:rsidRPr="00480DED">
        <w:rPr>
          <w:i/>
        </w:rPr>
        <w:t>Gebruik van het Format Referentieopdracht</w:t>
      </w:r>
    </w:p>
    <w:p w14:paraId="41C71B62" w14:textId="58431A09" w:rsidR="0027016B" w:rsidRDefault="0027016B" w:rsidP="00FF1E76">
      <w:pPr>
        <w:ind w:left="708"/>
      </w:pPr>
      <w:r>
        <w:t>Voor het indienen van de referentieopdrachten moet de Inschrijver gebruikmaken va</w:t>
      </w:r>
      <w:r w:rsidR="00480DED">
        <w:t xml:space="preserve">n het Format Referentieopdracht, dat als </w:t>
      </w:r>
      <w:r>
        <w:t>Bijlage</w:t>
      </w:r>
      <w:r w:rsidR="00480DED">
        <w:t xml:space="preserve"> </w:t>
      </w:r>
      <w:r w:rsidR="00AF14F6">
        <w:t xml:space="preserve">deel uitmaakt van </w:t>
      </w:r>
      <w:r w:rsidR="00480DED">
        <w:t>de Aanbestedingsleidraad</w:t>
      </w:r>
      <w:r>
        <w:t xml:space="preserve">. </w:t>
      </w:r>
      <w:r w:rsidR="00FF1E76">
        <w:t xml:space="preserve">De Inschrijver moet </w:t>
      </w:r>
      <w:r w:rsidR="00FF1E76" w:rsidRPr="00480DED">
        <w:rPr>
          <w:u w:val="single"/>
        </w:rPr>
        <w:t xml:space="preserve">per </w:t>
      </w:r>
      <w:r w:rsidR="009852A0" w:rsidRPr="00480DED">
        <w:rPr>
          <w:u w:val="single"/>
        </w:rPr>
        <w:t>kerncompetentie/</w:t>
      </w:r>
      <w:r w:rsidR="00480DED" w:rsidRPr="00480DED">
        <w:rPr>
          <w:u w:val="single"/>
        </w:rPr>
        <w:t xml:space="preserve"> </w:t>
      </w:r>
      <w:r w:rsidR="00FF1E76" w:rsidRPr="00480DED">
        <w:rPr>
          <w:u w:val="single"/>
        </w:rPr>
        <w:t xml:space="preserve">referentieopdracht een </w:t>
      </w:r>
      <w:r w:rsidR="00480DED">
        <w:rPr>
          <w:u w:val="single"/>
        </w:rPr>
        <w:t>F</w:t>
      </w:r>
      <w:r w:rsidR="00FF1E76" w:rsidRPr="00480DED">
        <w:rPr>
          <w:u w:val="single"/>
        </w:rPr>
        <w:t xml:space="preserve">ormat Referentieopdracht </w:t>
      </w:r>
      <w:r w:rsidR="00FF1E76">
        <w:t>volledig invullen, rechtsgeldig ondertekenen en indienen.</w:t>
      </w:r>
      <w:r w:rsidR="009852A0">
        <w:t xml:space="preserve"> </w:t>
      </w:r>
      <w:r w:rsidR="009852A0" w:rsidRPr="00480DED">
        <w:rPr>
          <w:i/>
        </w:rPr>
        <w:t>Dat geldt dus ook als de Inschrijver zich voor twee kerncompetenties beroept op eenzelfde referentieopdracht</w:t>
      </w:r>
      <w:r w:rsidR="009852A0">
        <w:t>; de ervaring die per kerncompetentie moet worden aangetoond is immers verschillend.</w:t>
      </w:r>
    </w:p>
    <w:p w14:paraId="25BAA883" w14:textId="2664F3F8" w:rsidR="00480DED" w:rsidRDefault="00480DED" w:rsidP="00FF1E76">
      <w:pPr>
        <w:ind w:left="708"/>
      </w:pPr>
    </w:p>
    <w:p w14:paraId="762D0522" w14:textId="77777777" w:rsidR="00480DED" w:rsidRDefault="00480DED" w:rsidP="00480DED">
      <w:pPr>
        <w:ind w:left="708"/>
      </w:pPr>
      <w:r>
        <w:t>LET OP!</w:t>
      </w:r>
    </w:p>
    <w:p w14:paraId="382AD1E1" w14:textId="5DA81631" w:rsidR="00480DED" w:rsidRDefault="00480DED" w:rsidP="00480DED">
      <w:pPr>
        <w:ind w:left="708"/>
      </w:pPr>
      <w:r>
        <w:t xml:space="preserve">De beoordeling of de Inschrijver voldoet aan de kerncompetenties geschiedt uitsluitend op basis van de Formats Referentieopdracht die de Inschrijver indient. De Tweede Kamer adviseert Inschrijvers dan ook om in de beschrijving van de referentieopdracht nauwkeurig en voldoende uitvoerig in te gaan op ieder aspect uit iedere kerncompetentie. Ervaring (met aspecten) die niet blijkt uit de beschrijving van de referentieopdracht wordt geacht niet te zijn opgedaan. Het niet aantonen van de vereiste ervaring leidt tot ongeldigheid van de Inschrijving en uitsluiting van deelname aan de Aanbestedingsprocedure. </w:t>
      </w:r>
    </w:p>
    <w:p w14:paraId="6D9134E8" w14:textId="277A37AD" w:rsidR="002F07AB" w:rsidRDefault="002F07AB" w:rsidP="002F07AB"/>
    <w:p w14:paraId="23F48B40" w14:textId="1F206DC5" w:rsidR="002F07AB" w:rsidRPr="002F07AB" w:rsidRDefault="002F07AB" w:rsidP="002F07AB">
      <w:pPr>
        <w:rPr>
          <w:i/>
        </w:rPr>
      </w:pPr>
      <w:r w:rsidRPr="002F07AB">
        <w:rPr>
          <w:i/>
        </w:rPr>
        <w:t xml:space="preserve">Het is de Inschrijver toegestaan om een beroep te doen </w:t>
      </w:r>
      <w:r>
        <w:rPr>
          <w:i/>
        </w:rPr>
        <w:t>op een Derde om t</w:t>
      </w:r>
      <w:r w:rsidR="00C221D1">
        <w:rPr>
          <w:i/>
        </w:rPr>
        <w:t xml:space="preserve">e voldoen aan Geschiktheidseis </w:t>
      </w:r>
      <w:r w:rsidR="00430394">
        <w:rPr>
          <w:i/>
        </w:rPr>
        <w:t>“Referentieopdrachten”</w:t>
      </w:r>
      <w:r w:rsidRPr="002F07AB">
        <w:rPr>
          <w:i/>
        </w:rPr>
        <w:t>. In geval van een beroep op (een) Derde(n) dient de Inschrijver te voldoen aan de eisen en instructies zoals genoemd in paragraaf</w:t>
      </w:r>
      <w:r w:rsidR="00430394">
        <w:rPr>
          <w:i/>
        </w:rPr>
        <w:t xml:space="preserve"> “Aanbestedingsvoorschriften”</w:t>
      </w:r>
      <w:r w:rsidRPr="002F07AB">
        <w:rPr>
          <w:i/>
        </w:rPr>
        <w:t xml:space="preserve"> onder </w:t>
      </w:r>
      <w:r w:rsidR="00430394">
        <w:rPr>
          <w:i/>
        </w:rPr>
        <w:t>het kopje “Beroep op Derde(n)”</w:t>
      </w:r>
      <w:r w:rsidRPr="002F07AB">
        <w:rPr>
          <w:i/>
        </w:rPr>
        <w:t>.</w:t>
      </w:r>
    </w:p>
    <w:p w14:paraId="4D909DA8" w14:textId="6369C547" w:rsidR="002F07AB" w:rsidRDefault="002F07AB" w:rsidP="002F07AB"/>
    <w:p w14:paraId="49EB82DA" w14:textId="7D99D71F" w:rsidR="009852A0" w:rsidRDefault="009852A0" w:rsidP="00FF1E76">
      <w:pPr>
        <w:ind w:left="708"/>
      </w:pPr>
      <w:r>
        <w:lastRenderedPageBreak/>
        <w:t xml:space="preserve">Indien de Inschrijver voor het aantonen van de ervaring met een kerncompetentie een beroep doet op een Derde, moet de Inschrijver per kerncompetentie waarvoor hij zich op de Derde beroept, een volledig door die Derde ingevuld </w:t>
      </w:r>
      <w:r w:rsidR="00430394">
        <w:t xml:space="preserve">en rechtsgeldig ondertekend Format Referentieopdracht </w:t>
      </w:r>
      <w:r>
        <w:t>indienen.</w:t>
      </w:r>
    </w:p>
    <w:p w14:paraId="322318FB" w14:textId="413416B8" w:rsidR="003C4427" w:rsidRDefault="008F0015" w:rsidP="003C4427">
      <w:r>
        <w:t xml:space="preserve">De Tweede Kamer behoudt zich het recht voor om referenties na te trekken. De Tweede Kamer gaat ervan uit dat de Inschrijver de referenten daarvan op de hoogte heeft gebracht. </w:t>
      </w:r>
      <w:r w:rsidR="003C4427">
        <w:t>Indien uit het natrekken van referentieopdrachten blijkt dat de (beschrijving van de) referentieopdracht onjuistheden bevat, leidt dat tot ongeldigheid van de Inschrijving en uitsluiting van de Inschrijver van verdere deelname aan de Aanbestedingsprocedure.</w:t>
      </w:r>
    </w:p>
    <w:p w14:paraId="1490C312" w14:textId="3F906A65" w:rsidR="002A6193" w:rsidRDefault="002A6193" w:rsidP="0004219D"/>
    <w:p w14:paraId="7C4FD96A" w14:textId="1FC29AA4" w:rsidR="00130596" w:rsidRDefault="00130596" w:rsidP="0062254D">
      <w:pPr>
        <w:pStyle w:val="RapportKop3"/>
      </w:pPr>
      <w:bookmarkStart w:id="29" w:name="_Toc105606091"/>
      <w:r>
        <w:t>Beroepsbevoegdheid</w:t>
      </w:r>
      <w:bookmarkEnd w:id="29"/>
    </w:p>
    <w:p w14:paraId="7E3B8B29" w14:textId="661C2694" w:rsidR="002A6B7C" w:rsidRPr="00E4594D" w:rsidRDefault="002A6B7C" w:rsidP="002A6B7C">
      <w:pPr>
        <w:pStyle w:val="Default"/>
        <w:adjustRightInd/>
        <w:spacing w:line="283" w:lineRule="exact"/>
        <w:rPr>
          <w:rFonts w:ascii="Verdana" w:hAnsi="Verdana"/>
          <w:b/>
          <w:bCs/>
          <w:color w:val="121469"/>
          <w:sz w:val="18"/>
          <w:szCs w:val="18"/>
        </w:rPr>
      </w:pPr>
      <w:r w:rsidRPr="00D40173">
        <w:rPr>
          <w:rFonts w:ascii="Verdana" w:hAnsi="Verdana"/>
          <w:b/>
          <w:bCs/>
          <w:color w:val="121469"/>
          <w:sz w:val="18"/>
          <w:szCs w:val="18"/>
        </w:rPr>
        <w:t>G</w:t>
      </w:r>
      <w:r w:rsidR="00130596" w:rsidRPr="00D40173">
        <w:rPr>
          <w:rFonts w:ascii="Verdana" w:hAnsi="Verdana"/>
          <w:b/>
          <w:bCs/>
          <w:color w:val="121469"/>
          <w:sz w:val="18"/>
          <w:szCs w:val="18"/>
        </w:rPr>
        <w:t>eschik</w:t>
      </w:r>
      <w:r w:rsidR="00C221D1" w:rsidRPr="00D40173">
        <w:rPr>
          <w:rFonts w:ascii="Verdana" w:hAnsi="Verdana"/>
          <w:b/>
          <w:bCs/>
          <w:color w:val="121469"/>
          <w:sz w:val="18"/>
          <w:szCs w:val="18"/>
        </w:rPr>
        <w:t xml:space="preserve">theidseis </w:t>
      </w:r>
      <w:r w:rsidR="00677C67">
        <w:rPr>
          <w:rFonts w:ascii="Verdana" w:hAnsi="Verdana"/>
          <w:b/>
          <w:bCs/>
          <w:color w:val="121469"/>
          <w:sz w:val="18"/>
          <w:szCs w:val="18"/>
        </w:rPr>
        <w:t>3</w:t>
      </w:r>
      <w:r w:rsidR="00130596" w:rsidRPr="00D40173">
        <w:rPr>
          <w:rFonts w:ascii="Verdana" w:hAnsi="Verdana"/>
          <w:b/>
          <w:bCs/>
          <w:color w:val="121469"/>
          <w:sz w:val="18"/>
          <w:szCs w:val="18"/>
        </w:rPr>
        <w:t>: Inschrijving handelsregister</w:t>
      </w:r>
    </w:p>
    <w:p w14:paraId="4D825395" w14:textId="4F71EE7D" w:rsidR="002A6B7C" w:rsidRDefault="002A6B7C" w:rsidP="002A6B7C">
      <w:r>
        <w:t xml:space="preserve">De Inschrijver moet </w:t>
      </w:r>
      <w:r w:rsidR="002B4BF5">
        <w:t>ingeschreven staan in het beroeps- of handelsregister in het land waarin hij is gevestigd.</w:t>
      </w:r>
      <w:r>
        <w:t xml:space="preserve"> </w:t>
      </w:r>
    </w:p>
    <w:p w14:paraId="578E673F" w14:textId="53FB9EBA" w:rsidR="002A6B7C" w:rsidRDefault="002A6B7C" w:rsidP="002A6B7C"/>
    <w:p w14:paraId="0D1BB641" w14:textId="77777777" w:rsidR="002A6B7C" w:rsidRPr="00656697" w:rsidRDefault="002A6B7C" w:rsidP="002A6B7C">
      <w:pPr>
        <w:pStyle w:val="Default"/>
        <w:adjustRightInd/>
        <w:spacing w:line="283" w:lineRule="exact"/>
        <w:ind w:left="708"/>
        <w:rPr>
          <w:rFonts w:ascii="Verdana" w:hAnsi="Verdana"/>
          <w:b/>
          <w:bCs/>
          <w:color w:val="121469"/>
          <w:sz w:val="18"/>
          <w:szCs w:val="18"/>
        </w:rPr>
      </w:pPr>
      <w:r w:rsidRPr="00656697">
        <w:rPr>
          <w:rFonts w:ascii="Verdana" w:hAnsi="Verdana"/>
          <w:b/>
          <w:bCs/>
          <w:color w:val="121469"/>
          <w:sz w:val="18"/>
          <w:szCs w:val="18"/>
        </w:rPr>
        <w:t>Bewijs bij indiening van de Inschrijving</w:t>
      </w:r>
    </w:p>
    <w:p w14:paraId="7B2B9155" w14:textId="4EE47B9F" w:rsidR="002A6B7C" w:rsidRDefault="002A6B7C" w:rsidP="002A6B7C">
      <w:pPr>
        <w:ind w:left="708"/>
      </w:pPr>
      <w:r>
        <w:t xml:space="preserve">Door middel van de indiening van de Eigen Verklaring bewijst de Inschrijver bij het indienen van de Inschrijving dat hij voldoet aan deze eis. </w:t>
      </w:r>
    </w:p>
    <w:p w14:paraId="51737326" w14:textId="77777777" w:rsidR="002A6B7C" w:rsidRDefault="002A6B7C" w:rsidP="002A6B7C">
      <w:pPr>
        <w:ind w:left="708"/>
      </w:pPr>
    </w:p>
    <w:p w14:paraId="551549A7" w14:textId="77777777" w:rsidR="002A6B7C" w:rsidRPr="00656697" w:rsidRDefault="002A6B7C" w:rsidP="002A6B7C">
      <w:pPr>
        <w:pStyle w:val="Default"/>
        <w:adjustRightInd/>
        <w:spacing w:line="283" w:lineRule="exact"/>
        <w:ind w:left="708"/>
        <w:rPr>
          <w:rFonts w:ascii="Verdana" w:hAnsi="Verdana"/>
          <w:b/>
          <w:bCs/>
          <w:color w:val="121469"/>
          <w:sz w:val="18"/>
          <w:szCs w:val="18"/>
        </w:rPr>
      </w:pPr>
      <w:r w:rsidRPr="00656697">
        <w:rPr>
          <w:rFonts w:ascii="Verdana" w:hAnsi="Verdana"/>
          <w:b/>
          <w:bCs/>
          <w:color w:val="121469"/>
          <w:sz w:val="18"/>
          <w:szCs w:val="18"/>
        </w:rPr>
        <w:t>Bewijs door de voorgenomen begunstigde</w:t>
      </w:r>
    </w:p>
    <w:p w14:paraId="2CB76522" w14:textId="4D99A8A2" w:rsidR="002A6B7C" w:rsidRDefault="002A6B7C" w:rsidP="002A6B7C">
      <w:pPr>
        <w:ind w:left="708"/>
      </w:pPr>
      <w:r>
        <w:t xml:space="preserve">De Inschrijver die op grond van de beoordeling van de Inschrijvingen eindigt als eerste in rang, moet op verzoek van de Tweede Kamer en volgens de voorschriften van hoofdstuk </w:t>
      </w:r>
      <w:r w:rsidR="00274328">
        <w:t>“</w:t>
      </w:r>
      <w:r w:rsidR="00274328" w:rsidRPr="009A54BD">
        <w:rPr>
          <w:i/>
        </w:rPr>
        <w:t>Verificatie van de Inschrijving van de voorgenomen begunstigde(n)</w:t>
      </w:r>
      <w:r w:rsidR="00274328">
        <w:t xml:space="preserve">” </w:t>
      </w:r>
      <w:r w:rsidR="002B4BF5">
        <w:t>bewijzen dat hij voldoet aan deze eis. In dat kader geldt het volgende:</w:t>
      </w:r>
    </w:p>
    <w:p w14:paraId="57DFACD8" w14:textId="0C3C66EB" w:rsidR="002B4BF5" w:rsidRDefault="002B4BF5" w:rsidP="00B01284">
      <w:pPr>
        <w:pStyle w:val="Lijstalinea"/>
        <w:numPr>
          <w:ilvl w:val="0"/>
          <w:numId w:val="21"/>
        </w:numPr>
      </w:pPr>
      <w:r>
        <w:t>De Inschrijver/combinanten moet</w:t>
      </w:r>
      <w:r w:rsidR="00565BEB">
        <w:t>(</w:t>
      </w:r>
      <w:r>
        <w:t>en</w:t>
      </w:r>
      <w:r w:rsidR="00565BEB">
        <w:t>)</w:t>
      </w:r>
      <w:r>
        <w:t xml:space="preserve"> een uittreksel uit het handelsregister van de Kamer van Koophandel indienen, dat op het moment van het in</w:t>
      </w:r>
      <w:r w:rsidR="00565BEB">
        <w:t xml:space="preserve">dienen van de Inschrijving maximaal zes maanden oud is. </w:t>
      </w:r>
    </w:p>
    <w:p w14:paraId="044502E4" w14:textId="211217C7" w:rsidR="00565BEB" w:rsidRDefault="00565BEB" w:rsidP="00B01284">
      <w:pPr>
        <w:pStyle w:val="Lijstalinea"/>
        <w:numPr>
          <w:ilvl w:val="0"/>
          <w:numId w:val="21"/>
        </w:numPr>
      </w:pPr>
      <w:r>
        <w:t xml:space="preserve">Ondernemingen die een maatschap zijn, dienen de uittreksels in van degenen die de maatschap vormen (indien ze zijn geregistreerd in het handelsregister), en alle maten </w:t>
      </w:r>
      <w:r w:rsidR="002246F3">
        <w:t>moeten</w:t>
      </w:r>
      <w:r>
        <w:t xml:space="preserve"> ee</w:t>
      </w:r>
      <w:r w:rsidR="002246F3">
        <w:t>n ondertekende verklaring in</w:t>
      </w:r>
      <w:r>
        <w:t>dienen waaruit blijkt dat ze vertegenwoordi</w:t>
      </w:r>
      <w:r w:rsidR="002246F3">
        <w:t>gingsbevoegd zijn voor de Aanbestedingsprocedure.</w:t>
      </w:r>
    </w:p>
    <w:p w14:paraId="6212CDFE" w14:textId="77777777" w:rsidR="00A46912" w:rsidRDefault="002246F3" w:rsidP="006624ED">
      <w:pPr>
        <w:pStyle w:val="Lijstalinea"/>
        <w:numPr>
          <w:ilvl w:val="0"/>
          <w:numId w:val="21"/>
        </w:numPr>
      </w:pPr>
      <w:r>
        <w:t xml:space="preserve">De Inschrijver die een beroep doet op (een) Derde(n) en/of gebruikmaakt van onderaannemers dient een uittreksel uit het handelsregister van de Kamer van Koophandel van de Derde(n) en/of onderaannemers in, dat op het moment van het indienen van de Inschrijving maximaal zes maanden oud is. </w:t>
      </w:r>
    </w:p>
    <w:p w14:paraId="6F5B5FF7" w14:textId="13556C2A" w:rsidR="007C7B39" w:rsidRPr="0096454E" w:rsidRDefault="00677C67" w:rsidP="00A46912">
      <w:pPr>
        <w:pStyle w:val="Lijstalinea"/>
        <w:ind w:left="1068"/>
      </w:pPr>
      <w:r>
        <w:rPr>
          <w:i/>
        </w:rPr>
        <w:t>Het</w:t>
      </w:r>
      <w:r w:rsidR="002246F3" w:rsidRPr="00677C67">
        <w:rPr>
          <w:i/>
        </w:rPr>
        <w:t xml:space="preserve"> is de Inschrijver </w:t>
      </w:r>
      <w:r w:rsidR="002246F3" w:rsidRPr="00677C67">
        <w:rPr>
          <w:i/>
          <w:u w:val="single"/>
        </w:rPr>
        <w:t>niet</w:t>
      </w:r>
      <w:r w:rsidR="002246F3" w:rsidRPr="00677C67">
        <w:rPr>
          <w:i/>
        </w:rPr>
        <w:t xml:space="preserve"> toegestaan om een beroep te doen op een Derde om t</w:t>
      </w:r>
      <w:r w:rsidR="00C221D1" w:rsidRPr="00677C67">
        <w:rPr>
          <w:i/>
        </w:rPr>
        <w:t xml:space="preserve">e voldoen aan Geschiktheidseis </w:t>
      </w:r>
      <w:r w:rsidR="00274328" w:rsidRPr="00677C67">
        <w:rPr>
          <w:i/>
        </w:rPr>
        <w:t>“Inschrijving handelsregister”</w:t>
      </w:r>
      <w:r w:rsidR="002246F3" w:rsidRPr="00677C67">
        <w:rPr>
          <w:i/>
        </w:rPr>
        <w:t xml:space="preserve">. </w:t>
      </w:r>
    </w:p>
    <w:p w14:paraId="0E4E0433" w14:textId="510DFD00" w:rsidR="0071792E" w:rsidRDefault="00AE346C" w:rsidP="0071792E">
      <w:pPr>
        <w:pStyle w:val="RapportKop1"/>
      </w:pPr>
      <w:bookmarkStart w:id="30" w:name="_Toc105606092"/>
      <w:r>
        <w:lastRenderedPageBreak/>
        <w:t>Minimumeisen</w:t>
      </w:r>
      <w:bookmarkEnd w:id="30"/>
    </w:p>
    <w:p w14:paraId="67F73D3B" w14:textId="76CC3844" w:rsidR="00851D26" w:rsidRDefault="00851D26" w:rsidP="00851D26">
      <w:r>
        <w:t>De Minimumeisen die de Tweede Kamer stelt aan de uitvoering van de opdracht, staan beschr</w:t>
      </w:r>
      <w:r w:rsidR="00274328">
        <w:t xml:space="preserve">even in het Programma van Eisen, dat als Bijlage </w:t>
      </w:r>
      <w:r w:rsidR="00AF14F6">
        <w:t xml:space="preserve">deel uitmaakt van </w:t>
      </w:r>
      <w:r w:rsidR="00274328">
        <w:t>de Aanbestedingsleidraad</w:t>
      </w:r>
      <w:r>
        <w:t xml:space="preserve">. Onder de Minimumeisen is ook begrepen de </w:t>
      </w:r>
      <w:r w:rsidR="00274328">
        <w:t xml:space="preserve">concept Overeenkomst, die eveneens als Bijlage </w:t>
      </w:r>
      <w:r w:rsidR="00AF14F6">
        <w:t xml:space="preserve">deel uitmaakt van </w:t>
      </w:r>
      <w:r w:rsidR="00274328">
        <w:t>de Aanbestedingsleidraad</w:t>
      </w:r>
      <w:r>
        <w:t>.</w:t>
      </w:r>
    </w:p>
    <w:p w14:paraId="12E4F1D5" w14:textId="77777777" w:rsidR="00851D26" w:rsidRDefault="00851D26" w:rsidP="00024571"/>
    <w:p w14:paraId="28E65C21" w14:textId="4EA4B23C" w:rsidR="006B6C26" w:rsidRDefault="00AE346C" w:rsidP="00024571">
      <w:r>
        <w:t xml:space="preserve">De </w:t>
      </w:r>
      <w:r w:rsidR="00851D26">
        <w:t xml:space="preserve">Tweede Kamer beoordeelt of de </w:t>
      </w:r>
      <w:r>
        <w:t xml:space="preserve">Inschrijving </w:t>
      </w:r>
      <w:r w:rsidR="00851D26">
        <w:t xml:space="preserve">voldoet aan de Minimumeisen. Door het indienen van de Inschrijving gaat de Inschrijver akkoord met de Minimumeisen. De Inschrijving </w:t>
      </w:r>
      <w:r w:rsidR="00A92D2B">
        <w:t>die niet onvoorwaardelijk voldoet</w:t>
      </w:r>
      <w:r>
        <w:t xml:space="preserve"> aan alle Minimumeisen</w:t>
      </w:r>
      <w:r w:rsidR="00A92D2B">
        <w:t xml:space="preserve"> is ongeldig en wordt door de Tweede Kamer ter zijde</w:t>
      </w:r>
      <w:r w:rsidR="00851D26">
        <w:t xml:space="preserve"> gelegd.</w:t>
      </w:r>
    </w:p>
    <w:p w14:paraId="1F567AF8" w14:textId="341F9887" w:rsidR="0091018B" w:rsidRDefault="0091018B" w:rsidP="00024571"/>
    <w:p w14:paraId="3B2B5559" w14:textId="77777777" w:rsidR="0091018B" w:rsidRDefault="0091018B" w:rsidP="00024571"/>
    <w:p w14:paraId="1B3A8476" w14:textId="77777777" w:rsidR="006B6C26" w:rsidRDefault="006B6C26">
      <w:pPr>
        <w:spacing w:line="240" w:lineRule="auto"/>
      </w:pPr>
      <w:r>
        <w:br w:type="page"/>
      </w:r>
    </w:p>
    <w:p w14:paraId="682C470D" w14:textId="6BE2ECF8" w:rsidR="00A92D2B" w:rsidRDefault="006B6C26" w:rsidP="006B6C26">
      <w:pPr>
        <w:pStyle w:val="RapportKop1"/>
      </w:pPr>
      <w:bookmarkStart w:id="31" w:name="_Toc105606093"/>
      <w:r>
        <w:lastRenderedPageBreak/>
        <w:t>Gunningscriterium</w:t>
      </w:r>
      <w:bookmarkEnd w:id="31"/>
    </w:p>
    <w:p w14:paraId="2EE1E547" w14:textId="3557A1EA" w:rsidR="00067C29" w:rsidRDefault="004A00FE" w:rsidP="00024571">
      <w:r>
        <w:t>De Tweede Kamer beoordeelt de I</w:t>
      </w:r>
      <w:r w:rsidR="00B66DF2">
        <w:t>nschrijvingen op basis van het G</w:t>
      </w:r>
      <w:r>
        <w:t>unningscriterium de beste prijs-kwaliteitverhouding.</w:t>
      </w:r>
      <w:r w:rsidR="00BA5F97">
        <w:t xml:space="preserve"> </w:t>
      </w:r>
    </w:p>
    <w:p w14:paraId="02E06E8B" w14:textId="77777777" w:rsidR="00067C29" w:rsidRDefault="00067C29" w:rsidP="00024571"/>
    <w:p w14:paraId="4709FA17" w14:textId="56DD4D04" w:rsidR="004A00FE" w:rsidRDefault="00BA5F97" w:rsidP="00024571">
      <w:r>
        <w:t>Het Gunningscriterium betreft de wensen van de Tweede Kamer. Naarmate de Inschrijver daaraan beter tegemoetkomt door middel van zijn Inschrijving, ontvangt hij meer punten voor zijn Inschrijv</w:t>
      </w:r>
      <w:r w:rsidR="00067C29">
        <w:t xml:space="preserve">ing. Op basis van de punten per Inschrijving vindt rangschikking van de Inschrijvingen plaats. </w:t>
      </w:r>
      <w:r w:rsidR="004A00FE">
        <w:t xml:space="preserve"> </w:t>
      </w:r>
    </w:p>
    <w:p w14:paraId="0188CF8F" w14:textId="224A852D" w:rsidR="00D67DCD" w:rsidRDefault="00B66DF2" w:rsidP="00D67DCD">
      <w:pPr>
        <w:pStyle w:val="RapportKop2"/>
      </w:pPr>
      <w:bookmarkStart w:id="32" w:name="_Toc105606094"/>
      <w:r>
        <w:t>Gunningscriterium: de b</w:t>
      </w:r>
      <w:r w:rsidR="004A00FE">
        <w:t>este prijs-kwaliteitverhouding</w:t>
      </w:r>
      <w:bookmarkEnd w:id="32"/>
    </w:p>
    <w:p w14:paraId="5B7D8DF5" w14:textId="77777777" w:rsidR="009B5561" w:rsidRDefault="009B5561" w:rsidP="009B5561">
      <w:r>
        <w:t xml:space="preserve">Het Gunningscriterium is verdeeld over twee subcriteria, namelijk: </w:t>
      </w:r>
    </w:p>
    <w:p w14:paraId="5C00B296" w14:textId="7CADB0C8" w:rsidR="008E78F3" w:rsidRDefault="008E78F3" w:rsidP="00B01284">
      <w:pPr>
        <w:pStyle w:val="Lijstalinea"/>
        <w:numPr>
          <w:ilvl w:val="0"/>
          <w:numId w:val="26"/>
        </w:numPr>
      </w:pPr>
      <w:r>
        <w:t xml:space="preserve">kwaliteit. Het kwaliteitscriterium is onderverdeeld in </w:t>
      </w:r>
      <w:r w:rsidR="001F7A6E" w:rsidRPr="000B1031">
        <w:t>4</w:t>
      </w:r>
      <w:r w:rsidR="001F7A6E">
        <w:rPr>
          <w:strike/>
        </w:rPr>
        <w:t xml:space="preserve"> </w:t>
      </w:r>
      <w:r w:rsidR="001F7A6E">
        <w:t xml:space="preserve"> </w:t>
      </w:r>
      <w:r>
        <w:t>afzonderlijke criteria (hierna aangeduid als ‘</w:t>
      </w:r>
      <w:r w:rsidRPr="00A706F5">
        <w:rPr>
          <w:b/>
        </w:rPr>
        <w:t>Kwaliteitscriteria</w:t>
      </w:r>
      <w:r>
        <w:t>’).</w:t>
      </w:r>
    </w:p>
    <w:p w14:paraId="7ABBD860" w14:textId="494D4DF5" w:rsidR="009B5561" w:rsidRDefault="0039434C" w:rsidP="00B01284">
      <w:pPr>
        <w:pStyle w:val="Lijstalinea"/>
        <w:numPr>
          <w:ilvl w:val="0"/>
          <w:numId w:val="26"/>
        </w:numPr>
      </w:pPr>
      <w:r>
        <w:t>P</w:t>
      </w:r>
      <w:r w:rsidR="009B5561">
        <w:t>rijs</w:t>
      </w:r>
      <w:r>
        <w:t xml:space="preserve">. </w:t>
      </w:r>
    </w:p>
    <w:p w14:paraId="38CEBE42" w14:textId="77777777" w:rsidR="009B5561" w:rsidRDefault="009B5561" w:rsidP="009B5561"/>
    <w:p w14:paraId="26483B59" w14:textId="1CA69B7F" w:rsidR="005961C8" w:rsidRPr="00DB2406" w:rsidRDefault="009B5561" w:rsidP="005961C8">
      <w:pPr>
        <w:rPr>
          <w:rFonts w:cstheme="minorHAnsi"/>
        </w:rPr>
      </w:pPr>
      <w:r>
        <w:t xml:space="preserve">De Tweede Kamer beoordeelt de Inschrijvingen aan de hand van het Prijscriterium en </w:t>
      </w:r>
      <w:r w:rsidR="0091018B">
        <w:t>d</w:t>
      </w:r>
      <w:r w:rsidR="005961C8">
        <w:t xml:space="preserve">e Kwaliteitscriteria, </w:t>
      </w:r>
      <w:r w:rsidR="005961C8">
        <w:rPr>
          <w:rFonts w:cstheme="minorHAnsi"/>
        </w:rPr>
        <w:t xml:space="preserve">overeenkomstig parafgraaf 7.2.1 </w:t>
      </w:r>
      <w:r w:rsidR="005961C8" w:rsidRPr="00DB2406">
        <w:rPr>
          <w:rFonts w:cstheme="minorHAnsi"/>
        </w:rPr>
        <w:t>worden getoetst op:</w:t>
      </w:r>
    </w:p>
    <w:p w14:paraId="3C198F36" w14:textId="77777777" w:rsidR="005961C8" w:rsidRPr="00DB2406" w:rsidRDefault="005961C8" w:rsidP="005961C8">
      <w:pPr>
        <w:numPr>
          <w:ilvl w:val="0"/>
          <w:numId w:val="32"/>
        </w:numPr>
        <w:autoSpaceDN/>
        <w:spacing w:line="240" w:lineRule="auto"/>
        <w:contextualSpacing/>
        <w:textAlignment w:val="auto"/>
        <w:rPr>
          <w:rFonts w:cstheme="minorHAnsi"/>
        </w:rPr>
      </w:pPr>
      <w:r w:rsidRPr="00DB2406">
        <w:rPr>
          <w:rFonts w:cstheme="minorHAnsi"/>
        </w:rPr>
        <w:t>Kwaliteit van de beschrijving;</w:t>
      </w:r>
    </w:p>
    <w:p w14:paraId="3B97E834" w14:textId="77777777" w:rsidR="005961C8" w:rsidRPr="00DB2406" w:rsidRDefault="005961C8" w:rsidP="005961C8">
      <w:pPr>
        <w:numPr>
          <w:ilvl w:val="0"/>
          <w:numId w:val="32"/>
        </w:numPr>
        <w:autoSpaceDN/>
        <w:spacing w:line="240" w:lineRule="auto"/>
        <w:contextualSpacing/>
        <w:textAlignment w:val="auto"/>
        <w:rPr>
          <w:rFonts w:cstheme="minorHAnsi"/>
        </w:rPr>
      </w:pPr>
      <w:r w:rsidRPr="00DB2406">
        <w:rPr>
          <w:rFonts w:cstheme="minorHAnsi"/>
        </w:rPr>
        <w:t>Kwaliteit van de totale oplossing</w:t>
      </w:r>
      <w:r>
        <w:rPr>
          <w:rFonts w:cstheme="minorHAnsi"/>
        </w:rPr>
        <w:t xml:space="preserve"> (inrichting, monitoring, beheer)</w:t>
      </w:r>
      <w:r w:rsidRPr="00DB2406">
        <w:rPr>
          <w:rFonts w:cstheme="minorHAnsi"/>
        </w:rPr>
        <w:t>;</w:t>
      </w:r>
    </w:p>
    <w:p w14:paraId="4DB3E7B5" w14:textId="77777777" w:rsidR="005961C8" w:rsidRDefault="005961C8" w:rsidP="005961C8">
      <w:pPr>
        <w:numPr>
          <w:ilvl w:val="0"/>
          <w:numId w:val="32"/>
        </w:numPr>
        <w:autoSpaceDN/>
        <w:spacing w:line="240" w:lineRule="auto"/>
        <w:contextualSpacing/>
        <w:textAlignment w:val="auto"/>
        <w:rPr>
          <w:rFonts w:cstheme="minorHAnsi"/>
        </w:rPr>
      </w:pPr>
      <w:r>
        <w:rPr>
          <w:rFonts w:cstheme="minorHAnsi"/>
        </w:rPr>
        <w:t>Compleetheid van de aanbieding;</w:t>
      </w:r>
    </w:p>
    <w:p w14:paraId="09CCFC46" w14:textId="77777777" w:rsidR="005961C8" w:rsidRPr="00DB2406" w:rsidRDefault="005961C8" w:rsidP="005961C8">
      <w:pPr>
        <w:numPr>
          <w:ilvl w:val="0"/>
          <w:numId w:val="32"/>
        </w:numPr>
        <w:autoSpaceDN/>
        <w:spacing w:line="240" w:lineRule="auto"/>
        <w:contextualSpacing/>
        <w:textAlignment w:val="auto"/>
        <w:rPr>
          <w:rFonts w:cstheme="minorHAnsi"/>
        </w:rPr>
      </w:pPr>
      <w:r>
        <w:rPr>
          <w:rFonts w:cstheme="minorHAnsi"/>
        </w:rPr>
        <w:t>Prijs van het geheel.</w:t>
      </w:r>
    </w:p>
    <w:p w14:paraId="6E65B427" w14:textId="12142619" w:rsidR="009B5561" w:rsidRDefault="009B5561" w:rsidP="009B5561"/>
    <w:p w14:paraId="6369AD11" w14:textId="1564B2C8" w:rsidR="0071792E" w:rsidRDefault="006811B8" w:rsidP="00024571">
      <w:r>
        <w:t xml:space="preserve">Het Gunningscriterium </w:t>
      </w:r>
      <w:r w:rsidR="00B66DF2">
        <w:t>ziet er schematisch als volgt uit:</w:t>
      </w:r>
    </w:p>
    <w:p w14:paraId="0C2575C7" w14:textId="4F97B1DF" w:rsidR="00B66DF2" w:rsidRDefault="00B66DF2" w:rsidP="00024571"/>
    <w:tbl>
      <w:tblPr>
        <w:tblStyle w:val="Tabelraster"/>
        <w:tblW w:w="8359" w:type="dxa"/>
        <w:tblLook w:val="04A0" w:firstRow="1" w:lastRow="0" w:firstColumn="1" w:lastColumn="0" w:noHBand="0" w:noVBand="1"/>
      </w:tblPr>
      <w:tblGrid>
        <w:gridCol w:w="788"/>
        <w:gridCol w:w="2792"/>
        <w:gridCol w:w="3392"/>
        <w:gridCol w:w="1387"/>
      </w:tblGrid>
      <w:tr w:rsidR="00711994" w14:paraId="422BA222" w14:textId="77777777" w:rsidTr="003446C7">
        <w:tc>
          <w:tcPr>
            <w:tcW w:w="788" w:type="dxa"/>
            <w:vMerge w:val="restart"/>
            <w:shd w:val="clear" w:color="auto" w:fill="2F5496" w:themeFill="accent5" w:themeFillShade="BF"/>
            <w:textDirection w:val="btLr"/>
          </w:tcPr>
          <w:p w14:paraId="19507AA9" w14:textId="77777777" w:rsidR="00711994" w:rsidRPr="00117B21" w:rsidRDefault="00711994" w:rsidP="00711994">
            <w:pPr>
              <w:ind w:left="113" w:right="113"/>
              <w:jc w:val="center"/>
              <w:rPr>
                <w:b/>
                <w:color w:val="FFFFFF" w:themeColor="background1"/>
              </w:rPr>
            </w:pPr>
            <w:r w:rsidRPr="00117B21">
              <w:rPr>
                <w:b/>
                <w:color w:val="FFFFFF" w:themeColor="background1"/>
              </w:rPr>
              <w:t>Gunningscriterium</w:t>
            </w:r>
          </w:p>
          <w:p w14:paraId="3419967C" w14:textId="2205EF99" w:rsidR="00711994" w:rsidRDefault="00711994" w:rsidP="00711994">
            <w:pPr>
              <w:ind w:left="113" w:right="113"/>
              <w:jc w:val="center"/>
            </w:pPr>
            <w:r w:rsidRPr="00117B21">
              <w:rPr>
                <w:color w:val="FFFFFF" w:themeColor="background1"/>
              </w:rPr>
              <w:t>Beste prijs-kwaliteitverhouding</w:t>
            </w:r>
          </w:p>
        </w:tc>
        <w:tc>
          <w:tcPr>
            <w:tcW w:w="2792" w:type="dxa"/>
            <w:tcBorders>
              <w:bottom w:val="single" w:sz="4" w:space="0" w:color="auto"/>
            </w:tcBorders>
            <w:shd w:val="clear" w:color="auto" w:fill="2F5496" w:themeFill="accent5" w:themeFillShade="BF"/>
            <w:vAlign w:val="center"/>
          </w:tcPr>
          <w:p w14:paraId="54AEE4A5" w14:textId="5CFED299" w:rsidR="00711994" w:rsidRPr="00711994" w:rsidRDefault="00711994" w:rsidP="00024571">
            <w:pPr>
              <w:rPr>
                <w:b/>
                <w:color w:val="FFFFFF" w:themeColor="background1"/>
              </w:rPr>
            </w:pPr>
          </w:p>
        </w:tc>
        <w:tc>
          <w:tcPr>
            <w:tcW w:w="4779" w:type="dxa"/>
            <w:gridSpan w:val="2"/>
            <w:shd w:val="clear" w:color="auto" w:fill="2F5496" w:themeFill="accent5" w:themeFillShade="BF"/>
            <w:vAlign w:val="center"/>
          </w:tcPr>
          <w:p w14:paraId="5486605D" w14:textId="2730FD76" w:rsidR="00711994" w:rsidRPr="00711994" w:rsidRDefault="00711994" w:rsidP="00024571">
            <w:pPr>
              <w:rPr>
                <w:b/>
                <w:color w:val="FFFFFF" w:themeColor="background1"/>
              </w:rPr>
            </w:pPr>
          </w:p>
        </w:tc>
      </w:tr>
      <w:tr w:rsidR="00711994" w14:paraId="2465096D" w14:textId="77777777" w:rsidTr="003446C7">
        <w:trPr>
          <w:trHeight w:val="426"/>
        </w:trPr>
        <w:tc>
          <w:tcPr>
            <w:tcW w:w="788" w:type="dxa"/>
            <w:vMerge/>
            <w:shd w:val="clear" w:color="auto" w:fill="2F5496" w:themeFill="accent5" w:themeFillShade="BF"/>
          </w:tcPr>
          <w:p w14:paraId="1EF7BDBB" w14:textId="77777777" w:rsidR="00711994" w:rsidRDefault="00711994" w:rsidP="00024571"/>
        </w:tc>
        <w:tc>
          <w:tcPr>
            <w:tcW w:w="2792" w:type="dxa"/>
            <w:vMerge w:val="restart"/>
            <w:shd w:val="clear" w:color="auto" w:fill="8EAADB" w:themeFill="accent5" w:themeFillTint="99"/>
            <w:vAlign w:val="center"/>
          </w:tcPr>
          <w:p w14:paraId="28E0EAAD" w14:textId="0DCC0F96" w:rsidR="00711994" w:rsidRDefault="00CE70F8" w:rsidP="000723D9">
            <w:pPr>
              <w:jc w:val="center"/>
              <w:rPr>
                <w:b/>
              </w:rPr>
            </w:pPr>
            <w:r>
              <w:rPr>
                <w:b/>
              </w:rPr>
              <w:t>Kwaliteit</w:t>
            </w:r>
            <w:r w:rsidR="0039434C">
              <w:rPr>
                <w:b/>
              </w:rPr>
              <w:t>scriteria</w:t>
            </w:r>
          </w:p>
          <w:p w14:paraId="21367E6F" w14:textId="0F122A02" w:rsidR="00711994" w:rsidRPr="000723D9" w:rsidRDefault="00711994" w:rsidP="00A46912">
            <w:pPr>
              <w:jc w:val="center"/>
              <w:rPr>
                <w:i/>
              </w:rPr>
            </w:pPr>
            <w:r w:rsidRPr="000B22C7">
              <w:rPr>
                <w:i/>
              </w:rPr>
              <w:t xml:space="preserve">Totaalscore maximaal </w:t>
            </w:r>
            <w:r w:rsidR="00A46912">
              <w:rPr>
                <w:i/>
              </w:rPr>
              <w:t>100 punten (70% gewicht)</w:t>
            </w:r>
          </w:p>
        </w:tc>
        <w:tc>
          <w:tcPr>
            <w:tcW w:w="3392" w:type="dxa"/>
          </w:tcPr>
          <w:p w14:paraId="5606D34D" w14:textId="238D7AE7" w:rsidR="00711994" w:rsidRPr="00C937AF" w:rsidRDefault="005C2F88" w:rsidP="00C937AF">
            <w:pPr>
              <w:pStyle w:val="Lijstalinea"/>
              <w:numPr>
                <w:ilvl w:val="0"/>
                <w:numId w:val="22"/>
              </w:numPr>
              <w:spacing w:before="90" w:after="54" w:line="276" w:lineRule="auto"/>
              <w:contextualSpacing/>
              <w:rPr>
                <w:sz w:val="20"/>
                <w:szCs w:val="20"/>
              </w:rPr>
            </w:pPr>
            <w:r w:rsidRPr="00C937AF">
              <w:t xml:space="preserve">Plan van aanpak </w:t>
            </w:r>
          </w:p>
        </w:tc>
        <w:tc>
          <w:tcPr>
            <w:tcW w:w="1387" w:type="dxa"/>
          </w:tcPr>
          <w:p w14:paraId="429D3773" w14:textId="686D5AFF" w:rsidR="00711994" w:rsidRDefault="00A46912" w:rsidP="00A46912">
            <w:r>
              <w:t>5</w:t>
            </w:r>
            <w:r w:rsidR="005C2F88">
              <w:t>0</w:t>
            </w:r>
            <w:r w:rsidR="00711994">
              <w:t xml:space="preserve"> punten</w:t>
            </w:r>
          </w:p>
        </w:tc>
      </w:tr>
      <w:tr w:rsidR="00711994" w14:paraId="19D16F0A" w14:textId="77777777" w:rsidTr="003446C7">
        <w:trPr>
          <w:trHeight w:val="423"/>
        </w:trPr>
        <w:tc>
          <w:tcPr>
            <w:tcW w:w="788" w:type="dxa"/>
            <w:vMerge/>
            <w:shd w:val="clear" w:color="auto" w:fill="2F5496" w:themeFill="accent5" w:themeFillShade="BF"/>
          </w:tcPr>
          <w:p w14:paraId="37732C0A" w14:textId="77777777" w:rsidR="00711994" w:rsidRDefault="00711994" w:rsidP="00711994"/>
        </w:tc>
        <w:tc>
          <w:tcPr>
            <w:tcW w:w="2792" w:type="dxa"/>
            <w:vMerge/>
            <w:shd w:val="clear" w:color="auto" w:fill="8EAADB" w:themeFill="accent5" w:themeFillTint="99"/>
            <w:vAlign w:val="center"/>
          </w:tcPr>
          <w:p w14:paraId="586D5578" w14:textId="77777777" w:rsidR="00711994" w:rsidRPr="00117B21" w:rsidRDefault="00711994" w:rsidP="000723D9">
            <w:pPr>
              <w:jc w:val="center"/>
              <w:rPr>
                <w:b/>
              </w:rPr>
            </w:pPr>
          </w:p>
        </w:tc>
        <w:tc>
          <w:tcPr>
            <w:tcW w:w="3392" w:type="dxa"/>
          </w:tcPr>
          <w:p w14:paraId="7574D4A0" w14:textId="74447D27" w:rsidR="00711994" w:rsidRPr="00C937AF" w:rsidRDefault="005C2F88" w:rsidP="00C937AF">
            <w:pPr>
              <w:pStyle w:val="Lijstalinea"/>
              <w:numPr>
                <w:ilvl w:val="0"/>
                <w:numId w:val="22"/>
              </w:numPr>
              <w:spacing w:before="90" w:after="54" w:line="276" w:lineRule="auto"/>
              <w:contextualSpacing/>
            </w:pPr>
            <w:r w:rsidRPr="00C937AF">
              <w:t xml:space="preserve">Toekomstbestendigheid </w:t>
            </w:r>
          </w:p>
        </w:tc>
        <w:tc>
          <w:tcPr>
            <w:tcW w:w="1387" w:type="dxa"/>
            <w:shd w:val="clear" w:color="auto" w:fill="auto"/>
          </w:tcPr>
          <w:p w14:paraId="1E0DFDE1" w14:textId="1D3A4539" w:rsidR="00711994" w:rsidRDefault="00A46912" w:rsidP="00711994">
            <w:r>
              <w:t>2</w:t>
            </w:r>
            <w:r w:rsidR="005C2F88">
              <w:t>0</w:t>
            </w:r>
          </w:p>
        </w:tc>
      </w:tr>
      <w:tr w:rsidR="00711994" w14:paraId="7162E080" w14:textId="77777777" w:rsidTr="003446C7">
        <w:trPr>
          <w:trHeight w:val="423"/>
        </w:trPr>
        <w:tc>
          <w:tcPr>
            <w:tcW w:w="788" w:type="dxa"/>
            <w:vMerge/>
            <w:shd w:val="clear" w:color="auto" w:fill="2F5496" w:themeFill="accent5" w:themeFillShade="BF"/>
          </w:tcPr>
          <w:p w14:paraId="129DA55B" w14:textId="77777777" w:rsidR="00711994" w:rsidRDefault="00711994" w:rsidP="00711994"/>
        </w:tc>
        <w:tc>
          <w:tcPr>
            <w:tcW w:w="2792" w:type="dxa"/>
            <w:vMerge/>
            <w:shd w:val="clear" w:color="auto" w:fill="8EAADB" w:themeFill="accent5" w:themeFillTint="99"/>
            <w:vAlign w:val="center"/>
          </w:tcPr>
          <w:p w14:paraId="44DD5BEA" w14:textId="77777777" w:rsidR="00711994" w:rsidRPr="00117B21" w:rsidRDefault="00711994" w:rsidP="000723D9">
            <w:pPr>
              <w:jc w:val="center"/>
              <w:rPr>
                <w:b/>
              </w:rPr>
            </w:pPr>
          </w:p>
        </w:tc>
        <w:tc>
          <w:tcPr>
            <w:tcW w:w="3392" w:type="dxa"/>
          </w:tcPr>
          <w:p w14:paraId="7B1C0143" w14:textId="73CF04C6" w:rsidR="00711994" w:rsidRPr="00C937AF" w:rsidRDefault="005C2F88" w:rsidP="00C937AF">
            <w:pPr>
              <w:pStyle w:val="Lijstalinea"/>
              <w:numPr>
                <w:ilvl w:val="0"/>
                <w:numId w:val="22"/>
              </w:numPr>
            </w:pPr>
            <w:r w:rsidRPr="00C937AF">
              <w:t xml:space="preserve">Bereikbaarheid en beschikbaarheid </w:t>
            </w:r>
          </w:p>
        </w:tc>
        <w:tc>
          <w:tcPr>
            <w:tcW w:w="1387" w:type="dxa"/>
          </w:tcPr>
          <w:p w14:paraId="7C695EB2" w14:textId="3F96BFE1" w:rsidR="00711994" w:rsidRDefault="000B1031" w:rsidP="00A46912">
            <w:r>
              <w:t>1</w:t>
            </w:r>
            <w:r w:rsidR="00A46912">
              <w:t>5</w:t>
            </w:r>
          </w:p>
        </w:tc>
      </w:tr>
      <w:tr w:rsidR="00711994" w14:paraId="0A7F56F7" w14:textId="77777777" w:rsidTr="003446C7">
        <w:trPr>
          <w:trHeight w:val="423"/>
        </w:trPr>
        <w:tc>
          <w:tcPr>
            <w:tcW w:w="788" w:type="dxa"/>
            <w:vMerge/>
            <w:shd w:val="clear" w:color="auto" w:fill="2F5496" w:themeFill="accent5" w:themeFillShade="BF"/>
          </w:tcPr>
          <w:p w14:paraId="794B88DB" w14:textId="77777777" w:rsidR="00711994" w:rsidRDefault="00711994" w:rsidP="00711994"/>
        </w:tc>
        <w:tc>
          <w:tcPr>
            <w:tcW w:w="2792" w:type="dxa"/>
            <w:vMerge/>
            <w:tcBorders>
              <w:bottom w:val="double" w:sz="4" w:space="0" w:color="auto"/>
            </w:tcBorders>
            <w:shd w:val="clear" w:color="auto" w:fill="8EAADB" w:themeFill="accent5" w:themeFillTint="99"/>
            <w:vAlign w:val="center"/>
          </w:tcPr>
          <w:p w14:paraId="61CE2B39" w14:textId="77777777" w:rsidR="00711994" w:rsidRPr="00117B21" w:rsidRDefault="00711994" w:rsidP="000723D9">
            <w:pPr>
              <w:jc w:val="center"/>
              <w:rPr>
                <w:b/>
              </w:rPr>
            </w:pPr>
          </w:p>
        </w:tc>
        <w:tc>
          <w:tcPr>
            <w:tcW w:w="3392" w:type="dxa"/>
            <w:tcBorders>
              <w:bottom w:val="double" w:sz="4" w:space="0" w:color="auto"/>
            </w:tcBorders>
          </w:tcPr>
          <w:p w14:paraId="3D5D18AD" w14:textId="21531D4C" w:rsidR="00711994" w:rsidRPr="00C937AF" w:rsidRDefault="002E555C" w:rsidP="005C2F88">
            <w:pPr>
              <w:pStyle w:val="Lijstalinea"/>
              <w:numPr>
                <w:ilvl w:val="0"/>
                <w:numId w:val="22"/>
              </w:numPr>
            </w:pPr>
            <w:r w:rsidRPr="00C937AF">
              <w:t>Rapportage</w:t>
            </w:r>
            <w:r w:rsidR="00D112BB" w:rsidRPr="00C937AF">
              <w:t xml:space="preserve"> informatiebeveiliging</w:t>
            </w:r>
            <w:r w:rsidRPr="00C937AF">
              <w:t xml:space="preserve"> en NDA</w:t>
            </w:r>
          </w:p>
        </w:tc>
        <w:tc>
          <w:tcPr>
            <w:tcW w:w="1387" w:type="dxa"/>
            <w:tcBorders>
              <w:bottom w:val="double" w:sz="4" w:space="0" w:color="auto"/>
            </w:tcBorders>
          </w:tcPr>
          <w:p w14:paraId="37887F10" w14:textId="51DEAFD4" w:rsidR="00711994" w:rsidRDefault="000B1031" w:rsidP="00A46912">
            <w:r>
              <w:t>1</w:t>
            </w:r>
            <w:r w:rsidR="00A46912">
              <w:t>5</w:t>
            </w:r>
          </w:p>
        </w:tc>
      </w:tr>
      <w:tr w:rsidR="003446C7" w14:paraId="36F5AE44" w14:textId="77777777" w:rsidTr="003446C7">
        <w:trPr>
          <w:trHeight w:val="512"/>
        </w:trPr>
        <w:tc>
          <w:tcPr>
            <w:tcW w:w="788" w:type="dxa"/>
            <w:vMerge/>
            <w:shd w:val="clear" w:color="auto" w:fill="2F5496" w:themeFill="accent5" w:themeFillShade="BF"/>
          </w:tcPr>
          <w:p w14:paraId="53275B7C" w14:textId="77777777" w:rsidR="003446C7" w:rsidRDefault="003446C7" w:rsidP="00711994"/>
        </w:tc>
        <w:tc>
          <w:tcPr>
            <w:tcW w:w="2792" w:type="dxa"/>
            <w:tcBorders>
              <w:top w:val="double" w:sz="4" w:space="0" w:color="auto"/>
            </w:tcBorders>
            <w:shd w:val="clear" w:color="auto" w:fill="8EAADB" w:themeFill="accent5" w:themeFillTint="99"/>
            <w:vAlign w:val="center"/>
          </w:tcPr>
          <w:p w14:paraId="692A2440" w14:textId="3B2D1EF8" w:rsidR="003446C7" w:rsidRPr="00117B21" w:rsidRDefault="003446C7" w:rsidP="000723D9">
            <w:pPr>
              <w:jc w:val="center"/>
              <w:rPr>
                <w:b/>
              </w:rPr>
            </w:pPr>
            <w:r>
              <w:rPr>
                <w:b/>
              </w:rPr>
              <w:t>Prijscriteria</w:t>
            </w:r>
          </w:p>
          <w:p w14:paraId="27ED896D" w14:textId="7BDDA7A6" w:rsidR="003446C7" w:rsidRPr="000723D9" w:rsidRDefault="003446C7" w:rsidP="00A46912">
            <w:pPr>
              <w:jc w:val="center"/>
              <w:rPr>
                <w:i/>
              </w:rPr>
            </w:pPr>
            <w:r w:rsidRPr="000B22C7">
              <w:rPr>
                <w:i/>
              </w:rPr>
              <w:t xml:space="preserve">Totaalscore </w:t>
            </w:r>
            <w:r w:rsidR="00A46912">
              <w:rPr>
                <w:i/>
              </w:rPr>
              <w:t>30% gewicht</w:t>
            </w:r>
          </w:p>
        </w:tc>
        <w:tc>
          <w:tcPr>
            <w:tcW w:w="3392" w:type="dxa"/>
            <w:tcBorders>
              <w:top w:val="double" w:sz="4" w:space="0" w:color="auto"/>
            </w:tcBorders>
          </w:tcPr>
          <w:p w14:paraId="09836761" w14:textId="54E060DD" w:rsidR="003446C7" w:rsidRDefault="003446C7" w:rsidP="00B01284">
            <w:pPr>
              <w:pStyle w:val="Lijstalinea"/>
              <w:numPr>
                <w:ilvl w:val="0"/>
                <w:numId w:val="23"/>
              </w:numPr>
            </w:pPr>
            <w:r>
              <w:t>Fictief prijzenblad</w:t>
            </w:r>
          </w:p>
        </w:tc>
        <w:tc>
          <w:tcPr>
            <w:tcW w:w="1387" w:type="dxa"/>
            <w:tcBorders>
              <w:top w:val="double" w:sz="4" w:space="0" w:color="auto"/>
            </w:tcBorders>
          </w:tcPr>
          <w:p w14:paraId="5EBDEB38" w14:textId="13E0D1CD" w:rsidR="003446C7" w:rsidRDefault="003446C7" w:rsidP="000B1031"/>
        </w:tc>
      </w:tr>
    </w:tbl>
    <w:p w14:paraId="098F881D" w14:textId="6DD18E56" w:rsidR="00714B59" w:rsidRDefault="00714B59" w:rsidP="00024571"/>
    <w:p w14:paraId="1EE1A89F" w14:textId="31502579" w:rsidR="0039434C" w:rsidRDefault="0039434C" w:rsidP="0039434C">
      <w:r>
        <w:t>De Prijs- en de Kwaliteitscriteria geven uitdrukking aan de wensen van de Tweede Kamer. Inschrijvers kunnen zich daarop van elkaar onderscheiden. De Inschrijver die de Opdracht gegund krijgt is gehouden tot uitvoering van de Opdracht conform de Overeenkomst en conform hetgeen hij in zijn Inschrijving aanbiedt ter zake van de Prijscriteria (tegen de eenheidsprijzen die hij aanbiedt) en de Kwaliteitscriteria.</w:t>
      </w:r>
    </w:p>
    <w:p w14:paraId="2F17D735" w14:textId="77777777" w:rsidR="00714B59" w:rsidRDefault="00714B59" w:rsidP="00024571"/>
    <w:p w14:paraId="04F7767A" w14:textId="6FD0C9E7" w:rsidR="0071792E" w:rsidRDefault="0039434C" w:rsidP="00BE7A67">
      <w:pPr>
        <w:pStyle w:val="RapportKop3"/>
      </w:pPr>
      <w:bookmarkStart w:id="33" w:name="_Toc105606095"/>
      <w:r>
        <w:lastRenderedPageBreak/>
        <w:t>K</w:t>
      </w:r>
      <w:r w:rsidR="00BE7A67">
        <w:t>waliteit</w:t>
      </w:r>
      <w:bookmarkEnd w:id="33"/>
    </w:p>
    <w:p w14:paraId="08ADA5EE" w14:textId="2CCE5A5F" w:rsidR="008E1B44" w:rsidRPr="008E1B44" w:rsidRDefault="00BE7A67" w:rsidP="00712D10">
      <w:pPr>
        <w:rPr>
          <w:i/>
        </w:rPr>
      </w:pPr>
      <w:r>
        <w:t xml:space="preserve">De Tweede Kamer licht hieronder de </w:t>
      </w:r>
      <w:r w:rsidR="0039434C">
        <w:t xml:space="preserve">Kwaliteitscriteria </w:t>
      </w:r>
      <w:r w:rsidR="008E1B44">
        <w:t>to</w:t>
      </w:r>
      <w:r w:rsidR="00712D10">
        <w:t>e.</w:t>
      </w:r>
      <w:r w:rsidR="008E1B44">
        <w:t xml:space="preserve"> </w:t>
      </w:r>
    </w:p>
    <w:p w14:paraId="2190B506" w14:textId="73FD6B36" w:rsidR="00BE7A67" w:rsidRDefault="00BE7A67" w:rsidP="00024571"/>
    <w:p w14:paraId="5C06F266" w14:textId="77AB8E6A" w:rsidR="00712D10" w:rsidRPr="00712D10" w:rsidRDefault="00712D10" w:rsidP="00024571">
      <w:pPr>
        <w:rPr>
          <w:rFonts w:eastAsia="Times New Roman" w:cs="Arial"/>
          <w:b/>
          <w:bCs/>
          <w:color w:val="121469"/>
        </w:rPr>
      </w:pPr>
      <w:r w:rsidRPr="00712D10">
        <w:rPr>
          <w:rFonts w:eastAsia="Times New Roman" w:cs="Arial"/>
          <w:b/>
          <w:bCs/>
          <w:color w:val="121469"/>
        </w:rPr>
        <w:t>De Kwaliteitscriteria</w:t>
      </w:r>
    </w:p>
    <w:p w14:paraId="0B836B60" w14:textId="3508E1E9" w:rsidR="00712D10" w:rsidRDefault="00712D10" w:rsidP="00024571">
      <w:r>
        <w:t xml:space="preserve">De Tweede Kamer beoordeelt de Inschrijving op kwalitatieve aspecten aan de hand van de volgende </w:t>
      </w:r>
      <w:r w:rsidR="003446C7">
        <w:rPr>
          <w:strike/>
        </w:rPr>
        <w:t>4</w:t>
      </w:r>
      <w:r>
        <w:t xml:space="preserve"> Kwaliteitscriteria:</w:t>
      </w:r>
    </w:p>
    <w:p w14:paraId="32960D23" w14:textId="3B2A8FC5" w:rsidR="002E555C" w:rsidRDefault="002E555C" w:rsidP="00024571"/>
    <w:tbl>
      <w:tblPr>
        <w:tblStyle w:val="Tabelraster"/>
        <w:tblW w:w="8359" w:type="dxa"/>
        <w:tblLook w:val="04A0" w:firstRow="1" w:lastRow="0" w:firstColumn="1" w:lastColumn="0" w:noHBand="0" w:noVBand="1"/>
      </w:tblPr>
      <w:tblGrid>
        <w:gridCol w:w="8359"/>
      </w:tblGrid>
      <w:tr w:rsidR="002E555C" w:rsidRPr="005C2F88" w14:paraId="17AFD429" w14:textId="77777777" w:rsidTr="001F391A">
        <w:trPr>
          <w:trHeight w:val="426"/>
        </w:trPr>
        <w:tc>
          <w:tcPr>
            <w:tcW w:w="3537" w:type="dxa"/>
          </w:tcPr>
          <w:p w14:paraId="588F9765" w14:textId="31CC7664" w:rsidR="002E555C" w:rsidRPr="003446C7" w:rsidRDefault="002E555C" w:rsidP="003446C7">
            <w:pPr>
              <w:pStyle w:val="Lijstalinea"/>
              <w:numPr>
                <w:ilvl w:val="0"/>
                <w:numId w:val="41"/>
              </w:numPr>
              <w:spacing w:line="276" w:lineRule="auto"/>
              <w:contextualSpacing/>
              <w:rPr>
                <w:sz w:val="20"/>
                <w:szCs w:val="20"/>
              </w:rPr>
            </w:pPr>
            <w:r>
              <w:t>Plan van aanpak wat betreft invoering en beheer van d</w:t>
            </w:r>
            <w:r w:rsidR="00E31CB2">
              <w:t>e ondertitelingsdienstverlening</w:t>
            </w:r>
            <w:r>
              <w:t xml:space="preserve"> </w:t>
            </w:r>
          </w:p>
        </w:tc>
      </w:tr>
      <w:tr w:rsidR="002E555C" w14:paraId="551B9193" w14:textId="77777777" w:rsidTr="001F391A">
        <w:trPr>
          <w:trHeight w:val="423"/>
        </w:trPr>
        <w:tc>
          <w:tcPr>
            <w:tcW w:w="3537" w:type="dxa"/>
          </w:tcPr>
          <w:p w14:paraId="4F6AF3E6" w14:textId="328F6108" w:rsidR="002E555C" w:rsidRDefault="002E555C" w:rsidP="002E555C">
            <w:pPr>
              <w:pStyle w:val="Lijstalinea"/>
              <w:numPr>
                <w:ilvl w:val="0"/>
                <w:numId w:val="41"/>
              </w:numPr>
              <w:spacing w:before="90" w:after="54" w:line="276" w:lineRule="auto"/>
              <w:contextualSpacing/>
            </w:pPr>
            <w:r>
              <w:t>Toekomstbestendigheid in termen van zowel techniek als capaciteit/</w:t>
            </w:r>
            <w:r w:rsidR="006659ED">
              <w:t xml:space="preserve">personele </w:t>
            </w:r>
            <w:r>
              <w:t>inzet, nodig voor ondersteuning van deze dienst</w:t>
            </w:r>
          </w:p>
        </w:tc>
      </w:tr>
      <w:tr w:rsidR="002E555C" w14:paraId="69768725" w14:textId="77777777" w:rsidTr="001F391A">
        <w:trPr>
          <w:trHeight w:val="423"/>
        </w:trPr>
        <w:tc>
          <w:tcPr>
            <w:tcW w:w="3537" w:type="dxa"/>
          </w:tcPr>
          <w:p w14:paraId="6957D440" w14:textId="0A422A33" w:rsidR="002E555C" w:rsidRDefault="002E555C" w:rsidP="003446C7">
            <w:pPr>
              <w:pStyle w:val="Lijstalinea"/>
              <w:numPr>
                <w:ilvl w:val="0"/>
                <w:numId w:val="41"/>
              </w:numPr>
              <w:spacing w:before="90" w:after="54" w:line="276" w:lineRule="auto"/>
              <w:contextualSpacing/>
            </w:pPr>
            <w:r>
              <w:t xml:space="preserve">Beschikbaarheid en </w:t>
            </w:r>
            <w:r w:rsidR="006659ED">
              <w:t>b</w:t>
            </w:r>
            <w:r>
              <w:t>ereikbaarheid</w:t>
            </w:r>
            <w:r w:rsidR="003446C7">
              <w:t xml:space="preserve"> (klanteservice: </w:t>
            </w:r>
            <w:r>
              <w:t>front en back office</w:t>
            </w:r>
            <w:r w:rsidR="003446C7">
              <w:t xml:space="preserve">; </w:t>
            </w:r>
            <w:r>
              <w:t>SLA</w:t>
            </w:r>
            <w:r w:rsidR="003446C7">
              <w:t xml:space="preserve"> etc)</w:t>
            </w:r>
          </w:p>
        </w:tc>
      </w:tr>
      <w:tr w:rsidR="002E555C" w14:paraId="4679DF9D" w14:textId="77777777" w:rsidTr="001F391A">
        <w:trPr>
          <w:trHeight w:val="423"/>
        </w:trPr>
        <w:tc>
          <w:tcPr>
            <w:tcW w:w="3537" w:type="dxa"/>
          </w:tcPr>
          <w:p w14:paraId="18210999" w14:textId="08A548E1" w:rsidR="002E555C" w:rsidRDefault="002E555C" w:rsidP="002E555C">
            <w:pPr>
              <w:pStyle w:val="Lijstalinea"/>
              <w:numPr>
                <w:ilvl w:val="0"/>
                <w:numId w:val="41"/>
              </w:numPr>
              <w:spacing w:before="90" w:after="54" w:line="276" w:lineRule="auto"/>
              <w:contextualSpacing/>
            </w:pPr>
            <w:r>
              <w:t>Rapportage</w:t>
            </w:r>
          </w:p>
        </w:tc>
      </w:tr>
    </w:tbl>
    <w:p w14:paraId="6ADA3F85" w14:textId="37D1C264" w:rsidR="002E555C" w:rsidRDefault="002E555C" w:rsidP="00024571"/>
    <w:p w14:paraId="26CE5F9F" w14:textId="77777777" w:rsidR="00712D10" w:rsidRDefault="00712D10" w:rsidP="00712D10">
      <w:r>
        <w:t>Ieder Kwaliteitscriterium wordt integraal en absoluut beoordeeld. Dat betekent het volgende:</w:t>
      </w:r>
    </w:p>
    <w:p w14:paraId="56372EE0" w14:textId="77777777" w:rsidR="00712D10" w:rsidRDefault="00712D10" w:rsidP="00712D10"/>
    <w:p w14:paraId="1E0E3898" w14:textId="77777777" w:rsidR="00712D10" w:rsidRPr="002C6705" w:rsidRDefault="00712D10" w:rsidP="00B01284">
      <w:pPr>
        <w:pStyle w:val="Lijstalinea"/>
        <w:numPr>
          <w:ilvl w:val="0"/>
          <w:numId w:val="18"/>
        </w:numPr>
        <w:ind w:left="785"/>
        <w:rPr>
          <w:u w:val="single"/>
        </w:rPr>
      </w:pPr>
      <w:r w:rsidRPr="002C6705">
        <w:rPr>
          <w:u w:val="single"/>
        </w:rPr>
        <w:t>Integrale beoordeling</w:t>
      </w:r>
    </w:p>
    <w:p w14:paraId="229DE44E" w14:textId="77777777" w:rsidR="00712D10" w:rsidRDefault="00712D10" w:rsidP="00712D10">
      <w:pPr>
        <w:pStyle w:val="Lijstalinea"/>
      </w:pPr>
      <w:r>
        <w:t xml:space="preserve">Ieder Kwaliteitscriterium ziet op meerdere aspecten. De Tweede Kamer neemt alle genoemde aspecten mee in zijn beoordeling en kent uiteindelijk één waardering toe aan het Kwaliteitscriterium als geheel. De waardering van de afzonderlijke aspecten wordt dus niet tot uitdrukking gebracht in de score die de Inschrijver krijgt voor het Kwaliteitscriterium. </w:t>
      </w:r>
    </w:p>
    <w:p w14:paraId="1E4C49F2" w14:textId="77777777" w:rsidR="00712D10" w:rsidRPr="00E9679D" w:rsidRDefault="00712D10" w:rsidP="00B01284">
      <w:pPr>
        <w:pStyle w:val="Lijstalinea"/>
        <w:numPr>
          <w:ilvl w:val="0"/>
          <w:numId w:val="18"/>
        </w:numPr>
        <w:ind w:left="785"/>
        <w:rPr>
          <w:u w:val="single"/>
        </w:rPr>
      </w:pPr>
      <w:r w:rsidRPr="00E9679D">
        <w:rPr>
          <w:u w:val="single"/>
        </w:rPr>
        <w:t>Absolute beoordeling</w:t>
      </w:r>
    </w:p>
    <w:p w14:paraId="6FBD98EF" w14:textId="77777777" w:rsidR="00712D10" w:rsidRDefault="00712D10" w:rsidP="00712D10">
      <w:pPr>
        <w:pStyle w:val="Lijstalinea"/>
      </w:pPr>
      <w:r>
        <w:t xml:space="preserve">De Tweede Kamer beoordeelt elke Inschrijving op eigen merites. De waardering die de Tweede Kamer toekent aan het Kwaliteitscriterium in een Inschrijving komt dus </w:t>
      </w:r>
      <w:r w:rsidRPr="00E9679D">
        <w:rPr>
          <w:i/>
        </w:rPr>
        <w:t>niet</w:t>
      </w:r>
      <w:r>
        <w:t xml:space="preserve"> tot stand door vergelijking van Inschrijvingen onderling.</w:t>
      </w:r>
    </w:p>
    <w:p w14:paraId="57A108BA" w14:textId="77777777" w:rsidR="00712D10" w:rsidRDefault="00712D10" w:rsidP="00712D10"/>
    <w:p w14:paraId="57D8A3CE" w14:textId="77777777" w:rsidR="00712D10" w:rsidRPr="002E555C" w:rsidRDefault="00712D10" w:rsidP="00712D10">
      <w:r w:rsidRPr="002E555C">
        <w:t>De uitwerkingen van de Kwaliteitscriteria die de Inschrijver aanbiedt als onderdeel van zijn Inschrijving, maken deel uit van de Overeenkomst indien de Tweede Kamer de Opdracht aan de Inschrijver gunt. De Inschrijver zal in dat geval dus gehouden zijn aan de inhoud van zijn Inschrijving, waaronder bijvoorbeeld het plan van aanpak.</w:t>
      </w:r>
    </w:p>
    <w:p w14:paraId="2D1106AE" w14:textId="77777777" w:rsidR="00712D10" w:rsidRPr="002E555C" w:rsidRDefault="00712D10" w:rsidP="00712D10"/>
    <w:p w14:paraId="577B20BB" w14:textId="75D31087" w:rsidR="00712D10" w:rsidRDefault="00712D10" w:rsidP="00712D10">
      <w:r w:rsidRPr="002E555C">
        <w:t>De uitwerkingen van de Kwaliteitscriteria dienen in overeenstemming te zijn met de Minimumeisen aan de uitvoering van de Opdracht (Programma van Eisen). Indien de uitwerking van de Kwaliteitscriteria niet in overeenstemt met de Minimumeisen, is sprake van een ongeldige Inschrijving. Een ongeldige Inschrijving wordt ter zijde gelegd.</w:t>
      </w:r>
    </w:p>
    <w:p w14:paraId="3D2DF97D" w14:textId="2F0477EA" w:rsidR="00E557FE" w:rsidRDefault="00E557FE" w:rsidP="00712D10"/>
    <w:p w14:paraId="5261BCC0" w14:textId="77777777" w:rsidR="00E557FE" w:rsidRPr="00B35F4F" w:rsidRDefault="00E557FE" w:rsidP="00E557FE">
      <w:r w:rsidRPr="00B35F4F">
        <w:lastRenderedPageBreak/>
        <w:t xml:space="preserve">De totaalscore op kwaliteit is de optelsom van de scores per wens na de </w:t>
      </w:r>
      <w:r>
        <w:t>consensus</w:t>
      </w:r>
      <w:r w:rsidRPr="00B35F4F">
        <w:t>evergadering. De maximaal haalbare score is 100% (100 punten).</w:t>
      </w:r>
    </w:p>
    <w:p w14:paraId="0A92F70E" w14:textId="77777777" w:rsidR="00E557FE" w:rsidRPr="00B35F4F" w:rsidRDefault="00E557FE" w:rsidP="00E557FE"/>
    <w:p w14:paraId="431C9DBE" w14:textId="77777777" w:rsidR="00E557FE" w:rsidRDefault="00E557FE" w:rsidP="00E557FE">
      <w:r w:rsidRPr="00B35F4F">
        <w:t>Het onderdeel kwaliteit wordt voor [0,</w:t>
      </w:r>
      <w:r>
        <w:t>70</w:t>
      </w:r>
      <w:r w:rsidRPr="00B35F4F">
        <w:t>] meegewogen in de totaalscore.</w:t>
      </w:r>
    </w:p>
    <w:p w14:paraId="704F30BC" w14:textId="77777777" w:rsidR="00E557FE" w:rsidRDefault="00E557FE" w:rsidP="008E1B44">
      <w:pPr>
        <w:rPr>
          <w:rFonts w:eastAsia="Times New Roman" w:cs="Arial"/>
          <w:b/>
          <w:bCs/>
          <w:color w:val="121469"/>
        </w:rPr>
      </w:pPr>
    </w:p>
    <w:p w14:paraId="378432C5" w14:textId="34FD310B" w:rsidR="00B90020" w:rsidRDefault="00712D10" w:rsidP="008E1B44">
      <w:pPr>
        <w:rPr>
          <w:rFonts w:eastAsia="Times New Roman" w:cs="Arial"/>
          <w:b/>
          <w:bCs/>
          <w:color w:val="121469"/>
        </w:rPr>
      </w:pPr>
      <w:r>
        <w:rPr>
          <w:rFonts w:eastAsia="Times New Roman" w:cs="Arial"/>
          <w:b/>
          <w:bCs/>
          <w:color w:val="121469"/>
        </w:rPr>
        <w:t>Kwaliteitscriterium</w:t>
      </w:r>
      <w:r w:rsidR="008E1B44" w:rsidRPr="006C303E">
        <w:rPr>
          <w:rFonts w:eastAsia="Times New Roman" w:cs="Arial"/>
          <w:b/>
          <w:bCs/>
          <w:color w:val="121469"/>
        </w:rPr>
        <w:t xml:space="preserve"> </w:t>
      </w:r>
      <w:r w:rsidR="008E1B44">
        <w:rPr>
          <w:rFonts w:eastAsia="Times New Roman" w:cs="Arial"/>
          <w:b/>
          <w:bCs/>
          <w:color w:val="121469"/>
        </w:rPr>
        <w:t>1</w:t>
      </w:r>
      <w:r w:rsidR="008E1B44" w:rsidRPr="006C303E">
        <w:rPr>
          <w:rFonts w:eastAsia="Times New Roman" w:cs="Arial"/>
          <w:b/>
          <w:bCs/>
          <w:color w:val="121469"/>
        </w:rPr>
        <w:t xml:space="preserve">: </w:t>
      </w:r>
    </w:p>
    <w:p w14:paraId="2AB3BEB9" w14:textId="6D6ADBEE" w:rsidR="008E1B44" w:rsidRPr="00B90020" w:rsidRDefault="00E31CB2" w:rsidP="008E1B44">
      <w:r>
        <w:t>Plan van aanpak wat betreft invoering</w:t>
      </w:r>
      <w:r w:rsidR="00C937AF">
        <w:t>, monitoring en</w:t>
      </w:r>
      <w:r>
        <w:t xml:space="preserve"> beheer</w:t>
      </w:r>
      <w:r w:rsidR="00C937AF">
        <w:t xml:space="preserve"> van de ondertitelingsdienstverlening en aanverwante noodzakelijke dienstverlening</w:t>
      </w:r>
      <w:r w:rsidR="008E1B44" w:rsidRPr="00B90020">
        <w:t>:</w:t>
      </w:r>
    </w:p>
    <w:p w14:paraId="56C9241A" w14:textId="6A2E20B4" w:rsidR="00E31CB2" w:rsidRPr="00B90020" w:rsidRDefault="00E31CB2" w:rsidP="008E1B44"/>
    <w:p w14:paraId="06A9793A" w14:textId="79741E1C" w:rsidR="00E31CB2" w:rsidRPr="00B90020" w:rsidRDefault="00E31CB2" w:rsidP="008E1B44">
      <w:r w:rsidRPr="00B90020">
        <w:t>De opdrachtgever hecht eraan dat er een gedegen plan van aanpak wordt opgeleverd met daarin een beschrijving van zowel de invoering/introdu</w:t>
      </w:r>
      <w:r w:rsidR="006659ED" w:rsidRPr="00B90020">
        <w:t>ctie van deze dienstverlening als</w:t>
      </w:r>
      <w:r w:rsidRPr="00B90020">
        <w:t xml:space="preserve"> het in beheer nemen daarvan</w:t>
      </w:r>
      <w:r w:rsidR="006659ED" w:rsidRPr="00B90020">
        <w:t>, ook wat de personele inzet betreft</w:t>
      </w:r>
      <w:r w:rsidRPr="00B90020">
        <w:t>.</w:t>
      </w:r>
    </w:p>
    <w:p w14:paraId="76B4227D" w14:textId="266E4868" w:rsidR="003E5AD4" w:rsidRPr="00B90020" w:rsidRDefault="003E5AD4" w:rsidP="008E1B44"/>
    <w:p w14:paraId="090B28CA" w14:textId="5B543AFE" w:rsidR="003E5AD4" w:rsidRPr="00B90020" w:rsidRDefault="003E5AD4" w:rsidP="003E5AD4">
      <w:pPr>
        <w:spacing w:line="276" w:lineRule="auto"/>
      </w:pPr>
      <w:r w:rsidRPr="00B90020">
        <w:t>De score voor dit criterium zal plaatsvinden op basis van de door u gegeven reactie. De beantwoording dient plaats te vinden op maximaal 2 A4</w:t>
      </w:r>
      <w:r w:rsidR="003446C7" w:rsidRPr="00B90020">
        <w:t>-formaat</w:t>
      </w:r>
      <w:r w:rsidRPr="00B90020">
        <w:t>.</w:t>
      </w:r>
      <w:r w:rsidR="00B90020">
        <w:t xml:space="preserve"> </w:t>
      </w:r>
      <w:r w:rsidR="00B90020">
        <w:rPr>
          <w:rFonts w:cs="Verdana"/>
        </w:rPr>
        <w:t>Het meerdere wordt niet gewaardeerd en meegenomen in de beoordeling.</w:t>
      </w:r>
    </w:p>
    <w:p w14:paraId="67E535FD" w14:textId="59D5743C" w:rsidR="00E31CB2" w:rsidRDefault="00E31CB2" w:rsidP="008E1B44">
      <w:pPr>
        <w:rPr>
          <w:rFonts w:eastAsia="Times New Roman" w:cs="Arial"/>
          <w:b/>
          <w:bCs/>
          <w:color w:val="121469"/>
        </w:rPr>
      </w:pPr>
    </w:p>
    <w:p w14:paraId="496BB8A9" w14:textId="77777777" w:rsidR="00B90020" w:rsidRDefault="00E31CB2" w:rsidP="00E31CB2">
      <w:pPr>
        <w:rPr>
          <w:rFonts w:eastAsia="Times New Roman" w:cs="Arial"/>
          <w:b/>
          <w:bCs/>
          <w:color w:val="121469"/>
        </w:rPr>
      </w:pPr>
      <w:r>
        <w:rPr>
          <w:rFonts w:eastAsia="Times New Roman" w:cs="Arial"/>
          <w:b/>
          <w:bCs/>
          <w:color w:val="121469"/>
        </w:rPr>
        <w:t>Kwaliteitscriterium</w:t>
      </w:r>
      <w:r w:rsidRPr="006C303E">
        <w:rPr>
          <w:rFonts w:eastAsia="Times New Roman" w:cs="Arial"/>
          <w:b/>
          <w:bCs/>
          <w:color w:val="121469"/>
        </w:rPr>
        <w:t xml:space="preserve"> </w:t>
      </w:r>
      <w:r>
        <w:rPr>
          <w:rFonts w:eastAsia="Times New Roman" w:cs="Arial"/>
          <w:b/>
          <w:bCs/>
          <w:color w:val="121469"/>
        </w:rPr>
        <w:t>2</w:t>
      </w:r>
      <w:r w:rsidRPr="006C303E">
        <w:rPr>
          <w:rFonts w:eastAsia="Times New Roman" w:cs="Arial"/>
          <w:b/>
          <w:bCs/>
          <w:color w:val="121469"/>
        </w:rPr>
        <w:t xml:space="preserve">: </w:t>
      </w:r>
    </w:p>
    <w:p w14:paraId="142AC546" w14:textId="7C93B3F5" w:rsidR="00E31CB2" w:rsidRDefault="00E31CB2" w:rsidP="00E31CB2">
      <w:pPr>
        <w:rPr>
          <w:rFonts w:eastAsia="Times New Roman" w:cs="Arial"/>
          <w:b/>
          <w:bCs/>
          <w:color w:val="121469"/>
        </w:rPr>
      </w:pPr>
      <w:r>
        <w:t>Toekomstbestendigheid in termen van zowel techniek als capaciteit/</w:t>
      </w:r>
      <w:r w:rsidR="006659ED">
        <w:t xml:space="preserve">personele </w:t>
      </w:r>
      <w:r>
        <w:t>inzet, nodig voor ondersteuning van deze dienst</w:t>
      </w:r>
      <w:r w:rsidRPr="006C303E">
        <w:rPr>
          <w:rFonts w:eastAsia="Times New Roman" w:cs="Arial"/>
          <w:b/>
          <w:bCs/>
          <w:color w:val="121469"/>
        </w:rPr>
        <w:t>:</w:t>
      </w:r>
    </w:p>
    <w:p w14:paraId="794C3F40" w14:textId="771B4926" w:rsidR="00E31CB2" w:rsidRDefault="00E31CB2" w:rsidP="00E31CB2">
      <w:pPr>
        <w:rPr>
          <w:rFonts w:eastAsia="Times New Roman" w:cs="Arial"/>
          <w:bCs/>
          <w:color w:val="121469"/>
        </w:rPr>
      </w:pPr>
    </w:p>
    <w:p w14:paraId="6CD233B5" w14:textId="7E62C6B4" w:rsidR="00E31CB2" w:rsidRPr="00B90020" w:rsidRDefault="006659ED" w:rsidP="00E31CB2">
      <w:r w:rsidRPr="00B90020">
        <w:t>De opdrachtgever wenst</w:t>
      </w:r>
      <w:r w:rsidR="00E31CB2" w:rsidRPr="00B90020">
        <w:t xml:space="preserve"> dat de toekomstbestendigheid van de dienstverlening in termen van techniek en capaciteit wordt gegarandeerd. Dit betekent dat zo goed als mogelijk omschreven moet worden met welke verwachte veranderingen in software/hardware rekening gehouden moet worden en hoe de impact op de dienstverlening </w:t>
      </w:r>
      <w:r w:rsidRPr="00B90020">
        <w:t>wordt geminimaliseerd. Tevens moet omschreven worden hoe gedurende de looptijd van de overeenkomst de capaciteit/personele inzet wordt gegarandeerd. Geef bijvoorbeeld aan hoe de afhankelijkheid van individuele medewerkers wordt geminimaliseerd.</w:t>
      </w:r>
    </w:p>
    <w:p w14:paraId="2E6DEC17" w14:textId="245E431F" w:rsidR="003E5AD4" w:rsidRDefault="003E5AD4" w:rsidP="00E31CB2">
      <w:pPr>
        <w:rPr>
          <w:rFonts w:eastAsia="Times New Roman" w:cs="Arial"/>
          <w:bCs/>
          <w:color w:val="121469"/>
        </w:rPr>
      </w:pPr>
    </w:p>
    <w:p w14:paraId="1641BBB0" w14:textId="09767027" w:rsidR="003E5AD4" w:rsidRDefault="003E5AD4" w:rsidP="003E5AD4">
      <w:pPr>
        <w:spacing w:line="276" w:lineRule="auto"/>
        <w:rPr>
          <w:rFonts w:cs="Verdana"/>
        </w:rPr>
      </w:pPr>
      <w:r w:rsidRPr="00E547CC">
        <w:rPr>
          <w:rFonts w:cs="Verdana"/>
        </w:rPr>
        <w:t>De score voor dit criterium zal plaatsvinden op basis van de door u gegeven reactie. De beantwoording dient pla</w:t>
      </w:r>
      <w:r w:rsidR="00B90020">
        <w:rPr>
          <w:rFonts w:cs="Verdana"/>
        </w:rPr>
        <w:t>ats te vinden op maximaal 1 A4-formaat</w:t>
      </w:r>
      <w:r w:rsidRPr="00E547CC">
        <w:rPr>
          <w:rFonts w:cs="Verdana"/>
        </w:rPr>
        <w:t>.</w:t>
      </w:r>
      <w:r w:rsidR="00B90020">
        <w:rPr>
          <w:rFonts w:cs="Verdana"/>
        </w:rPr>
        <w:t xml:space="preserve"> Het meerdere wordt niet gewaardeerd en meegenomen in de beoordeling.</w:t>
      </w:r>
    </w:p>
    <w:p w14:paraId="446D7FEC" w14:textId="06D3C406" w:rsidR="0065726A" w:rsidRDefault="0065726A" w:rsidP="003E5AD4">
      <w:pPr>
        <w:spacing w:line="276" w:lineRule="auto"/>
        <w:rPr>
          <w:rFonts w:cs="Verdana"/>
        </w:rPr>
      </w:pPr>
    </w:p>
    <w:p w14:paraId="25A1014B" w14:textId="4E301265" w:rsidR="006659ED" w:rsidRDefault="006659ED" w:rsidP="00E31CB2">
      <w:pPr>
        <w:rPr>
          <w:rFonts w:eastAsia="Times New Roman" w:cs="Arial"/>
          <w:bCs/>
          <w:color w:val="121469"/>
        </w:rPr>
      </w:pPr>
    </w:p>
    <w:p w14:paraId="1EBD048A" w14:textId="77777777" w:rsidR="00B90020" w:rsidRDefault="006659ED" w:rsidP="00B90020">
      <w:pPr>
        <w:spacing w:before="90" w:after="54" w:line="276" w:lineRule="auto"/>
        <w:contextualSpacing/>
        <w:rPr>
          <w:rFonts w:eastAsia="Times New Roman" w:cs="Arial"/>
          <w:bCs/>
          <w:color w:val="121469"/>
        </w:rPr>
      </w:pPr>
      <w:r w:rsidRPr="00B90020">
        <w:rPr>
          <w:rFonts w:eastAsia="Times New Roman" w:cs="Arial"/>
          <w:b/>
          <w:bCs/>
          <w:color w:val="121469"/>
        </w:rPr>
        <w:t>Kwaliteitscriterium 3:</w:t>
      </w:r>
      <w:r w:rsidRPr="00B90020">
        <w:rPr>
          <w:rFonts w:eastAsia="Times New Roman" w:cs="Arial"/>
          <w:bCs/>
          <w:color w:val="121469"/>
        </w:rPr>
        <w:t xml:space="preserve"> </w:t>
      </w:r>
    </w:p>
    <w:p w14:paraId="55D5AEC4" w14:textId="6EF3EC4C" w:rsidR="006659ED" w:rsidRPr="00B90020" w:rsidRDefault="006659ED" w:rsidP="00B90020">
      <w:pPr>
        <w:spacing w:before="90" w:after="54" w:line="276" w:lineRule="auto"/>
        <w:contextualSpacing/>
      </w:pPr>
      <w:r w:rsidRPr="00B90020">
        <w:t>Beschikbaarheid en bereikbaarheid</w:t>
      </w:r>
      <w:r w:rsidR="00C937AF" w:rsidRPr="00B90020">
        <w:t xml:space="preserve"> Bereikbaarheid en beschikbaarheid helpdesk/klantenservice etc. Als niet onderdeel van PvA:</w:t>
      </w:r>
    </w:p>
    <w:p w14:paraId="253E7A9E" w14:textId="53352719" w:rsidR="006659ED" w:rsidRPr="00B90020" w:rsidRDefault="006659ED" w:rsidP="00E31CB2"/>
    <w:p w14:paraId="3929D0A9" w14:textId="6FB7FCCD" w:rsidR="006659ED" w:rsidRPr="00B90020" w:rsidRDefault="006659ED" w:rsidP="00E31CB2">
      <w:r w:rsidRPr="00B90020">
        <w:t xml:space="preserve">De opdrachtgever vindt beschikbaarheid en bereikbaarheid van de leverancier in de vorm van een helpdesk gedurende kantooruren belangrijk. Geef aan hoe beschikbaarheid en bereikbaarheid worden ingericht en in welke vorm. Beschrijf hoe voldaan gaat worden aan de in het </w:t>
      </w:r>
      <w:r w:rsidR="00D112BB" w:rsidRPr="00B90020">
        <w:t xml:space="preserve">Programma van eisen genoemde SLA. </w:t>
      </w:r>
      <w:r w:rsidRPr="00B90020">
        <w:t>Beschrijf ook hier hoe afhankelijkheid van individuele medewerkers wordt geminimaliseerd.</w:t>
      </w:r>
    </w:p>
    <w:p w14:paraId="006A3971" w14:textId="772FA2D5" w:rsidR="003E5AD4" w:rsidRPr="00B90020" w:rsidRDefault="003E5AD4" w:rsidP="00E31CB2"/>
    <w:p w14:paraId="4B2A6D64" w14:textId="04338F9F" w:rsidR="003E5AD4" w:rsidRPr="00B90020" w:rsidRDefault="003E5AD4" w:rsidP="003E5AD4">
      <w:pPr>
        <w:spacing w:line="276" w:lineRule="auto"/>
      </w:pPr>
      <w:r w:rsidRPr="00B90020">
        <w:t>De score voor dit criterium zal plaatsvinden op basis van de door u gegeven reactie. De beantwoording dient pla</w:t>
      </w:r>
      <w:r w:rsidR="00B90020">
        <w:t>ats te vinden op maximaal 1 A4-formaat</w:t>
      </w:r>
      <w:r w:rsidRPr="00B90020">
        <w:t>.</w:t>
      </w:r>
      <w:r w:rsidR="00B90020">
        <w:t xml:space="preserve"> </w:t>
      </w:r>
      <w:r w:rsidR="00B90020">
        <w:rPr>
          <w:rFonts w:cs="Verdana"/>
        </w:rPr>
        <w:t>Het meerdere wordt niet gewaardeerd en meegenomen in de beoordeling.</w:t>
      </w:r>
    </w:p>
    <w:p w14:paraId="612FA33E" w14:textId="77777777" w:rsidR="00A46912" w:rsidRDefault="00A46912" w:rsidP="00337F69">
      <w:pPr>
        <w:spacing w:line="276" w:lineRule="auto"/>
        <w:rPr>
          <w:rFonts w:eastAsia="Times New Roman" w:cs="Arial"/>
          <w:b/>
          <w:bCs/>
          <w:color w:val="121469"/>
        </w:rPr>
      </w:pPr>
    </w:p>
    <w:p w14:paraId="7CBCFE9D" w14:textId="665EE2CC" w:rsidR="00337F69" w:rsidRDefault="00D112BB" w:rsidP="00337F69">
      <w:pPr>
        <w:spacing w:line="276" w:lineRule="auto"/>
        <w:rPr>
          <w:rFonts w:eastAsia="Times New Roman" w:cs="Arial"/>
          <w:bCs/>
          <w:color w:val="121469"/>
        </w:rPr>
      </w:pPr>
      <w:r w:rsidRPr="00B90020">
        <w:rPr>
          <w:rFonts w:eastAsia="Times New Roman" w:cs="Arial"/>
          <w:b/>
          <w:bCs/>
          <w:color w:val="121469"/>
        </w:rPr>
        <w:t>Kwaliteitscriterium 4:</w:t>
      </w:r>
      <w:r>
        <w:rPr>
          <w:rFonts w:eastAsia="Times New Roman" w:cs="Arial"/>
          <w:bCs/>
          <w:color w:val="121469"/>
        </w:rPr>
        <w:t xml:space="preserve"> </w:t>
      </w:r>
    </w:p>
    <w:p w14:paraId="2227DC68" w14:textId="1A77B08E" w:rsidR="00D112BB" w:rsidRPr="00337F69" w:rsidRDefault="00D112BB" w:rsidP="00337F69">
      <w:pPr>
        <w:spacing w:line="276" w:lineRule="auto"/>
        <w:rPr>
          <w:rFonts w:cs="Verdana"/>
        </w:rPr>
      </w:pPr>
      <w:r w:rsidRPr="00337F69">
        <w:rPr>
          <w:rFonts w:cs="Verdana"/>
        </w:rPr>
        <w:t>Rapportage informatiebeveiliging en NDA</w:t>
      </w:r>
    </w:p>
    <w:p w14:paraId="7836561E" w14:textId="4E74BDF6" w:rsidR="00D112BB" w:rsidRPr="00337F69" w:rsidRDefault="00D112BB" w:rsidP="00337F69">
      <w:pPr>
        <w:spacing w:line="276" w:lineRule="auto"/>
        <w:rPr>
          <w:rFonts w:cs="Verdana"/>
        </w:rPr>
      </w:pPr>
    </w:p>
    <w:p w14:paraId="6FA872DC" w14:textId="33DB4249" w:rsidR="00D112BB" w:rsidRPr="00337F69" w:rsidRDefault="00D112BB" w:rsidP="00337F69">
      <w:pPr>
        <w:spacing w:line="276" w:lineRule="auto"/>
        <w:rPr>
          <w:rFonts w:cs="Verdana"/>
        </w:rPr>
      </w:pPr>
      <w:r w:rsidRPr="00337F69">
        <w:rPr>
          <w:rFonts w:cs="Verdana"/>
        </w:rPr>
        <w:t>De opdrachtgever hecht eraan van de leverancier een rapportage te ontvangen door een externe, onafhankelijke partij waaruit blijkt d</w:t>
      </w:r>
      <w:r w:rsidR="00F932D2">
        <w:rPr>
          <w:rFonts w:cs="Verdana"/>
        </w:rPr>
        <w:t>a</w:t>
      </w:r>
      <w:r w:rsidRPr="00337F69">
        <w:rPr>
          <w:rFonts w:cs="Verdana"/>
        </w:rPr>
        <w:t>t het voor ontwikkeli</w:t>
      </w:r>
      <w:r w:rsidR="00F932D2">
        <w:rPr>
          <w:rFonts w:cs="Verdana"/>
        </w:rPr>
        <w:t>n</w:t>
      </w:r>
      <w:r w:rsidRPr="00337F69">
        <w:rPr>
          <w:rFonts w:cs="Verdana"/>
        </w:rPr>
        <w:t>g te gebruiken platform, systemen en verbindingen op een veilige wijze zijn ingericht; die met het oog op privacy en informatiebeveiliging. Inzake de benodigde vertrouwelijkheid wordt een geheimhoudingsverklaring verlangd, een zogeheten non-disclosure agreement.</w:t>
      </w:r>
    </w:p>
    <w:p w14:paraId="6C66DB9F" w14:textId="57559C3E" w:rsidR="003E5AD4" w:rsidRPr="00337F69" w:rsidRDefault="003E5AD4" w:rsidP="00337F69">
      <w:pPr>
        <w:spacing w:line="276" w:lineRule="auto"/>
        <w:rPr>
          <w:rFonts w:cs="Verdana"/>
        </w:rPr>
      </w:pPr>
    </w:p>
    <w:p w14:paraId="68359E54" w14:textId="132FB1F5" w:rsidR="003E5AD4" w:rsidRPr="00E547CC" w:rsidRDefault="003E5AD4" w:rsidP="003E5AD4">
      <w:pPr>
        <w:spacing w:line="276" w:lineRule="auto"/>
        <w:rPr>
          <w:rFonts w:cs="Verdana"/>
        </w:rPr>
      </w:pPr>
      <w:r w:rsidRPr="00E547CC">
        <w:rPr>
          <w:rFonts w:cs="Verdana"/>
        </w:rPr>
        <w:t>De score voor dit criterium zal plaatsvinden op basis van de door u gegeven reactie. De beantwoording dient plaats te vinden op maximaal 1 A4</w:t>
      </w:r>
      <w:r w:rsidR="00337F69">
        <w:rPr>
          <w:rFonts w:cs="Verdana"/>
        </w:rPr>
        <w:t>-formaat</w:t>
      </w:r>
      <w:r w:rsidRPr="00E547CC">
        <w:rPr>
          <w:rFonts w:cs="Verdana"/>
        </w:rPr>
        <w:t>.</w:t>
      </w:r>
      <w:r w:rsidR="00337F69">
        <w:rPr>
          <w:rFonts w:cs="Verdana"/>
        </w:rPr>
        <w:t xml:space="preserve"> Het meerdere wordt niet gewaardeerd en meegenomen in de beoordeling.</w:t>
      </w:r>
    </w:p>
    <w:p w14:paraId="4483640F" w14:textId="77777777" w:rsidR="00337F69" w:rsidRDefault="00337F69" w:rsidP="009B1F49">
      <w:pPr>
        <w:tabs>
          <w:tab w:val="left" w:pos="0"/>
        </w:tabs>
        <w:autoSpaceDN/>
        <w:spacing w:line="276" w:lineRule="auto"/>
        <w:textAlignment w:val="auto"/>
      </w:pPr>
    </w:p>
    <w:p w14:paraId="71C773E5" w14:textId="34B951C9" w:rsidR="009B1F49" w:rsidRDefault="009B1F49" w:rsidP="009B1F49">
      <w:pPr>
        <w:tabs>
          <w:tab w:val="left" w:pos="0"/>
        </w:tabs>
        <w:autoSpaceDN/>
        <w:spacing w:line="276" w:lineRule="auto"/>
        <w:textAlignment w:val="auto"/>
      </w:pPr>
      <w:r w:rsidRPr="00337F69">
        <w:t xml:space="preserve">Naast het belang dat de Tweede Kamer hecht aan deze onderwerpen vraagt de Aanbesteder aan Inschrijvers hun hoge ambitieniveau voor de door hen aan te bieden dienstverlening overtuigend in de offerte te verwerken (concreet). In de inschrijving wordt verwacht dat Inschrijver diens </w:t>
      </w:r>
      <w:r w:rsidR="00337F69" w:rsidRPr="00337F69">
        <w:t>dienstverlening</w:t>
      </w:r>
      <w:r w:rsidRPr="00337F69">
        <w:t xml:space="preserve"> duidelijk en toetsbaar uiteenzet.</w:t>
      </w:r>
      <w:r w:rsidRPr="00337F69">
        <w:br/>
      </w:r>
    </w:p>
    <w:p w14:paraId="5BC92238" w14:textId="690BC578" w:rsidR="00C708EF" w:rsidRPr="00C708EF" w:rsidRDefault="00C708EF" w:rsidP="009B1F49">
      <w:pPr>
        <w:tabs>
          <w:tab w:val="left" w:pos="0"/>
        </w:tabs>
        <w:autoSpaceDN/>
        <w:spacing w:line="276" w:lineRule="auto"/>
        <w:textAlignment w:val="auto"/>
        <w:rPr>
          <w:u w:val="single"/>
        </w:rPr>
      </w:pPr>
      <w:r w:rsidRPr="00C708EF">
        <w:rPr>
          <w:u w:val="single"/>
        </w:rPr>
        <w:t>Algemeen uitgangspunt Kwaliteitsdocumenten</w:t>
      </w:r>
    </w:p>
    <w:p w14:paraId="0BB60C55" w14:textId="68751281" w:rsidR="009B1F49" w:rsidRPr="00337F69" w:rsidRDefault="009B1F49" w:rsidP="009B1F49">
      <w:pPr>
        <w:tabs>
          <w:tab w:val="left" w:pos="0"/>
        </w:tabs>
        <w:autoSpaceDN/>
        <w:spacing w:line="276" w:lineRule="auto"/>
        <w:textAlignment w:val="auto"/>
      </w:pPr>
      <w:r w:rsidRPr="00337F69">
        <w:t xml:space="preserve">Inschrijver wordt gevraagd om in </w:t>
      </w:r>
      <w:r w:rsidR="00C708EF">
        <w:t xml:space="preserve">de Kwaliteitsdocumenten zoals het </w:t>
      </w:r>
      <w:r w:rsidRPr="00337F69">
        <w:t>Plan van Aanpak concreet en ondubbelzinnig te beschrijven wat hij aanbiedt (dus niet "we kunnen..." of "we doen mogelijk...", maar "we zullen..." of "we doen..."). Onduidelijkheden in de informatie die wordt aangeleverd ten behoeve van het Plan van Aanpak leiden in de regel tot een lagere beoordeling.</w:t>
      </w:r>
    </w:p>
    <w:p w14:paraId="49E86C85" w14:textId="03A37F9D" w:rsidR="009B1F49" w:rsidRPr="00337F69" w:rsidRDefault="009B1F49" w:rsidP="00C708EF">
      <w:pPr>
        <w:autoSpaceDN/>
        <w:spacing w:line="276" w:lineRule="auto"/>
        <w:jc w:val="both"/>
        <w:textAlignment w:val="auto"/>
      </w:pPr>
      <w:r w:rsidRPr="00337F69">
        <w:t>Uw maatregelen in uw Plan van Aanpak omschrijft u daarom SMART (Specifiek – Meetbaar   Acceptabel – Realistisch -  Tijdgebonden), en uit</w:t>
      </w:r>
      <w:r w:rsidR="00C708EF">
        <w:t xml:space="preserve"> onder ander</w:t>
      </w:r>
      <w:r w:rsidRPr="00337F69">
        <w:t xml:space="preserve"> uw Plan van Aanpak blijkt ambitie en commitment. </w:t>
      </w:r>
      <w:r w:rsidR="00C708EF">
        <w:t xml:space="preserve"> </w:t>
      </w:r>
      <w:r w:rsidRPr="00337F69">
        <w:t xml:space="preserve">Inschrijver toont aan hoe hij de dienstverlening voor de Aanbesteder vormgeeft ten behoeve van het realiseren van de </w:t>
      </w:r>
      <w:r w:rsidR="00C708EF">
        <w:t>beoogde doelstellingen.</w:t>
      </w:r>
    </w:p>
    <w:p w14:paraId="749800B5" w14:textId="77777777" w:rsidR="009B1F49" w:rsidRPr="00337F69" w:rsidRDefault="009B1F49" w:rsidP="009B1F49">
      <w:pPr>
        <w:autoSpaceDN/>
        <w:spacing w:line="276" w:lineRule="auto"/>
        <w:ind w:left="284"/>
        <w:textAlignment w:val="auto"/>
      </w:pPr>
    </w:p>
    <w:p w14:paraId="4AC86E9D" w14:textId="77C84989" w:rsidR="00C708EF" w:rsidRPr="00337F69" w:rsidRDefault="00C708EF" w:rsidP="00C708EF">
      <w:pPr>
        <w:autoSpaceDN/>
        <w:spacing w:line="276" w:lineRule="auto"/>
        <w:ind w:left="284" w:right="339"/>
        <w:textAlignment w:val="auto"/>
      </w:pPr>
      <w:r>
        <w:t xml:space="preserve">Nota </w:t>
      </w:r>
      <w:r w:rsidR="009B1F49" w:rsidRPr="00337F69">
        <w:t xml:space="preserve">Bene: </w:t>
      </w:r>
      <w:r w:rsidR="009B1F49" w:rsidRPr="00337F69">
        <w:br/>
        <w:t xml:space="preserve">Indien de gevraagde informatie niet of slechts deels wordt opgeleverd, leidt dit in de regel tot een lagere beoordeling. Het leidt niet tot een uitsluiting, enkel een mindere waardering. </w:t>
      </w:r>
      <w:r>
        <w:t>Hoewel er integraal zal worden beoordeeld is het niet de bedoeling dat u uw aanbod tot een ‘zoekplaatje’ maakt: uw aanbod mag zeker samenhang vertonen vanwege de integraliteit van uw dienstverlening, echter wordt u verzocht de onderwerpen en uw dienstverlening afzonderlijk per document per kwaliteitscriterium aan te bieden. Onduidelijkheid of onvindbaarheid daarin kan tot een lagere waardering leiden.</w:t>
      </w:r>
    </w:p>
    <w:p w14:paraId="22351862" w14:textId="784D5BD2" w:rsidR="009B1F49" w:rsidRPr="00337F69" w:rsidRDefault="009B1F49" w:rsidP="009B1F49">
      <w:pPr>
        <w:tabs>
          <w:tab w:val="left" w:pos="426"/>
        </w:tabs>
        <w:autoSpaceDN/>
        <w:spacing w:line="240" w:lineRule="atLeast"/>
        <w:ind w:left="284" w:right="282"/>
        <w:textAlignment w:val="auto"/>
      </w:pPr>
    </w:p>
    <w:p w14:paraId="69F52856" w14:textId="40FF67B2" w:rsidR="009B1F49" w:rsidRDefault="009B1F49" w:rsidP="009B1F49">
      <w:pPr>
        <w:tabs>
          <w:tab w:val="left" w:pos="426"/>
        </w:tabs>
        <w:autoSpaceDN/>
        <w:spacing w:line="240" w:lineRule="atLeast"/>
        <w:ind w:left="284" w:right="282"/>
        <w:textAlignment w:val="auto"/>
        <w:rPr>
          <w:rFonts w:ascii="Corbel" w:eastAsia="Times New Roman" w:hAnsi="Corbel" w:cs="Times New Roman"/>
          <w:i/>
          <w:color w:val="auto"/>
          <w:spacing w:val="5"/>
        </w:rPr>
      </w:pPr>
    </w:p>
    <w:p w14:paraId="2139FE51" w14:textId="77777777" w:rsidR="00A41B51" w:rsidRPr="0030603F" w:rsidRDefault="00A41B51" w:rsidP="009B1F49">
      <w:pPr>
        <w:tabs>
          <w:tab w:val="left" w:pos="426"/>
        </w:tabs>
        <w:autoSpaceDN/>
        <w:spacing w:line="240" w:lineRule="atLeast"/>
        <w:ind w:left="284" w:right="282"/>
        <w:textAlignment w:val="auto"/>
        <w:rPr>
          <w:rFonts w:ascii="Corbel" w:eastAsia="Times New Roman" w:hAnsi="Corbel" w:cs="Times New Roman"/>
          <w:i/>
          <w:color w:val="auto"/>
          <w:spacing w:val="5"/>
        </w:rPr>
      </w:pPr>
    </w:p>
    <w:p w14:paraId="06F345D8" w14:textId="058757E0" w:rsidR="003021F7" w:rsidRDefault="003021F7" w:rsidP="00BF4F02">
      <w:pPr>
        <w:pStyle w:val="RapportKop3"/>
      </w:pPr>
      <w:bookmarkStart w:id="34" w:name="_Toc105606096"/>
      <w:r>
        <w:lastRenderedPageBreak/>
        <w:t>Waardering van het subgunningscriterium kwaliteit</w:t>
      </w:r>
      <w:bookmarkEnd w:id="34"/>
    </w:p>
    <w:p w14:paraId="09002C41" w14:textId="0894CCE7" w:rsidR="00242B95" w:rsidRDefault="00242B95" w:rsidP="00BF4F02">
      <w:r>
        <w:t>Aan de sub-subgunningscriteria die vallen onder het subgunningscriterium kwaliteit worden scores toegekend volgens de hierna volgende waarderingstabel. Uitsluitend de waarderingen zoals vermeld in de onderstaande tabel (kunnen) worden toegekend.</w:t>
      </w:r>
    </w:p>
    <w:p w14:paraId="4F857B7B" w14:textId="42F8D243" w:rsidR="00242B95" w:rsidRDefault="00242B95" w:rsidP="00BF4F02"/>
    <w:p w14:paraId="0AF8E71D" w14:textId="77777777" w:rsidR="00337F69" w:rsidRDefault="00242B95" w:rsidP="00BF4F02">
      <w:pPr>
        <w:rPr>
          <w:b/>
        </w:rPr>
      </w:pPr>
      <w:r w:rsidRPr="00242B95">
        <w:rPr>
          <w:b/>
        </w:rPr>
        <w:t>Waarderingstabel</w:t>
      </w:r>
    </w:p>
    <w:p w14:paraId="0BEA856B" w14:textId="0103B07E" w:rsidR="00337F69" w:rsidRDefault="00337F69" w:rsidP="00BF4F02">
      <w:pPr>
        <w:rPr>
          <w:b/>
        </w:rPr>
      </w:pPr>
    </w:p>
    <w:tbl>
      <w:tblPr>
        <w:tblStyle w:val="Tabelraster"/>
        <w:tblW w:w="8708" w:type="dxa"/>
        <w:tblLook w:val="04A0" w:firstRow="1" w:lastRow="0" w:firstColumn="1" w:lastColumn="0" w:noHBand="0" w:noVBand="1"/>
      </w:tblPr>
      <w:tblGrid>
        <w:gridCol w:w="1542"/>
        <w:gridCol w:w="5986"/>
        <w:gridCol w:w="1180"/>
      </w:tblGrid>
      <w:tr w:rsidR="00337F69" w:rsidRPr="00066223" w14:paraId="2A580C70" w14:textId="77777777" w:rsidTr="00B263FC">
        <w:tc>
          <w:tcPr>
            <w:tcW w:w="0" w:type="auto"/>
            <w:shd w:val="clear" w:color="auto" w:fill="2F5496" w:themeFill="accent5" w:themeFillShade="BF"/>
          </w:tcPr>
          <w:p w14:paraId="3F728F40" w14:textId="77777777" w:rsidR="00337F69" w:rsidRPr="00066223" w:rsidRDefault="00337F69" w:rsidP="00B263FC">
            <w:pPr>
              <w:spacing w:line="276" w:lineRule="auto"/>
              <w:rPr>
                <w:color w:val="FFFFFF" w:themeColor="background1"/>
              </w:rPr>
            </w:pPr>
            <w:r w:rsidRPr="00066223">
              <w:rPr>
                <w:color w:val="FFFFFF" w:themeColor="background1"/>
              </w:rPr>
              <w:t>Beoordeling</w:t>
            </w:r>
          </w:p>
        </w:tc>
        <w:tc>
          <w:tcPr>
            <w:tcW w:w="6109" w:type="dxa"/>
            <w:shd w:val="clear" w:color="auto" w:fill="2F5496" w:themeFill="accent5" w:themeFillShade="BF"/>
          </w:tcPr>
          <w:p w14:paraId="28EE4E10" w14:textId="265881C7" w:rsidR="00337F69" w:rsidRPr="00066223" w:rsidRDefault="00337F69" w:rsidP="00B263FC">
            <w:pPr>
              <w:spacing w:line="276" w:lineRule="auto"/>
              <w:rPr>
                <w:color w:val="FFFFFF" w:themeColor="background1"/>
              </w:rPr>
            </w:pPr>
            <w:r>
              <w:rPr>
                <w:color w:val="FFFFFF" w:themeColor="background1"/>
              </w:rPr>
              <w:t>Omschrijving wijze van waardering Beoordeling K1-4</w:t>
            </w:r>
          </w:p>
          <w:p w14:paraId="59357E0C" w14:textId="151FBEFE" w:rsidR="00337F69" w:rsidRPr="00066223" w:rsidRDefault="00337F69" w:rsidP="00B263FC">
            <w:pPr>
              <w:pStyle w:val="Default"/>
              <w:spacing w:line="276" w:lineRule="auto"/>
              <w:rPr>
                <w:rFonts w:ascii="Verdana" w:hAnsi="Verdana"/>
                <w:color w:val="FFFFFF" w:themeColor="background1"/>
                <w:sz w:val="18"/>
                <w:szCs w:val="18"/>
              </w:rPr>
            </w:pPr>
          </w:p>
        </w:tc>
        <w:tc>
          <w:tcPr>
            <w:tcW w:w="1200" w:type="dxa"/>
            <w:shd w:val="clear" w:color="auto" w:fill="2F5496" w:themeFill="accent5" w:themeFillShade="BF"/>
          </w:tcPr>
          <w:p w14:paraId="74318213" w14:textId="4E6B09B8" w:rsidR="00337F69" w:rsidRPr="00066223" w:rsidRDefault="00337F69" w:rsidP="00B263FC">
            <w:pPr>
              <w:spacing w:line="276" w:lineRule="auto"/>
              <w:jc w:val="center"/>
              <w:rPr>
                <w:color w:val="FFFFFF" w:themeColor="background1"/>
              </w:rPr>
            </w:pPr>
            <w:r>
              <w:rPr>
                <w:color w:val="FFFFFF" w:themeColor="background1"/>
              </w:rPr>
              <w:t>%</w:t>
            </w:r>
          </w:p>
        </w:tc>
      </w:tr>
      <w:tr w:rsidR="00337F69" w:rsidRPr="00E547CC" w14:paraId="5379854E" w14:textId="77777777" w:rsidTr="00B263FC">
        <w:tc>
          <w:tcPr>
            <w:tcW w:w="0" w:type="auto"/>
          </w:tcPr>
          <w:p w14:paraId="0EE1F025" w14:textId="77777777" w:rsidR="00337F69" w:rsidRPr="00AF26EA" w:rsidRDefault="00337F69" w:rsidP="00B263FC">
            <w:pPr>
              <w:spacing w:line="276" w:lineRule="auto"/>
              <w:rPr>
                <w:b/>
                <w:bCs/>
              </w:rPr>
            </w:pPr>
            <w:r w:rsidRPr="00AF26EA">
              <w:rPr>
                <w:b/>
                <w:bCs/>
              </w:rPr>
              <w:t>Uitstekend</w:t>
            </w:r>
          </w:p>
        </w:tc>
        <w:tc>
          <w:tcPr>
            <w:tcW w:w="6109" w:type="dxa"/>
          </w:tcPr>
          <w:p w14:paraId="0CC66B8C" w14:textId="77777777" w:rsidR="00337F69" w:rsidRPr="00AF26EA" w:rsidRDefault="00337F69" w:rsidP="00B263FC">
            <w:pPr>
              <w:spacing w:line="276" w:lineRule="auto"/>
            </w:pPr>
            <w:r w:rsidRPr="00AF26EA">
              <w:t>In de uitwerking zijn alle gevraagde onderwerpen beschreven. De beschrijving van de onderwerpen</w:t>
            </w:r>
            <w:r>
              <w:t xml:space="preserve"> </w:t>
            </w:r>
            <w:r w:rsidRPr="00AF26EA">
              <w:t>sluit (in onderlinge samenhang) aan bij de opdracht en de vraagstelling. De Tweede Kamer heeft er vertrouwen in dat de Inschrijver in de praktijk zal kunnen waarmaken wat hij beschrijft. De uitwerking van de Inschrijver geeft blijk van zeer goed inzicht in de opdracht, de context waarbinnen de opdracht moet worden uitgevoerd en de behoeften van de Tweede Kamer. Dat geeft de Tweede Kamer de overtuiging dat de Inschrijver maximaal tegemoet zal komen aan de wens zoals beschreven in het sub-subgunningscriterium in relatie tot de Aanbestedingsstukken als geheel.</w:t>
            </w:r>
          </w:p>
        </w:tc>
        <w:tc>
          <w:tcPr>
            <w:tcW w:w="1200" w:type="dxa"/>
          </w:tcPr>
          <w:p w14:paraId="3318A4DD" w14:textId="170D00E6" w:rsidR="00337F69" w:rsidRPr="00E547CC" w:rsidRDefault="00337F69" w:rsidP="00B263FC">
            <w:pPr>
              <w:spacing w:line="276" w:lineRule="auto"/>
              <w:jc w:val="center"/>
            </w:pPr>
            <w:r>
              <w:t>100</w:t>
            </w:r>
          </w:p>
        </w:tc>
      </w:tr>
      <w:tr w:rsidR="00337F69" w:rsidRPr="00E547CC" w14:paraId="66C9C5FC" w14:textId="77777777" w:rsidTr="00B263FC">
        <w:tc>
          <w:tcPr>
            <w:tcW w:w="0" w:type="auto"/>
          </w:tcPr>
          <w:p w14:paraId="77FBE510" w14:textId="77777777" w:rsidR="00337F69" w:rsidRPr="00AF26EA" w:rsidRDefault="00337F69" w:rsidP="00B263FC">
            <w:pPr>
              <w:spacing w:line="276" w:lineRule="auto"/>
              <w:rPr>
                <w:b/>
                <w:bCs/>
              </w:rPr>
            </w:pPr>
            <w:r w:rsidRPr="00AF26EA">
              <w:rPr>
                <w:b/>
                <w:bCs/>
              </w:rPr>
              <w:t>Voldoende</w:t>
            </w:r>
          </w:p>
        </w:tc>
        <w:tc>
          <w:tcPr>
            <w:tcW w:w="6109" w:type="dxa"/>
          </w:tcPr>
          <w:p w14:paraId="158F8DF4" w14:textId="77777777" w:rsidR="00337F69" w:rsidRPr="00E547CC" w:rsidRDefault="00337F69" w:rsidP="00B263FC">
            <w:pPr>
              <w:spacing w:line="276" w:lineRule="auto"/>
            </w:pPr>
            <w:r w:rsidRPr="00AF26EA">
              <w:t>In de uitwerking zijn alle gevraagde onderwerpen beschreven. De beschrijving van de onderwerpen</w:t>
            </w:r>
            <w:r>
              <w:t xml:space="preserve"> </w:t>
            </w:r>
            <w:r w:rsidRPr="00AF26EA">
              <w:t>sluit in onderlinge samenhang aan bij de opdracht en de vraagstelling. De Tweede Kamer heeft er vertrouwen in dat de Inschrijver in de praktijk zal kunnen waarmaken wat hij beschrijft, dat hij daarmee tegemoetkomt aan de wens zoals beschreven in het sub-subgunningscriterium in relatie tot de</w:t>
            </w:r>
            <w:r>
              <w:t xml:space="preserve"> </w:t>
            </w:r>
            <w:r w:rsidRPr="00AF26EA">
              <w:t>Aanbestedingsstukken als geheel.</w:t>
            </w:r>
          </w:p>
        </w:tc>
        <w:tc>
          <w:tcPr>
            <w:tcW w:w="1200" w:type="dxa"/>
          </w:tcPr>
          <w:p w14:paraId="3F4575EC" w14:textId="3FB87606" w:rsidR="00337F69" w:rsidRPr="00E547CC" w:rsidRDefault="00337F69" w:rsidP="00B263FC">
            <w:pPr>
              <w:spacing w:line="276" w:lineRule="auto"/>
              <w:jc w:val="center"/>
            </w:pPr>
            <w:r>
              <w:t>80</w:t>
            </w:r>
          </w:p>
        </w:tc>
      </w:tr>
      <w:tr w:rsidR="00337F69" w:rsidRPr="00E547CC" w14:paraId="7A9DBAC2" w14:textId="77777777" w:rsidTr="00B263FC">
        <w:tc>
          <w:tcPr>
            <w:tcW w:w="0" w:type="auto"/>
          </w:tcPr>
          <w:p w14:paraId="65BD39EC" w14:textId="77777777" w:rsidR="00337F69" w:rsidRPr="00AF26EA" w:rsidRDefault="00337F69" w:rsidP="00B263FC">
            <w:pPr>
              <w:spacing w:line="276" w:lineRule="auto"/>
              <w:rPr>
                <w:b/>
                <w:bCs/>
              </w:rPr>
            </w:pPr>
            <w:r w:rsidRPr="00AF26EA">
              <w:rPr>
                <w:b/>
                <w:bCs/>
              </w:rPr>
              <w:t>Onvoldoende</w:t>
            </w:r>
          </w:p>
        </w:tc>
        <w:tc>
          <w:tcPr>
            <w:tcW w:w="6109" w:type="dxa"/>
          </w:tcPr>
          <w:p w14:paraId="276409B9" w14:textId="77777777" w:rsidR="00337F69" w:rsidRPr="00AF26EA" w:rsidRDefault="00337F69" w:rsidP="00B263FC">
            <w:pPr>
              <w:pStyle w:val="Default"/>
              <w:spacing w:line="276" w:lineRule="auto"/>
              <w:rPr>
                <w:rFonts w:ascii="Verdana" w:hAnsi="Verdana"/>
                <w:sz w:val="18"/>
                <w:szCs w:val="18"/>
              </w:rPr>
            </w:pPr>
            <w:r w:rsidRPr="00AF26EA">
              <w:rPr>
                <w:rFonts w:ascii="Verdana" w:hAnsi="Verdana"/>
                <w:sz w:val="18"/>
                <w:szCs w:val="18"/>
              </w:rPr>
              <w:t>In de uitwerking ontbreekt de beschrijving van een of meer van de onderwerpen en/of de beschrijving van de onderwerpen (die wel beschreven zijn in de uitwerking) sluit (in onderlinge samenhang) onvoldoende aan bij de opdracht en de vraagstelling. De Inschrijving geeft geen blijk van een reële, realistische en/of adequate aansluiting bij de wensen van de Tweede Kamer, zoals beschreven in het sub-subgunningscriterium in relatie tot de Aanbestedingsstukken als geheel.</w:t>
            </w:r>
          </w:p>
        </w:tc>
        <w:tc>
          <w:tcPr>
            <w:tcW w:w="1200" w:type="dxa"/>
          </w:tcPr>
          <w:p w14:paraId="43D5C2C4" w14:textId="15A87667" w:rsidR="00337F69" w:rsidRPr="00E547CC" w:rsidRDefault="00337F69" w:rsidP="00B263FC">
            <w:pPr>
              <w:spacing w:line="276" w:lineRule="auto"/>
              <w:jc w:val="center"/>
            </w:pPr>
            <w:r>
              <w:t>50</w:t>
            </w:r>
          </w:p>
        </w:tc>
      </w:tr>
      <w:tr w:rsidR="00337F69" w:rsidRPr="00E547CC" w14:paraId="35F9F894" w14:textId="77777777" w:rsidTr="00B263FC">
        <w:tc>
          <w:tcPr>
            <w:tcW w:w="0" w:type="auto"/>
          </w:tcPr>
          <w:p w14:paraId="1012915A" w14:textId="47D8375C" w:rsidR="00337F69" w:rsidRPr="00AF26EA" w:rsidRDefault="00C708EF" w:rsidP="00B263FC">
            <w:pPr>
              <w:spacing w:line="276" w:lineRule="auto"/>
              <w:rPr>
                <w:b/>
                <w:bCs/>
              </w:rPr>
            </w:pPr>
            <w:r>
              <w:rPr>
                <w:b/>
                <w:bCs/>
              </w:rPr>
              <w:t>Matig/</w:t>
            </w:r>
            <w:r w:rsidR="00337F69" w:rsidRPr="00AF26EA">
              <w:rPr>
                <w:b/>
                <w:bCs/>
              </w:rPr>
              <w:t>Slecht</w:t>
            </w:r>
          </w:p>
        </w:tc>
        <w:tc>
          <w:tcPr>
            <w:tcW w:w="6109" w:type="dxa"/>
          </w:tcPr>
          <w:p w14:paraId="335EDA53" w14:textId="77777777" w:rsidR="00337F69" w:rsidRPr="00E547CC" w:rsidRDefault="00337F69" w:rsidP="00B263FC">
            <w:pPr>
              <w:spacing w:line="276" w:lineRule="auto"/>
            </w:pPr>
            <w:r w:rsidRPr="00282B17">
              <w:t>De Inschrijver geeft geen uitwerking of een uitwerking waarin de gevraagde onderwerpen niet terugkomen en/of een beschrijving die niet relevant is.</w:t>
            </w:r>
          </w:p>
        </w:tc>
        <w:tc>
          <w:tcPr>
            <w:tcW w:w="1200" w:type="dxa"/>
          </w:tcPr>
          <w:p w14:paraId="58EA7792" w14:textId="2C964CE4" w:rsidR="00337F69" w:rsidRPr="00E547CC" w:rsidRDefault="00337F69" w:rsidP="00337F69">
            <w:pPr>
              <w:spacing w:line="276" w:lineRule="auto"/>
              <w:jc w:val="center"/>
            </w:pPr>
            <w:r w:rsidRPr="00E547CC">
              <w:t>0</w:t>
            </w:r>
          </w:p>
        </w:tc>
      </w:tr>
    </w:tbl>
    <w:p w14:paraId="05968DF2" w14:textId="77777777" w:rsidR="00337F69" w:rsidRDefault="00337F69" w:rsidP="00BF4F02">
      <w:pPr>
        <w:rPr>
          <w:b/>
        </w:rPr>
      </w:pPr>
    </w:p>
    <w:p w14:paraId="4D82ADA9" w14:textId="74880658" w:rsidR="006A4AF0" w:rsidRDefault="006A4AF0" w:rsidP="006A4AF0">
      <w:pPr>
        <w:pStyle w:val="RapportKop3"/>
      </w:pPr>
      <w:bookmarkStart w:id="35" w:name="_Toc105606097"/>
      <w:r>
        <w:t>Procedure van beoordeling van het subgunningscriterium kwaliteit</w:t>
      </w:r>
      <w:bookmarkEnd w:id="35"/>
    </w:p>
    <w:p w14:paraId="61430585" w14:textId="08319BCA" w:rsidR="006A4AF0" w:rsidRDefault="006A4AF0" w:rsidP="00BF4F02">
      <w:r>
        <w:lastRenderedPageBreak/>
        <w:t>De beoordeling van de kwalitatieve sub-subgunningscriteria vindt plaats op de volgende wijze:</w:t>
      </w:r>
    </w:p>
    <w:p w14:paraId="2A7C5E54" w14:textId="652BF90F" w:rsidR="006A4AF0" w:rsidRDefault="006A4AF0" w:rsidP="00BF4F02"/>
    <w:p w14:paraId="62FE934E" w14:textId="24F5F77D" w:rsidR="006A4AF0" w:rsidRPr="00873637" w:rsidRDefault="006A4AF0" w:rsidP="00BF4F02">
      <w:pPr>
        <w:rPr>
          <w:u w:val="single"/>
        </w:rPr>
      </w:pPr>
      <w:r w:rsidRPr="00873637">
        <w:rPr>
          <w:u w:val="single"/>
        </w:rPr>
        <w:t>Stap 1</w:t>
      </w:r>
    </w:p>
    <w:p w14:paraId="0B2431C2" w14:textId="11697546" w:rsidR="006A4AF0" w:rsidRDefault="006A4AF0" w:rsidP="00BF4F02">
      <w:r>
        <w:t>Ieder lid van de beoordelingscommissie beoordeelt individueel de uitwerkingen van de Inschrijvers.</w:t>
      </w:r>
    </w:p>
    <w:p w14:paraId="15C4C970" w14:textId="5E435D7F" w:rsidR="006A4AF0" w:rsidRDefault="006A4AF0" w:rsidP="00BF4F02"/>
    <w:p w14:paraId="5966C6C6" w14:textId="1E06C8A4" w:rsidR="006A4AF0" w:rsidRPr="00873637" w:rsidRDefault="006A4AF0" w:rsidP="00BF4F02">
      <w:pPr>
        <w:rPr>
          <w:u w:val="single"/>
        </w:rPr>
      </w:pPr>
      <w:r w:rsidRPr="00873637">
        <w:rPr>
          <w:u w:val="single"/>
        </w:rPr>
        <w:t>Stap 2</w:t>
      </w:r>
    </w:p>
    <w:p w14:paraId="59F75C8D" w14:textId="7D064AD7" w:rsidR="006A4AF0" w:rsidRDefault="006A4AF0" w:rsidP="00BF4F02">
      <w:r>
        <w:t>Na de individuele beoordeling komt de beoordelingscommissie bijeen in een plenaire sessie. Daarin bespreken de leden van de beoordelingscommissie de scoreresultaten die zijn voortgekomen uit de individuele beoordelingen</w:t>
      </w:r>
      <w:r w:rsidR="004351CA">
        <w:t>, met het doel om in consensus voor ieder sub-subgunningscriterium tot een plenair gedragen eindwaardering te komen.</w:t>
      </w:r>
    </w:p>
    <w:p w14:paraId="3A07DEA9" w14:textId="2B7B7DA3" w:rsidR="006A4AF0" w:rsidRDefault="006A4AF0" w:rsidP="00BF4F02"/>
    <w:p w14:paraId="054BF713" w14:textId="0F70434F" w:rsidR="006A4AF0" w:rsidRDefault="006A4AF0" w:rsidP="00BF4F02">
      <w:r w:rsidRPr="00A46912">
        <w:t xml:space="preserve">De </w:t>
      </w:r>
      <w:r w:rsidR="002B0005" w:rsidRPr="00A46912">
        <w:t>inkoopadviseur</w:t>
      </w:r>
      <w:r w:rsidR="004351CA" w:rsidRPr="00A46912">
        <w:t xml:space="preserve"> (tevens </w:t>
      </w:r>
      <w:r w:rsidRPr="00A46912">
        <w:t>contactpersoon van de Aanbestedingsprocedure</w:t>
      </w:r>
      <w:r w:rsidR="004351CA" w:rsidRPr="00A46912">
        <w:t xml:space="preserve">, </w:t>
      </w:r>
      <w:r w:rsidRPr="00A46912">
        <w:t xml:space="preserve">paragraaf 1.2) zit de plenaire sessie voor en bewaakt </w:t>
      </w:r>
      <w:r w:rsidR="004351CA" w:rsidRPr="00A46912">
        <w:t>de inachtneming van het beoordelingskader dat is vastgelegd in de Aanbestedingsstukken.</w:t>
      </w:r>
      <w:r w:rsidR="004351CA">
        <w:t xml:space="preserve"> </w:t>
      </w:r>
    </w:p>
    <w:p w14:paraId="4DFFDF78" w14:textId="20B5969E" w:rsidR="00873637" w:rsidRDefault="00873637" w:rsidP="00BF4F02"/>
    <w:p w14:paraId="715FE2EB" w14:textId="20B4455E" w:rsidR="00873637" w:rsidRDefault="00873637" w:rsidP="00BF4F02">
      <w:r>
        <w:t>De (motivering van de) gunningsbeslissing ziet uitsluitend op de beoordeling waartoe de beoordelingscommissie in consensus is gekomen.</w:t>
      </w:r>
    </w:p>
    <w:p w14:paraId="5A9AF3F1" w14:textId="77777777" w:rsidR="00CE70F8" w:rsidRPr="00B263FC" w:rsidRDefault="00CE70F8" w:rsidP="00CE70F8">
      <w:pPr>
        <w:pStyle w:val="RapportKop3"/>
      </w:pPr>
      <w:bookmarkStart w:id="36" w:name="_Toc105606098"/>
      <w:r w:rsidRPr="00B263FC">
        <w:t>Subgunningscriterium prijs</w:t>
      </w:r>
      <w:bookmarkEnd w:id="36"/>
    </w:p>
    <w:p w14:paraId="23B8C2DD" w14:textId="5D9E17A0" w:rsidR="001454DA" w:rsidRDefault="00CE70F8" w:rsidP="00CE70F8">
      <w:r w:rsidRPr="00B263FC">
        <w:t xml:space="preserve">De Tweede Kamer </w:t>
      </w:r>
      <w:r w:rsidR="001454DA" w:rsidRPr="00B263FC">
        <w:t>beoordeelt</w:t>
      </w:r>
      <w:r w:rsidRPr="00B263FC">
        <w:t xml:space="preserve"> het subgunningscriterium prijs als </w:t>
      </w:r>
      <w:r w:rsidR="000154B7" w:rsidRPr="00B263FC">
        <w:t>hieronder verder omschreven</w:t>
      </w:r>
      <w:r w:rsidRPr="00B263FC">
        <w:t xml:space="preserve"> </w:t>
      </w:r>
      <w:r w:rsidR="001454DA" w:rsidRPr="00B263FC">
        <w:t xml:space="preserve">waarbij de prijs in verhouding wordt geplaatst ten opzichte van door de Inschrijver behaalde score op kwaliteit. </w:t>
      </w:r>
    </w:p>
    <w:p w14:paraId="14FD3D34" w14:textId="10D8CC5C" w:rsidR="00E557FE" w:rsidRDefault="00E557FE" w:rsidP="00CE70F8"/>
    <w:p w14:paraId="738E241C" w14:textId="77777777" w:rsidR="00E557FE" w:rsidRDefault="00E557FE" w:rsidP="00E557FE">
      <w:r w:rsidRPr="00B35F4F">
        <w:t>Het onderdeel prijs wordt voor [0,</w:t>
      </w:r>
      <w:r>
        <w:t>30</w:t>
      </w:r>
      <w:r w:rsidRPr="00B35F4F">
        <w:t>] meegewogen in de totaalscore.</w:t>
      </w:r>
    </w:p>
    <w:p w14:paraId="574B41AD" w14:textId="77777777" w:rsidR="000154B7" w:rsidRPr="00B263FC" w:rsidRDefault="000154B7" w:rsidP="00CE70F8"/>
    <w:p w14:paraId="5B4AB3D1" w14:textId="4967B259" w:rsidR="001454DA" w:rsidRPr="00B263FC" w:rsidRDefault="001454DA" w:rsidP="00CE70F8">
      <w:r w:rsidRPr="00B263FC">
        <w:t xml:space="preserve">De </w:t>
      </w:r>
      <w:r w:rsidR="00CE70F8" w:rsidRPr="00B263FC">
        <w:t>kosten</w:t>
      </w:r>
      <w:r w:rsidRPr="00B263FC">
        <w:t>posten</w:t>
      </w:r>
      <w:r w:rsidR="00CE70F8" w:rsidRPr="00B263FC">
        <w:t xml:space="preserve"> die de Tweede Kamer in dit kader</w:t>
      </w:r>
      <w:r w:rsidRPr="00B263FC">
        <w:t xml:space="preserve"> terug wil zien betreffen</w:t>
      </w:r>
      <w:r w:rsidR="000154B7" w:rsidRPr="00B263FC">
        <w:t xml:space="preserve"> op het door Inschrijver in te dienen prijzenblad (formatvrij) de volgende kostenonderdelen</w:t>
      </w:r>
      <w:r w:rsidRPr="00B263FC">
        <w:t>:</w:t>
      </w:r>
    </w:p>
    <w:p w14:paraId="0FEDC5CE" w14:textId="1AF619A7" w:rsidR="00CE70F8" w:rsidRPr="00B263FC" w:rsidRDefault="001454DA" w:rsidP="001454DA">
      <w:pPr>
        <w:pStyle w:val="Lijstalinea"/>
        <w:numPr>
          <w:ilvl w:val="0"/>
          <w:numId w:val="32"/>
        </w:numPr>
      </w:pPr>
      <w:r w:rsidRPr="00B263FC">
        <w:t>(eventuele) ontwikkeling;</w:t>
      </w:r>
    </w:p>
    <w:p w14:paraId="3E7D5B71" w14:textId="46A115EF" w:rsidR="001454DA" w:rsidRPr="00B263FC" w:rsidRDefault="00B263FC" w:rsidP="001454DA">
      <w:pPr>
        <w:pStyle w:val="Lijstalinea"/>
        <w:numPr>
          <w:ilvl w:val="0"/>
          <w:numId w:val="32"/>
        </w:numPr>
      </w:pPr>
      <w:r w:rsidRPr="00B263FC">
        <w:t>I</w:t>
      </w:r>
      <w:r w:rsidR="001454DA" w:rsidRPr="00B263FC">
        <w:t>mplementatie</w:t>
      </w:r>
      <w:r>
        <w:t>;</w:t>
      </w:r>
    </w:p>
    <w:p w14:paraId="468DE7D7" w14:textId="29A4273E" w:rsidR="001454DA" w:rsidRPr="00B263FC" w:rsidRDefault="00B263FC" w:rsidP="001454DA">
      <w:pPr>
        <w:pStyle w:val="Lijstalinea"/>
        <w:numPr>
          <w:ilvl w:val="0"/>
          <w:numId w:val="32"/>
        </w:numPr>
      </w:pPr>
      <w:r w:rsidRPr="00B263FC">
        <w:t>M</w:t>
      </w:r>
      <w:r w:rsidR="001454DA" w:rsidRPr="00B263FC">
        <w:t>onitoring</w:t>
      </w:r>
      <w:r>
        <w:t>;</w:t>
      </w:r>
    </w:p>
    <w:p w14:paraId="2B27F5F7" w14:textId="31DDEC12" w:rsidR="001454DA" w:rsidRPr="00B263FC" w:rsidRDefault="00B263FC" w:rsidP="001454DA">
      <w:pPr>
        <w:pStyle w:val="Lijstalinea"/>
        <w:numPr>
          <w:ilvl w:val="0"/>
          <w:numId w:val="32"/>
        </w:numPr>
      </w:pPr>
      <w:r>
        <w:t>B</w:t>
      </w:r>
      <w:r w:rsidR="001454DA" w:rsidRPr="00B263FC">
        <w:t>eheer</w:t>
      </w:r>
      <w:r w:rsidR="00930A49" w:rsidRPr="00B263FC">
        <w:t xml:space="preserve"> (Support &amp; Maintenance)</w:t>
      </w:r>
      <w:r>
        <w:t>;</w:t>
      </w:r>
    </w:p>
    <w:p w14:paraId="41B960D3" w14:textId="7FE02FD0" w:rsidR="001454DA" w:rsidRPr="00B263FC" w:rsidRDefault="00B263FC" w:rsidP="001454DA">
      <w:pPr>
        <w:pStyle w:val="Lijstalinea"/>
        <w:numPr>
          <w:ilvl w:val="0"/>
          <w:numId w:val="32"/>
        </w:numPr>
      </w:pPr>
      <w:r>
        <w:t>U</w:t>
      </w:r>
      <w:r w:rsidR="001454DA" w:rsidRPr="00B263FC">
        <w:t>urtarief</w:t>
      </w:r>
      <w:r>
        <w:t>.</w:t>
      </w:r>
    </w:p>
    <w:p w14:paraId="398ACD18" w14:textId="4BE879BC" w:rsidR="001454DA" w:rsidRPr="00B263FC" w:rsidRDefault="001454DA" w:rsidP="001454DA">
      <w:r w:rsidRPr="00B263FC">
        <w:t>De Inschrijver voegt een onderbouwing van de prijs per kostenpost bij, die inzichtelijk maakt hoe de afzonderlijke prijsonderdelen en de totaalprijs tot stand komt.</w:t>
      </w:r>
      <w:r w:rsidR="000154B7" w:rsidRPr="00B263FC">
        <w:t xml:space="preserve"> De vermelde kosten inclusief onderbouwing staan daarbij in logische verhouding tot de in de kwaliteitsdocumenten omschreven door Inschrijver aangeboden dienstverlening.</w:t>
      </w:r>
    </w:p>
    <w:p w14:paraId="52FE5487" w14:textId="6748A90B" w:rsidR="00CE70F8" w:rsidRDefault="00CE70F8" w:rsidP="00CE70F8"/>
    <w:p w14:paraId="685295AE" w14:textId="77777777" w:rsidR="00A41B51" w:rsidRDefault="00A41B51" w:rsidP="00CE70F8">
      <w:pPr>
        <w:rPr>
          <w:rFonts w:eastAsia="Times New Roman" w:cs="Arial"/>
          <w:bCs/>
          <w:color w:val="auto"/>
          <w:u w:val="single"/>
        </w:rPr>
      </w:pPr>
    </w:p>
    <w:p w14:paraId="31B7E3BC" w14:textId="77777777" w:rsidR="00A41B51" w:rsidRDefault="00A41B51" w:rsidP="00CE70F8">
      <w:pPr>
        <w:rPr>
          <w:rFonts w:eastAsia="Times New Roman" w:cs="Arial"/>
          <w:bCs/>
          <w:color w:val="auto"/>
          <w:u w:val="single"/>
        </w:rPr>
      </w:pPr>
    </w:p>
    <w:p w14:paraId="01FD942A" w14:textId="77B339A8" w:rsidR="00CE70F8" w:rsidRPr="00636D73" w:rsidRDefault="00CE70F8" w:rsidP="00CE70F8">
      <w:pPr>
        <w:rPr>
          <w:rFonts w:eastAsia="Times New Roman" w:cs="Arial"/>
          <w:bCs/>
          <w:color w:val="121469"/>
          <w:u w:val="single"/>
        </w:rPr>
      </w:pPr>
      <w:r w:rsidRPr="00636D73">
        <w:rPr>
          <w:rFonts w:eastAsia="Times New Roman" w:cs="Arial"/>
          <w:bCs/>
          <w:color w:val="auto"/>
          <w:u w:val="single"/>
        </w:rPr>
        <w:lastRenderedPageBreak/>
        <w:t>V</w:t>
      </w:r>
      <w:r>
        <w:rPr>
          <w:rFonts w:eastAsia="Times New Roman" w:cs="Arial"/>
          <w:bCs/>
          <w:color w:val="auto"/>
          <w:u w:val="single"/>
        </w:rPr>
        <w:t>raagstelling aan de Inschrijver</w:t>
      </w:r>
    </w:p>
    <w:p w14:paraId="7829CFEB" w14:textId="77777777" w:rsidR="00CE70F8" w:rsidRDefault="00CE70F8" w:rsidP="00CE70F8">
      <w:r>
        <w:t>De Inschrijver moet in zijn Inschrijving de prijs indienen met inachtneming van de volgende randvoorwaarden en eisen.</w:t>
      </w:r>
    </w:p>
    <w:p w14:paraId="28005D2D" w14:textId="77777777" w:rsidR="00E557FE" w:rsidRDefault="00E557FE" w:rsidP="00CE70F8">
      <w:pPr>
        <w:ind w:left="360"/>
        <w:rPr>
          <w:u w:val="single"/>
        </w:rPr>
      </w:pPr>
    </w:p>
    <w:p w14:paraId="4A102251" w14:textId="7CC18B0D" w:rsidR="00CE70F8" w:rsidRPr="000A5FF7" w:rsidRDefault="00CE70F8" w:rsidP="00CE70F8">
      <w:pPr>
        <w:ind w:left="360"/>
        <w:rPr>
          <w:u w:val="single"/>
        </w:rPr>
      </w:pPr>
      <w:r w:rsidRPr="000A5FF7">
        <w:rPr>
          <w:u w:val="single"/>
        </w:rPr>
        <w:t>Randvoorwaarden:</w:t>
      </w:r>
    </w:p>
    <w:p w14:paraId="18944553" w14:textId="77777777" w:rsidR="00CE70F8" w:rsidRDefault="00CE70F8" w:rsidP="00B01284">
      <w:pPr>
        <w:pStyle w:val="Lijstalinea"/>
        <w:numPr>
          <w:ilvl w:val="0"/>
          <w:numId w:val="21"/>
        </w:numPr>
        <w:ind w:left="720"/>
      </w:pPr>
      <w:r>
        <w:t>Alle prijzen moeten zijn afgerond op maximaal twee cijfers achter de komma.</w:t>
      </w:r>
    </w:p>
    <w:p w14:paraId="0B3434EE" w14:textId="77777777" w:rsidR="00CE70F8" w:rsidRDefault="00CE70F8" w:rsidP="00B01284">
      <w:pPr>
        <w:pStyle w:val="Lijstalinea"/>
        <w:numPr>
          <w:ilvl w:val="0"/>
          <w:numId w:val="21"/>
        </w:numPr>
        <w:ind w:left="720"/>
      </w:pPr>
      <w:r>
        <w:t xml:space="preserve">Alle prijzen moeten worden opgegeven in euro’s. </w:t>
      </w:r>
    </w:p>
    <w:p w14:paraId="6CDF55A4" w14:textId="77777777" w:rsidR="00CE70F8" w:rsidRDefault="00CE70F8" w:rsidP="00B01284">
      <w:pPr>
        <w:pStyle w:val="Lijstalinea"/>
        <w:numPr>
          <w:ilvl w:val="0"/>
          <w:numId w:val="21"/>
        </w:numPr>
        <w:ind w:left="720"/>
      </w:pPr>
      <w:r>
        <w:t>Alle prijzen moeten worden opgegeven exclusief omzetbelasting (btw).</w:t>
      </w:r>
    </w:p>
    <w:p w14:paraId="4EE563D9" w14:textId="77777777" w:rsidR="00CE70F8" w:rsidRDefault="00CE70F8" w:rsidP="00B01284">
      <w:pPr>
        <w:pStyle w:val="Lijstalinea"/>
        <w:numPr>
          <w:ilvl w:val="0"/>
          <w:numId w:val="21"/>
        </w:numPr>
        <w:ind w:left="720"/>
      </w:pPr>
      <w:r>
        <w:t>Het prijzenblad dat de Inschrijver indient maakt deel uit van de Overeenkomst indien de Tweede Kamer de opdracht aan de Inschrijver gunt. De Inschrijver zal in dat geval dus gehouden zijn aan de prijzen die hij in het prijzenblad heeft aangeboden.</w:t>
      </w:r>
    </w:p>
    <w:p w14:paraId="51344BA1" w14:textId="77777777" w:rsidR="00CE70F8" w:rsidRDefault="00CE70F8" w:rsidP="00B01284">
      <w:pPr>
        <w:pStyle w:val="Lijstalinea"/>
        <w:numPr>
          <w:ilvl w:val="0"/>
          <w:numId w:val="21"/>
        </w:numPr>
        <w:ind w:left="720"/>
      </w:pPr>
      <w:r>
        <w:t>Alle prijzen zijn inclusief alle bijkomende kosten (all-in). Dat betekent dat de Tweede Kamer, behalve de door de Inschrijver geoffreerde tarieven, niets aan de Inschrijver verschuldigd is.</w:t>
      </w:r>
    </w:p>
    <w:p w14:paraId="79B26B62" w14:textId="77777777" w:rsidR="00A13971" w:rsidRDefault="00A13971" w:rsidP="00B01284">
      <w:pPr>
        <w:pStyle w:val="Lijstalinea"/>
        <w:numPr>
          <w:ilvl w:val="0"/>
          <w:numId w:val="21"/>
        </w:numPr>
        <w:ind w:left="720"/>
      </w:pPr>
      <w:r>
        <w:t>Alle prijzen moeten een in de branche gebruikelijke opbouw/samenhang hebben.</w:t>
      </w:r>
    </w:p>
    <w:p w14:paraId="5E464A7C" w14:textId="77777777" w:rsidR="00CE70F8" w:rsidRDefault="00CE70F8" w:rsidP="00B01284">
      <w:pPr>
        <w:pStyle w:val="Lijstalinea"/>
        <w:numPr>
          <w:ilvl w:val="0"/>
          <w:numId w:val="21"/>
        </w:numPr>
        <w:ind w:left="720"/>
      </w:pPr>
      <w:r>
        <w:t>Alle prijzen moeten op zichzelf beschouwd marktconform en/of realistisch te zijn.</w:t>
      </w:r>
    </w:p>
    <w:p w14:paraId="41F34CCA" w14:textId="77777777" w:rsidR="00CE70F8" w:rsidRDefault="00CE70F8" w:rsidP="00B01284">
      <w:pPr>
        <w:pStyle w:val="Lijstalinea"/>
        <w:numPr>
          <w:ilvl w:val="0"/>
          <w:numId w:val="21"/>
        </w:numPr>
        <w:ind w:left="720"/>
      </w:pPr>
      <w:r>
        <w:t>Het indienen van een irreële of manipulatieve Inschrijving is verboden. Een irreële of manipulatieve Inschrijving is ongeldig en wordt ter zijde gelegd. Van een irreële of manipulatieve Inschrijving kan sprake zijn wanneer – als gevolg van miskenning door de Inschrijver van bepaalde aannames van de Tweede Kamer – de beoordelingssystematiek zo wordt gemanipuleerd dat het daarmee beoogde doel, zoals het innemen van een realistische positie in rang, wordt verstoord. Een Inschrijving is in ieder geval, doch niet uitsluitend, manipulatief en/of irreëel als:</w:t>
      </w:r>
    </w:p>
    <w:p w14:paraId="2DD5B8AD" w14:textId="77777777" w:rsidR="00CE70F8" w:rsidRDefault="00CE70F8" w:rsidP="00B01284">
      <w:pPr>
        <w:pStyle w:val="Lijstalinea"/>
        <w:numPr>
          <w:ilvl w:val="1"/>
          <w:numId w:val="21"/>
        </w:numPr>
        <w:ind w:left="1800"/>
      </w:pPr>
      <w:r>
        <w:t>een of meer prijzen worden aangeboden die op zichzelf beschouwd niet marktconform en/of niet realistisch zijn;</w:t>
      </w:r>
    </w:p>
    <w:p w14:paraId="7B1A8FC6" w14:textId="77777777" w:rsidR="00CE70F8" w:rsidRDefault="00CE70F8" w:rsidP="00B01284">
      <w:pPr>
        <w:pStyle w:val="Lijstalinea"/>
        <w:numPr>
          <w:ilvl w:val="1"/>
          <w:numId w:val="21"/>
        </w:numPr>
        <w:ind w:left="1800"/>
      </w:pPr>
      <w:r>
        <w:t>de prijzen niet een in de branche gebruikelijke opbouw/samenhang hebben;</w:t>
      </w:r>
    </w:p>
    <w:p w14:paraId="450A9158" w14:textId="77777777" w:rsidR="00CE70F8" w:rsidRDefault="00CE70F8" w:rsidP="00B01284">
      <w:pPr>
        <w:pStyle w:val="Lijstalinea"/>
        <w:numPr>
          <w:ilvl w:val="1"/>
          <w:numId w:val="21"/>
        </w:numPr>
        <w:ind w:left="1800"/>
      </w:pPr>
      <w:r>
        <w:t>een of meerdere tarieven de gehanteerde formule frustreren;</w:t>
      </w:r>
    </w:p>
    <w:p w14:paraId="4176C4E5" w14:textId="77777777" w:rsidR="00CE70F8" w:rsidRDefault="00CE70F8" w:rsidP="00B01284">
      <w:pPr>
        <w:pStyle w:val="Lijstalinea"/>
        <w:numPr>
          <w:ilvl w:val="1"/>
          <w:numId w:val="21"/>
        </w:numPr>
        <w:ind w:left="1800"/>
      </w:pPr>
      <w:r>
        <w:t>sprake is van negatieve of nultarieven.</w:t>
      </w:r>
    </w:p>
    <w:p w14:paraId="046C5C90" w14:textId="77777777" w:rsidR="00CE70F8" w:rsidRDefault="00CE70F8" w:rsidP="00B01284">
      <w:pPr>
        <w:pStyle w:val="Lijstalinea"/>
        <w:numPr>
          <w:ilvl w:val="0"/>
          <w:numId w:val="21"/>
        </w:numPr>
        <w:ind w:left="720"/>
      </w:pPr>
      <w:r>
        <w:t>Het aanbieden van negatieve of nultarieven is verboden.</w:t>
      </w:r>
    </w:p>
    <w:p w14:paraId="4C27ABD8" w14:textId="77777777" w:rsidR="00CE70F8" w:rsidRDefault="00CE70F8" w:rsidP="00CE70F8"/>
    <w:p w14:paraId="28F86BC4" w14:textId="77777777" w:rsidR="00CE70F8" w:rsidRDefault="00CE70F8" w:rsidP="00CE70F8">
      <w:pPr>
        <w:ind w:left="360"/>
      </w:pPr>
      <w:r>
        <w:t>Een Inschrijving die in strijd is met een of meer van bovengenoemde randvoorwaarden is ongeldig en wordt ter zijde gelegd.</w:t>
      </w:r>
    </w:p>
    <w:p w14:paraId="5D4B0010" w14:textId="77777777" w:rsidR="00CE70F8" w:rsidRDefault="00CE70F8" w:rsidP="00CE70F8">
      <w:pPr>
        <w:ind w:left="360"/>
      </w:pPr>
    </w:p>
    <w:p w14:paraId="214E590E" w14:textId="77777777" w:rsidR="00CE70F8" w:rsidRPr="000A5FF7" w:rsidRDefault="00CE70F8" w:rsidP="00CE70F8">
      <w:pPr>
        <w:rPr>
          <w:u w:val="single"/>
        </w:rPr>
      </w:pPr>
      <w:r w:rsidRPr="000A5FF7">
        <w:rPr>
          <w:u w:val="single"/>
        </w:rPr>
        <w:t>Eisen:</w:t>
      </w:r>
    </w:p>
    <w:p w14:paraId="55BB2F7F" w14:textId="28CF4C05" w:rsidR="00CE70F8" w:rsidRDefault="00CE70F8" w:rsidP="00B01284">
      <w:pPr>
        <w:pStyle w:val="Lijstalinea"/>
        <w:numPr>
          <w:ilvl w:val="0"/>
          <w:numId w:val="21"/>
        </w:numPr>
        <w:ind w:left="720"/>
      </w:pPr>
      <w:r>
        <w:t xml:space="preserve">De Inschrijver is verplicht </w:t>
      </w:r>
      <w:r w:rsidR="000154B7">
        <w:t xml:space="preserve">een formatvrij </w:t>
      </w:r>
      <w:r>
        <w:t xml:space="preserve">prijzenblad  </w:t>
      </w:r>
      <w:r w:rsidR="000154B7">
        <w:t>te geb</w:t>
      </w:r>
      <w:r>
        <w:t xml:space="preserve">ruiken voor het aanbieden van de prijzen. Indiening van de prijzen op een andere manier dan met gebruikmaking van </w:t>
      </w:r>
      <w:r w:rsidR="000154B7">
        <w:t>een</w:t>
      </w:r>
      <w:r>
        <w:t xml:space="preserve"> prijzenblad maakt de Inschrijving ongeldig en leidt tot uitsluiting van de Aanbestedingsprocedure.</w:t>
      </w:r>
    </w:p>
    <w:p w14:paraId="091A0AEF" w14:textId="0AE188BB" w:rsidR="00CE70F8" w:rsidRDefault="00CE70F8" w:rsidP="00B01284">
      <w:pPr>
        <w:pStyle w:val="Lijstalinea"/>
        <w:numPr>
          <w:ilvl w:val="0"/>
          <w:numId w:val="21"/>
        </w:numPr>
        <w:ind w:left="720"/>
      </w:pPr>
      <w:r>
        <w:t xml:space="preserve">De Inschrijver moet </w:t>
      </w:r>
      <w:r w:rsidR="000154B7">
        <w:t>een</w:t>
      </w:r>
      <w:r>
        <w:t xml:space="preserve"> prijzenblad </w:t>
      </w:r>
      <w:r w:rsidR="000154B7">
        <w:t xml:space="preserve">indienen dat </w:t>
      </w:r>
      <w:r>
        <w:t>volledig</w:t>
      </w:r>
      <w:r w:rsidR="000154B7">
        <w:t xml:space="preserve"> is en minimaal de in dit hoofdstuk gevraagde kostenposten vermeld</w:t>
      </w:r>
      <w:r>
        <w:t xml:space="preserve">. Een niet volledig prijzenblad maakt </w:t>
      </w:r>
      <w:r>
        <w:lastRenderedPageBreak/>
        <w:t xml:space="preserve">de Inschrijving ongeldig en leidt tot uitsluiting van de Inschrijving van de Aanbestedingsprocedure. </w:t>
      </w:r>
    </w:p>
    <w:p w14:paraId="47222699" w14:textId="4C92C741" w:rsidR="00CE70F8" w:rsidRDefault="00CE70F8" w:rsidP="00B01284">
      <w:pPr>
        <w:pStyle w:val="Lijstalinea"/>
        <w:numPr>
          <w:ilvl w:val="0"/>
          <w:numId w:val="21"/>
        </w:numPr>
        <w:ind w:left="720"/>
      </w:pPr>
      <w:r>
        <w:t>De Inschrijver is zelf verantwoordelijk voor de juistheid en volledigheid van gegevens die hij invult in het prijzenblad.</w:t>
      </w:r>
    </w:p>
    <w:p w14:paraId="35F2E620" w14:textId="0C56E623" w:rsidR="00A13971" w:rsidRPr="00A14F49" w:rsidRDefault="00A13971" w:rsidP="00B01284">
      <w:pPr>
        <w:pStyle w:val="Lijstalinea"/>
        <w:numPr>
          <w:ilvl w:val="0"/>
          <w:numId w:val="21"/>
        </w:numPr>
        <w:ind w:left="720"/>
      </w:pPr>
      <w:r w:rsidRPr="00A14F49">
        <w:t xml:space="preserve">De Inschrijver moet het prijzenblad indienen in pdf en in bewerkbaar Excel. </w:t>
      </w:r>
    </w:p>
    <w:p w14:paraId="7CC783C9" w14:textId="57AE0213" w:rsidR="00A13971" w:rsidRDefault="00A13971" w:rsidP="00A13971">
      <w:pPr>
        <w:pStyle w:val="Lijstalinea"/>
      </w:pPr>
      <w:r w:rsidRPr="00A14F49">
        <w:t>Pdf is leidend.</w:t>
      </w:r>
    </w:p>
    <w:p w14:paraId="042FA922" w14:textId="77777777" w:rsidR="00CE70F8" w:rsidRDefault="00CE70F8" w:rsidP="00CE70F8"/>
    <w:p w14:paraId="33781FE5" w14:textId="77777777" w:rsidR="00CE70F8" w:rsidRPr="00636D73" w:rsidRDefault="00CE70F8" w:rsidP="00CE70F8">
      <w:pPr>
        <w:rPr>
          <w:rFonts w:eastAsia="Times New Roman" w:cs="Arial"/>
          <w:bCs/>
          <w:color w:val="auto"/>
          <w:u w:val="single"/>
        </w:rPr>
      </w:pPr>
      <w:r w:rsidRPr="00636D73">
        <w:rPr>
          <w:rFonts w:eastAsia="Times New Roman" w:cs="Arial"/>
          <w:bCs/>
          <w:color w:val="auto"/>
          <w:u w:val="single"/>
        </w:rPr>
        <w:t>Beoordeling</w:t>
      </w:r>
      <w:r>
        <w:rPr>
          <w:rFonts w:eastAsia="Times New Roman" w:cs="Arial"/>
          <w:bCs/>
          <w:color w:val="auto"/>
          <w:u w:val="single"/>
        </w:rPr>
        <w:t xml:space="preserve"> van de Inschrijving ter zake van het sub-subgunningscriterium prijs</w:t>
      </w:r>
    </w:p>
    <w:p w14:paraId="1F02E058" w14:textId="6138E49C" w:rsidR="00100421" w:rsidRDefault="00100421" w:rsidP="00CE70F8">
      <w:r w:rsidRPr="009B1F49">
        <w:t>De beoordelingscommissie beoordeelt de Inschrijvingen zonder dat zij kennis heeft van het financiële deel van de Inschrijvingen. Het</w:t>
      </w:r>
      <w:r w:rsidR="00A46912">
        <w:t xml:space="preserve"> ingediende</w:t>
      </w:r>
      <w:r w:rsidRPr="009B1F49">
        <w:t xml:space="preserve"> prijzenblad wordt geopend nadat de beoordelingscommissie haar werkzaamheden ter zake van het kwalitatieve deel van </w:t>
      </w:r>
      <w:r w:rsidR="008115A0" w:rsidRPr="009B1F49">
        <w:t>de Inschrijving heeft afgerond.</w:t>
      </w:r>
    </w:p>
    <w:p w14:paraId="21BF8A09" w14:textId="77777777" w:rsidR="00100421" w:rsidRDefault="00100421" w:rsidP="00CE70F8"/>
    <w:p w14:paraId="5D4E8F63" w14:textId="74344E55" w:rsidR="00A20113" w:rsidRDefault="000154B7" w:rsidP="00CE70F8">
      <w:r w:rsidRPr="00A46912">
        <w:t xml:space="preserve">De totaalsom die Inschrijver indient is de </w:t>
      </w:r>
      <w:r w:rsidRPr="00A46912">
        <w:rPr>
          <w:i/>
        </w:rPr>
        <w:t>fictieve</w:t>
      </w:r>
      <w:r w:rsidRPr="00A46912">
        <w:t xml:space="preserve"> vergelijkingsprijs. De prijsonderdelen staan bij de uitvoering vast, echter de variabele onderdelen die van belang zijn bij de kosten en het factureren kunnen fluctueren. Facturatie vindt plaats op basis van reële, gerealiseerde en uitgevoerde werkzaamheden c.q. dienstverlening.</w:t>
      </w:r>
    </w:p>
    <w:p w14:paraId="34496F79" w14:textId="5B5C0BC4" w:rsidR="00CE70F8" w:rsidRDefault="00100421" w:rsidP="00CE70F8">
      <w:pPr>
        <w:pStyle w:val="RapportKop3"/>
      </w:pPr>
      <w:bookmarkStart w:id="37" w:name="_Toc105606099"/>
      <w:r>
        <w:t>Totaaloordeel op het Gunningscriterium (prijs en kwaliteit)</w:t>
      </w:r>
      <w:bookmarkEnd w:id="37"/>
      <w:r w:rsidR="00CE70F8">
        <w:t xml:space="preserve"> </w:t>
      </w:r>
    </w:p>
    <w:p w14:paraId="1AE05216" w14:textId="77777777" w:rsidR="00A14F49" w:rsidRDefault="00A14F49" w:rsidP="00A14F49">
      <w:pPr>
        <w:spacing w:line="276" w:lineRule="auto"/>
      </w:pPr>
    </w:p>
    <w:p w14:paraId="139E9BC9" w14:textId="77777777" w:rsidR="00A14F49" w:rsidRPr="00B84331" w:rsidRDefault="00A14F49" w:rsidP="00A14F49">
      <w:pPr>
        <w:pStyle w:val="BasistekstEmtio"/>
        <w:rPr>
          <w:rFonts w:ascii="Verdana" w:eastAsia="Calibri" w:hAnsi="Verdana" w:cs="Times New Roman"/>
          <w:sz w:val="18"/>
        </w:rPr>
      </w:pPr>
      <w:r w:rsidRPr="00B84331">
        <w:rPr>
          <w:rFonts w:ascii="Verdana" w:eastAsia="Calibri" w:hAnsi="Verdana" w:cs="Times New Roman"/>
          <w:sz w:val="18"/>
        </w:rPr>
        <w:t>De totaalscore wordt bepaald aan de hand van de totaalscore op kwaliteit en de ingediende totaalprijs. De totaalscore is de voor kwaliteitsverschillen gecorrigeerde inschrijvingsprijs. Hierbij wordt uitgegaan van een geometrische weging (lager = beter). Om tot de totaalscore te komen past de Tweede Kamer de volgende formule toe:</w:t>
      </w:r>
    </w:p>
    <w:p w14:paraId="46CB302E" w14:textId="77777777" w:rsidR="00A14F49" w:rsidRPr="00B35F4F" w:rsidRDefault="00A14F49" w:rsidP="00A14F49">
      <w:pPr>
        <w:pStyle w:val="BasistekstEmtio"/>
        <w:rPr>
          <w:rFonts w:ascii="Arial" w:hAnsi="Arial" w:cs="Arial"/>
          <w:sz w:val="20"/>
          <w:szCs w:val="20"/>
        </w:rPr>
      </w:pPr>
    </w:p>
    <w:p w14:paraId="7C043D75" w14:textId="77777777" w:rsidR="00A14F49" w:rsidRPr="00A41B51" w:rsidRDefault="00A14F49" w:rsidP="00A41B51">
      <w:pPr>
        <w:pStyle w:val="BasistekstEmtio"/>
        <w:shd w:val="clear" w:color="auto" w:fill="D9D9D9" w:themeFill="background1" w:themeFillShade="D9"/>
        <w:ind w:left="993" w:right="2324"/>
        <w:rPr>
          <w:rFonts w:ascii="Verdana" w:hAnsi="Verdana" w:cs="Arial"/>
          <w:b/>
          <w:sz w:val="20"/>
          <w:szCs w:val="20"/>
          <w:lang w:val="en-US"/>
        </w:rPr>
      </w:pPr>
      <w:r w:rsidRPr="00A41B51">
        <w:rPr>
          <w:rFonts w:ascii="Verdana" w:hAnsi="Verdana" w:cs="Arial"/>
          <w:b/>
          <w:sz w:val="20"/>
          <w:szCs w:val="20"/>
          <w:lang w:val="en-US"/>
        </w:rPr>
        <w:t xml:space="preserve">F = P </w:t>
      </w:r>
      <w:r w:rsidRPr="00A41B51">
        <w:rPr>
          <w:rFonts w:ascii="Verdana" w:hAnsi="Verdana" w:cs="Arial"/>
          <w:b/>
          <w:sz w:val="20"/>
          <w:szCs w:val="20"/>
          <w:vertAlign w:val="superscript"/>
          <w:lang w:val="en-US"/>
        </w:rPr>
        <w:t>a</w:t>
      </w:r>
      <w:r w:rsidRPr="00A41B51">
        <w:rPr>
          <w:rFonts w:ascii="Verdana" w:hAnsi="Verdana" w:cs="Arial"/>
          <w:b/>
          <w:sz w:val="20"/>
          <w:szCs w:val="20"/>
          <w:lang w:val="en-US"/>
        </w:rPr>
        <w:t xml:space="preserve"> / Q </w:t>
      </w:r>
      <w:r w:rsidRPr="00A41B51">
        <w:rPr>
          <w:rFonts w:ascii="Verdana" w:hAnsi="Verdana" w:cs="Arial"/>
          <w:b/>
          <w:sz w:val="20"/>
          <w:szCs w:val="20"/>
          <w:vertAlign w:val="superscript"/>
          <w:lang w:val="en-US"/>
        </w:rPr>
        <w:t>(1-a)</w:t>
      </w:r>
    </w:p>
    <w:p w14:paraId="49B6AF29" w14:textId="77777777" w:rsidR="00A14F49" w:rsidRPr="00B84331" w:rsidRDefault="00A14F49" w:rsidP="00A41B51">
      <w:pPr>
        <w:pStyle w:val="BasistekstEmtio"/>
        <w:shd w:val="clear" w:color="auto" w:fill="D9D9D9" w:themeFill="background1" w:themeFillShade="D9"/>
        <w:ind w:left="993" w:right="2324"/>
        <w:rPr>
          <w:rFonts w:ascii="Verdana" w:hAnsi="Verdana" w:cs="Arial"/>
          <w:sz w:val="20"/>
          <w:szCs w:val="20"/>
          <w:lang w:val="en-US"/>
        </w:rPr>
      </w:pPr>
    </w:p>
    <w:p w14:paraId="006A82E7" w14:textId="77777777" w:rsidR="00A14F49" w:rsidRPr="00B84331" w:rsidRDefault="00A14F49" w:rsidP="00A41B51">
      <w:pPr>
        <w:pStyle w:val="BasistekstEmtio"/>
        <w:shd w:val="clear" w:color="auto" w:fill="D9D9D9" w:themeFill="background1" w:themeFillShade="D9"/>
        <w:ind w:left="993" w:right="2324"/>
        <w:rPr>
          <w:rFonts w:ascii="Verdana" w:hAnsi="Verdana" w:cs="Arial"/>
          <w:sz w:val="20"/>
          <w:szCs w:val="20"/>
          <w:lang w:val="en-US"/>
        </w:rPr>
      </w:pPr>
      <w:r w:rsidRPr="00B84331">
        <w:rPr>
          <w:rFonts w:ascii="Verdana" w:hAnsi="Verdana" w:cs="Arial"/>
          <w:sz w:val="20"/>
          <w:szCs w:val="20"/>
          <w:lang w:val="en-US"/>
        </w:rPr>
        <w:t>F = totaalscore</w:t>
      </w:r>
    </w:p>
    <w:p w14:paraId="112C8494" w14:textId="77777777" w:rsidR="00A14F49" w:rsidRPr="00B84331" w:rsidRDefault="00A14F49" w:rsidP="00A41B51">
      <w:pPr>
        <w:pStyle w:val="BasistekstEmtio"/>
        <w:shd w:val="clear" w:color="auto" w:fill="D9D9D9" w:themeFill="background1" w:themeFillShade="D9"/>
        <w:ind w:left="993" w:right="2324"/>
        <w:rPr>
          <w:rFonts w:ascii="Verdana" w:hAnsi="Verdana" w:cs="Arial"/>
          <w:sz w:val="20"/>
          <w:szCs w:val="20"/>
        </w:rPr>
      </w:pPr>
      <w:r w:rsidRPr="00B84331">
        <w:rPr>
          <w:rFonts w:ascii="Verdana" w:hAnsi="Verdana" w:cs="Arial"/>
          <w:sz w:val="20"/>
          <w:szCs w:val="20"/>
        </w:rPr>
        <w:t>P = score op prijs</w:t>
      </w:r>
    </w:p>
    <w:p w14:paraId="73E6DF21" w14:textId="77777777" w:rsidR="00A14F49" w:rsidRPr="00B84331" w:rsidRDefault="00A14F49" w:rsidP="00A41B51">
      <w:pPr>
        <w:pStyle w:val="BasistekstEmtio"/>
        <w:shd w:val="clear" w:color="auto" w:fill="D9D9D9" w:themeFill="background1" w:themeFillShade="D9"/>
        <w:ind w:left="993" w:right="2324"/>
        <w:rPr>
          <w:rFonts w:ascii="Verdana" w:hAnsi="Verdana" w:cs="Arial"/>
          <w:sz w:val="20"/>
          <w:szCs w:val="20"/>
        </w:rPr>
      </w:pPr>
      <w:r w:rsidRPr="00B84331">
        <w:rPr>
          <w:rFonts w:ascii="Verdana" w:hAnsi="Verdana" w:cs="Arial"/>
          <w:sz w:val="20"/>
          <w:szCs w:val="20"/>
        </w:rPr>
        <w:t>Q = score op kwaliteit</w:t>
      </w:r>
    </w:p>
    <w:p w14:paraId="7B0AF79F" w14:textId="77777777" w:rsidR="00A14F49" w:rsidRPr="00B84331" w:rsidRDefault="00A14F49" w:rsidP="00A41B51">
      <w:pPr>
        <w:pStyle w:val="BasistekstEmtio"/>
        <w:shd w:val="clear" w:color="auto" w:fill="D9D9D9" w:themeFill="background1" w:themeFillShade="D9"/>
        <w:ind w:left="993" w:right="2324"/>
        <w:rPr>
          <w:rFonts w:ascii="Verdana" w:hAnsi="Verdana" w:cs="Arial"/>
          <w:sz w:val="20"/>
          <w:szCs w:val="20"/>
        </w:rPr>
      </w:pPr>
      <w:r w:rsidRPr="00B84331">
        <w:rPr>
          <w:rFonts w:ascii="Verdana" w:hAnsi="Verdana" w:cs="Arial"/>
          <w:sz w:val="20"/>
          <w:szCs w:val="20"/>
        </w:rPr>
        <w:t>a = wegingsfactor onderdeel prijs</w:t>
      </w:r>
    </w:p>
    <w:p w14:paraId="6ECA964E" w14:textId="77777777" w:rsidR="00A14F49" w:rsidRPr="00B84331" w:rsidRDefault="00A14F49" w:rsidP="00A41B51">
      <w:pPr>
        <w:pStyle w:val="BasistekstEmtio"/>
        <w:shd w:val="clear" w:color="auto" w:fill="D9D9D9" w:themeFill="background1" w:themeFillShade="D9"/>
        <w:ind w:left="993" w:right="2324"/>
        <w:rPr>
          <w:rFonts w:ascii="Verdana" w:hAnsi="Verdana" w:cs="Arial"/>
          <w:sz w:val="20"/>
          <w:szCs w:val="20"/>
        </w:rPr>
      </w:pPr>
      <w:r w:rsidRPr="00B84331">
        <w:rPr>
          <w:rFonts w:ascii="Verdana" w:hAnsi="Verdana" w:cs="Arial"/>
          <w:sz w:val="20"/>
          <w:szCs w:val="20"/>
        </w:rPr>
        <w:t>(1-a) = wegingsfactor onderdeel kwaliteit</w:t>
      </w:r>
    </w:p>
    <w:p w14:paraId="6CF51ECD" w14:textId="77777777" w:rsidR="00A14F49" w:rsidRPr="00B84331" w:rsidRDefault="00A14F49" w:rsidP="00A14F49">
      <w:pPr>
        <w:pStyle w:val="BasistekstEmtio"/>
        <w:rPr>
          <w:rFonts w:ascii="Verdana" w:hAnsi="Verdana" w:cs="Arial"/>
          <w:sz w:val="20"/>
          <w:szCs w:val="20"/>
        </w:rPr>
      </w:pPr>
    </w:p>
    <w:p w14:paraId="12AB910B" w14:textId="77777777" w:rsidR="00A14F49" w:rsidRPr="00B84331" w:rsidRDefault="00A14F49" w:rsidP="00A14F49">
      <w:pPr>
        <w:pStyle w:val="BasistekstEmtio"/>
        <w:rPr>
          <w:rFonts w:ascii="Verdana" w:hAnsi="Verdana" w:cs="Arial"/>
          <w:sz w:val="20"/>
          <w:szCs w:val="20"/>
        </w:rPr>
      </w:pPr>
      <w:r w:rsidRPr="00B84331">
        <w:rPr>
          <w:rFonts w:ascii="Verdana" w:hAnsi="Verdana" w:cs="Arial"/>
          <w:sz w:val="20"/>
          <w:szCs w:val="20"/>
        </w:rPr>
        <w:t>De Opdracht wordt gegund aan de Inschrijver met de laagste F-score.</w:t>
      </w:r>
    </w:p>
    <w:p w14:paraId="5AE7FC21" w14:textId="77777777" w:rsidR="00A14F49" w:rsidRPr="00B84331" w:rsidRDefault="00A14F49" w:rsidP="00A14F49">
      <w:pPr>
        <w:pStyle w:val="BasistekstEmtio"/>
        <w:rPr>
          <w:rFonts w:ascii="Verdana" w:hAnsi="Verdana" w:cs="Arial"/>
          <w:sz w:val="20"/>
          <w:szCs w:val="20"/>
        </w:rPr>
      </w:pPr>
    </w:p>
    <w:p w14:paraId="10C0737B" w14:textId="77777777" w:rsidR="00A14F49" w:rsidRPr="00B84331" w:rsidRDefault="00A14F49" w:rsidP="00A14F49">
      <w:pPr>
        <w:pStyle w:val="BasistekstEmtio"/>
        <w:rPr>
          <w:rFonts w:ascii="Verdana" w:hAnsi="Verdana" w:cs="Arial"/>
          <w:sz w:val="20"/>
          <w:szCs w:val="20"/>
        </w:rPr>
      </w:pPr>
      <w:r w:rsidRPr="00B84331">
        <w:rPr>
          <w:rFonts w:ascii="Verdana" w:hAnsi="Verdana" w:cs="Arial"/>
          <w:sz w:val="20"/>
          <w:szCs w:val="20"/>
        </w:rPr>
        <w:t xml:space="preserve">Om bovenstaande methode toe te lichten volgt hieronder een rekenvoorbeeld, let op met afwijkende getallen v.w.b. de prijs-kwaliteitverhouding: </w:t>
      </w:r>
    </w:p>
    <w:p w14:paraId="421AE1F7" w14:textId="35A45880" w:rsidR="00A14F49" w:rsidRDefault="00A14F49" w:rsidP="00A14F49">
      <w:pPr>
        <w:pStyle w:val="BasistekstEmtio"/>
        <w:rPr>
          <w:rFonts w:ascii="Arial" w:hAnsi="Arial" w:cs="Arial"/>
          <w:sz w:val="20"/>
          <w:szCs w:val="20"/>
        </w:rPr>
      </w:pPr>
    </w:p>
    <w:p w14:paraId="7CE3F6E6" w14:textId="61F371F8" w:rsidR="00483753" w:rsidRDefault="001454DA" w:rsidP="00A14F49">
      <w:pPr>
        <w:pStyle w:val="BasistekstEmtio"/>
        <w:rPr>
          <w:rFonts w:ascii="Arial" w:hAnsi="Arial" w:cs="Arial"/>
          <w:sz w:val="20"/>
          <w:szCs w:val="20"/>
        </w:rPr>
      </w:pPr>
      <w:r w:rsidRPr="001454DA">
        <w:rPr>
          <w:noProof/>
        </w:rPr>
        <w:drawing>
          <wp:inline distT="0" distB="0" distL="0" distR="0" wp14:anchorId="41E2B8E8" wp14:editId="6A20F810">
            <wp:extent cx="5076190" cy="951370"/>
            <wp:effectExtent l="0" t="0" r="0" b="127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76190" cy="951370"/>
                    </a:xfrm>
                    <a:prstGeom prst="rect">
                      <a:avLst/>
                    </a:prstGeom>
                    <a:noFill/>
                    <a:ln>
                      <a:noFill/>
                    </a:ln>
                  </pic:spPr>
                </pic:pic>
              </a:graphicData>
            </a:graphic>
          </wp:inline>
        </w:drawing>
      </w:r>
    </w:p>
    <w:p w14:paraId="1C5BA7FC" w14:textId="1A26E54F" w:rsidR="00A14F49" w:rsidRDefault="00A14F49" w:rsidP="00A14F49">
      <w:pPr>
        <w:pStyle w:val="BasistekstEmtio"/>
        <w:rPr>
          <w:rFonts w:ascii="Arial" w:hAnsi="Arial" w:cs="Arial"/>
          <w:sz w:val="20"/>
          <w:szCs w:val="20"/>
        </w:rPr>
      </w:pPr>
    </w:p>
    <w:p w14:paraId="0308BDF0" w14:textId="77777777" w:rsidR="00A14F49" w:rsidRPr="0057321D" w:rsidRDefault="00A14F49" w:rsidP="00A14F49">
      <w:pPr>
        <w:spacing w:line="276" w:lineRule="auto"/>
        <w:rPr>
          <w:u w:val="single"/>
        </w:rPr>
      </w:pPr>
      <w:r w:rsidRPr="0057321D">
        <w:rPr>
          <w:u w:val="single"/>
        </w:rPr>
        <w:t xml:space="preserve">Gelijke </w:t>
      </w:r>
      <w:r>
        <w:rPr>
          <w:u w:val="single"/>
        </w:rPr>
        <w:t>totaal</w:t>
      </w:r>
      <w:r w:rsidRPr="0057321D">
        <w:rPr>
          <w:u w:val="single"/>
        </w:rPr>
        <w:t>score</w:t>
      </w:r>
    </w:p>
    <w:p w14:paraId="016B64C1" w14:textId="1E0B91C1" w:rsidR="00A14F49" w:rsidRDefault="00A14F49" w:rsidP="00A14F49">
      <w:pPr>
        <w:spacing w:line="276" w:lineRule="auto"/>
      </w:pPr>
      <w:r w:rsidRPr="0057321D">
        <w:t xml:space="preserve">Indien twee of meer Inschrijvers een gelijke </w:t>
      </w:r>
      <w:r>
        <w:t>totaals</w:t>
      </w:r>
      <w:r w:rsidRPr="0057321D">
        <w:t>core beha</w:t>
      </w:r>
      <w:r>
        <w:t xml:space="preserve">len, </w:t>
      </w:r>
      <w:r w:rsidRPr="0057321D">
        <w:t xml:space="preserve">eindigt de Inschrijving met </w:t>
      </w:r>
      <w:r>
        <w:t xml:space="preserve">de hoogste score voor kwaliteitscriterium 1 </w:t>
      </w:r>
      <w:r w:rsidRPr="0057321D">
        <w:t>als eerste in rang. Als de Inschrijvingen dan nog een gelijke rangschikking hebben</w:t>
      </w:r>
      <w:r>
        <w:t>,</w:t>
      </w:r>
      <w:r w:rsidRPr="0057321D">
        <w:t xml:space="preserve"> eindigt de Inschrijving met </w:t>
      </w:r>
      <w:r>
        <w:t>de hoogste score voor kwaliteitscriterium 2</w:t>
      </w:r>
      <w:r w:rsidR="001454DA">
        <w:t xml:space="preserve"> respectievelijk 3 en 4</w:t>
      </w:r>
      <w:r>
        <w:t xml:space="preserve"> </w:t>
      </w:r>
      <w:r w:rsidRPr="0057321D">
        <w:t>als eerste in rang</w:t>
      </w:r>
      <w:r>
        <w:t>. Als de Inschrijvingen dan nog een gelijke rangschikking hebben,</w:t>
      </w:r>
      <w:r w:rsidRPr="0057321D">
        <w:t xml:space="preserve"> vindt loting plaats. De Aanbestedende Dienst zal dan loten tussen de Inschrijvers die op basis van hun puntenaantal gelijkelijk in aanmerking komen voor gunning.</w:t>
      </w:r>
      <w:r>
        <w:t xml:space="preserve"> </w:t>
      </w:r>
    </w:p>
    <w:p w14:paraId="67E32CB6" w14:textId="5E1AC7BB" w:rsidR="008243C1" w:rsidRDefault="008243C1" w:rsidP="00BF4F02"/>
    <w:p w14:paraId="3A635A50" w14:textId="6E4FC576" w:rsidR="00DF60D9" w:rsidRDefault="008243C1" w:rsidP="00DF60D9">
      <w:pPr>
        <w:pStyle w:val="RapportKop1"/>
      </w:pPr>
      <w:bookmarkStart w:id="38" w:name="_Toc105606100"/>
      <w:r>
        <w:lastRenderedPageBreak/>
        <w:t xml:space="preserve">Verificatie van de Inschrijving van de voorgenomen </w:t>
      </w:r>
      <w:r w:rsidRPr="0002120A">
        <w:t>begunstigde</w:t>
      </w:r>
      <w:bookmarkEnd w:id="38"/>
    </w:p>
    <w:p w14:paraId="1FA2A032" w14:textId="500004F0" w:rsidR="00A0004A" w:rsidRDefault="00A0004A" w:rsidP="00DF60D9">
      <w:pPr>
        <w:pStyle w:val="RapportKop2"/>
      </w:pPr>
      <w:bookmarkStart w:id="39" w:name="_Toc105606101"/>
      <w:r>
        <w:t>Indiening en beoordeling bewijsstukken en overige gegevens</w:t>
      </w:r>
      <w:bookmarkEnd w:id="39"/>
    </w:p>
    <w:p w14:paraId="4D20BA7C" w14:textId="5561AFD0" w:rsidR="00DF60D9" w:rsidRDefault="001B49CA" w:rsidP="00DF60D9">
      <w:r>
        <w:t xml:space="preserve">De Inschrijver waaraan de Tweede Kamer voornemens is de opdracht te gunnen, moet binnen zeven kalenderdagen na verzoek daartoe van de Tweede Kamer de bewijsstukken inzake de Eigen Verklaring indienen, en eventuele andere documenten en gegevens, zoals voortvloeiend uit de Aanbestedingsstukken. </w:t>
      </w:r>
    </w:p>
    <w:p w14:paraId="213359E9" w14:textId="76966331" w:rsidR="001B49CA" w:rsidRDefault="001B49CA" w:rsidP="00DF60D9"/>
    <w:p w14:paraId="02684E55" w14:textId="1367F4BF" w:rsidR="001B49CA" w:rsidRDefault="001B49CA" w:rsidP="00DF60D9">
      <w:r>
        <w:t>De Tweede Kamer beoordeelt de stukken die de voorgenomen begunstigde op grond van voornoemd verzoek indient op het volgende:</w:t>
      </w:r>
    </w:p>
    <w:p w14:paraId="1624F3B8" w14:textId="08DB8F4E" w:rsidR="001B49CA" w:rsidRDefault="001B49CA" w:rsidP="00B01284">
      <w:pPr>
        <w:pStyle w:val="Lijstalinea"/>
        <w:numPr>
          <w:ilvl w:val="0"/>
          <w:numId w:val="21"/>
        </w:numPr>
      </w:pPr>
      <w:r>
        <w:t>tijdige indiening;</w:t>
      </w:r>
    </w:p>
    <w:p w14:paraId="53CEEE29" w14:textId="0BDC01B4" w:rsidR="001B49CA" w:rsidRDefault="001B49CA" w:rsidP="00B01284">
      <w:pPr>
        <w:pStyle w:val="Lijstalinea"/>
        <w:numPr>
          <w:ilvl w:val="0"/>
          <w:numId w:val="21"/>
        </w:numPr>
      </w:pPr>
      <w:r>
        <w:t xml:space="preserve">compleetheid. Alle door de Tweede Kamer opgevraagde bewijsstukken moeten zijn ingediend en de ingediende bewijsstukken moeten </w:t>
      </w:r>
      <w:r w:rsidR="00A0004A">
        <w:t xml:space="preserve">compleet zijn. Het ontbreken van (een deel van of delen van) bewijsstukken en/of overige gegevens leidt tot uitsluiting indien geen sprake is van een herstelbare omissie.  </w:t>
      </w:r>
    </w:p>
    <w:p w14:paraId="0A1D4BB0" w14:textId="5EAF86A8" w:rsidR="001B49CA" w:rsidRDefault="001B49CA" w:rsidP="00B01284">
      <w:pPr>
        <w:pStyle w:val="Lijstalinea"/>
        <w:numPr>
          <w:ilvl w:val="0"/>
          <w:numId w:val="21"/>
        </w:numPr>
      </w:pPr>
      <w:r>
        <w:t>voldoende bewijskracht. De Tweede Kamer beoordeelt in dit kader of de Inschrijver door middel van de ingediende bewijsstukken dat hij voldoet aan hetgeen hij heeft verklaard door middel van zijn Inschrijving.</w:t>
      </w:r>
    </w:p>
    <w:p w14:paraId="0ECDD53E" w14:textId="3CBBAB0B" w:rsidR="001B49CA" w:rsidRDefault="001B49CA" w:rsidP="001B49CA"/>
    <w:p w14:paraId="069DA7D5" w14:textId="587771C1" w:rsidR="001B49CA" w:rsidRDefault="001B49CA" w:rsidP="001B49CA">
      <w:r>
        <w:t xml:space="preserve">De Tweede Kamer sluit Inschrijvingen </w:t>
      </w:r>
      <w:r w:rsidR="00A0004A">
        <w:t xml:space="preserve">uit, </w:t>
      </w:r>
      <w:r>
        <w:t xml:space="preserve">die (al dan niet na verificatie) onjuistheden blijken te bevatten of toezeggingen die niet (kunnen) worden waargemaakt, </w:t>
      </w:r>
    </w:p>
    <w:p w14:paraId="55824A06" w14:textId="77777777" w:rsidR="00831D8B" w:rsidRPr="00D16AD7" w:rsidRDefault="00831D8B" w:rsidP="00D16AD7">
      <w:pPr>
        <w:ind w:left="360"/>
      </w:pPr>
    </w:p>
    <w:p w14:paraId="4822A8B1" w14:textId="6F2AF2E4" w:rsidR="00831D8B" w:rsidRPr="00D16AD7" w:rsidRDefault="00A0004A" w:rsidP="00D16AD7">
      <w:pPr>
        <w:pStyle w:val="RapportKop2"/>
      </w:pPr>
      <w:bookmarkStart w:id="40" w:name="_Toc105606102"/>
      <w:r>
        <w:t>Overeenkomst onder opschortende termijn</w:t>
      </w:r>
      <w:bookmarkEnd w:id="40"/>
    </w:p>
    <w:p w14:paraId="4388BEFC" w14:textId="1F87737E" w:rsidR="00A0004A" w:rsidRPr="00A20113" w:rsidRDefault="00C9062C" w:rsidP="00C9062C">
      <w:r>
        <w:t>Voor d</w:t>
      </w:r>
      <w:r w:rsidR="00A0004A">
        <w:t>e Inschrijver</w:t>
      </w:r>
      <w:r>
        <w:t>, althans voorgenomen begunstigde,</w:t>
      </w:r>
      <w:r w:rsidR="00A0004A">
        <w:t xml:space="preserve"> die op het moment van het indienen van de Inschrijving </w:t>
      </w:r>
      <w:r>
        <w:t xml:space="preserve">en binnen de termijn in paragraaf 8.1 </w:t>
      </w:r>
      <w:r w:rsidR="00A0004A">
        <w:t>niet beschikt over de vereiste verzekering</w:t>
      </w:r>
      <w:r>
        <w:t xml:space="preserve"> conform </w:t>
      </w:r>
      <w:r w:rsidRPr="00A20113">
        <w:t>Geschiktheidseis 1 (paragraaf 5.2.1), geldt het volgende.</w:t>
      </w:r>
    </w:p>
    <w:p w14:paraId="44A06C42" w14:textId="1BA92992" w:rsidR="00C9062C" w:rsidRPr="00A20113" w:rsidRDefault="00C9062C" w:rsidP="00C9062C"/>
    <w:p w14:paraId="43AC79BD" w14:textId="04661C1F" w:rsidR="00C9062C" w:rsidRDefault="00C9062C" w:rsidP="00C9062C">
      <w:r w:rsidRPr="00A20113">
        <w:t xml:space="preserve">Indien uit de beoordeling van de overige bewijsstukken ingevolge paragraaf 8.1 blijkt dat de Inschrijving </w:t>
      </w:r>
      <w:r w:rsidR="00B5335B" w:rsidRPr="00A20113">
        <w:t xml:space="preserve">geldig is, </w:t>
      </w:r>
      <w:r w:rsidRPr="00A20113">
        <w:t>de gunningsbeslissing definitief is</w:t>
      </w:r>
      <w:r w:rsidRPr="00A20113">
        <w:rPr>
          <w:rStyle w:val="Voetnootmarkering"/>
        </w:rPr>
        <w:footnoteReference w:id="4"/>
      </w:r>
      <w:r w:rsidR="00B5335B" w:rsidRPr="00A20113">
        <w:t xml:space="preserve"> en de Tweede Kamer</w:t>
      </w:r>
      <w:r w:rsidR="00B5335B">
        <w:t xml:space="preserve"> nog altijd wenst over te gaan tot sluiting van de Overeenkomst, dan zal de Tweede Kamer de voorgenomen begunstigde meedelen dat zij de Overeenkomst met de voorgenomen begunstigde sluit onder opschortende voorwaarde. De opschortende voorwaarde houdt in dat de Overeenkomst pas daadwerkelijk wordt gesloten indien de Inschrijver na de termijn van zeven kalenderdagen na de mededeling in voorgaande volzin alsnog een kopie van de polis van de vereiste verzekering aan de Tweede Kamer verstrekt, dan wel de toereikende verklaring van de verzekeringsmaatschappij waaruit </w:t>
      </w:r>
      <w:r w:rsidR="00B5335B">
        <w:lastRenderedPageBreak/>
        <w:t>blijkt dat de Inschrijver verzekerd is zoals vereist in de Aanbestedingsstukken. Pas na ontvangst en positieve beoordeling (zie paragraaf 8.1) van een van beide stukken, wordt de Overeenkomst gesloten.</w:t>
      </w:r>
    </w:p>
    <w:p w14:paraId="5C5191A0" w14:textId="281B9868" w:rsidR="00B5335B" w:rsidRDefault="00B5335B" w:rsidP="00C9062C"/>
    <w:p w14:paraId="5D86E699" w14:textId="4283E40E" w:rsidR="00A95CF9" w:rsidRDefault="00B5335B" w:rsidP="00A95CF9">
      <w:r>
        <w:t>Indien de Inschrijver niet (tijdig) een polis van de vereiste verzekering of een toereikende verklaring van de verzekeringsmaatschappij kan verstrekken, komt de Overeenkomst niet tot stand en behoudt de Tweede Kamer het recht de opdracht alsnog te gunnen aan de eerstvolgende Inschrijver in rang.</w:t>
      </w:r>
    </w:p>
    <w:sectPr w:rsidR="00A95CF9">
      <w:headerReference w:type="default" r:id="rId20"/>
      <w:footerReference w:type="default" r:id="rId21"/>
      <w:pgSz w:w="11905" w:h="16837"/>
      <w:pgMar w:top="3231" w:right="1700" w:bottom="1417" w:left="2211"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78F59" w14:textId="77777777" w:rsidR="00B263FC" w:rsidRDefault="00B263FC">
      <w:pPr>
        <w:spacing w:line="240" w:lineRule="auto"/>
      </w:pPr>
      <w:r>
        <w:separator/>
      </w:r>
    </w:p>
  </w:endnote>
  <w:endnote w:type="continuationSeparator" w:id="0">
    <w:p w14:paraId="44C3652B" w14:textId="77777777" w:rsidR="00B263FC" w:rsidRDefault="00B263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A18E1" w14:textId="77777777" w:rsidR="00DE376E" w:rsidRDefault="00DE37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41293" w14:textId="77777777" w:rsidR="00DE376E" w:rsidRDefault="00DE376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D8301" w14:textId="77777777" w:rsidR="00DE376E" w:rsidRDefault="00DE376E">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00BD9" w14:textId="77777777" w:rsidR="00B263FC" w:rsidRDefault="00B263F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C938F" w14:textId="77777777" w:rsidR="00B263FC" w:rsidRDefault="00B263FC">
      <w:pPr>
        <w:spacing w:line="240" w:lineRule="auto"/>
      </w:pPr>
      <w:r>
        <w:separator/>
      </w:r>
    </w:p>
  </w:footnote>
  <w:footnote w:type="continuationSeparator" w:id="0">
    <w:p w14:paraId="5E368E3C" w14:textId="77777777" w:rsidR="00B263FC" w:rsidRDefault="00B263FC">
      <w:pPr>
        <w:spacing w:line="240" w:lineRule="auto"/>
      </w:pPr>
      <w:r>
        <w:continuationSeparator/>
      </w:r>
    </w:p>
  </w:footnote>
  <w:footnote w:id="1">
    <w:p w14:paraId="0C7BBED4" w14:textId="77777777" w:rsidR="00B263FC" w:rsidRPr="00E91432" w:rsidRDefault="00B263FC" w:rsidP="00F61A3A">
      <w:pPr>
        <w:pStyle w:val="Voetnoottekst"/>
      </w:pPr>
      <w:r>
        <w:rPr>
          <w:rStyle w:val="Voetnootmarkering"/>
        </w:rPr>
        <w:footnoteRef/>
      </w:r>
      <w:r w:rsidRPr="008819F4">
        <w:rPr>
          <w:lang w:val="en-US"/>
        </w:rPr>
        <w:t xml:space="preserve"> Extendable Markup Language. </w:t>
      </w:r>
      <w:r w:rsidRPr="00E91432">
        <w:t xml:space="preserve">De XML </w:t>
      </w:r>
      <w:r w:rsidRPr="008819F4">
        <w:t>structuur incl</w:t>
      </w:r>
      <w:r>
        <w:t>usief toelichting zal worden aangeleverd.</w:t>
      </w:r>
    </w:p>
  </w:footnote>
  <w:footnote w:id="2">
    <w:p w14:paraId="02548CF5" w14:textId="77777777" w:rsidR="00B263FC" w:rsidRDefault="00B263FC" w:rsidP="00F61A3A">
      <w:pPr>
        <w:pStyle w:val="Voetnoottekst"/>
      </w:pPr>
      <w:r>
        <w:rPr>
          <w:rStyle w:val="Voetnootmarkering"/>
        </w:rPr>
        <w:footnoteRef/>
      </w:r>
      <w:r>
        <w:t xml:space="preserve"> Zo worden de stemmingen en de Regeling van Werkzaamheden niet voorzien van ondertiteling vanwege de zeer hoge spreeksnelheid en sprekerswisselingen bij deze activiteiten.</w:t>
      </w:r>
    </w:p>
  </w:footnote>
  <w:footnote w:id="3">
    <w:p w14:paraId="71455D0C" w14:textId="24481353" w:rsidR="00B263FC" w:rsidRPr="00016852" w:rsidRDefault="00B263FC" w:rsidP="00016852">
      <w:pPr>
        <w:pStyle w:val="Voetnoottekst"/>
      </w:pPr>
      <w:r>
        <w:rPr>
          <w:rStyle w:val="Voetnootmarkering"/>
        </w:rPr>
        <w:footnoteRef/>
      </w:r>
      <w:r>
        <w:t xml:space="preserve"> Indien de Inschrijver zelfstandig aan de verzekeringseis voldoet: Bijlage Eigen Verklaring, ingevuld en rechtsgeldig ondertekend. Indien de Inschrijver voor de verzekeringseis een beroep doet op een Derde: Bijlage Eigen Verklaring ingevuld en rechtsgeldig ondertekend door de Derde waarop hij een beroep doet, in combinatie met de Eigen Verklaring van de Inschrijver zelf waarin hij verklaart een beroep te doen op de betreffende Derde (Deel IIC). </w:t>
      </w:r>
    </w:p>
  </w:footnote>
  <w:footnote w:id="4">
    <w:p w14:paraId="61FB75B9" w14:textId="3C194F8A" w:rsidR="00B263FC" w:rsidRDefault="00B263FC">
      <w:pPr>
        <w:pStyle w:val="Voetnoottekst"/>
      </w:pPr>
      <w:r>
        <w:rPr>
          <w:rStyle w:val="Voetnootmarkering"/>
        </w:rPr>
        <w:footnoteRef/>
      </w:r>
      <w:r>
        <w:t xml:space="preserve"> Dat wil zeggen dat de termijn waarbinnen bezwaar ingediend kan worden tegen de gunningsbeslissing ongebruikt is verstreken, dan wel na formeel bezwaar uit rechterlijk vonnis volgt dat de gunningsbeslissing in stand kan blijven.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6E3A2" w14:textId="77777777" w:rsidR="00DE376E" w:rsidRDefault="00DE37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GoBack"/>
  <w:bookmarkEnd w:id="0"/>
  <w:p w14:paraId="65CB68BB" w14:textId="77777777" w:rsidR="00B263FC" w:rsidRDefault="00B263FC">
    <w:r>
      <w:rPr>
        <w:noProof/>
      </w:rPr>
      <mc:AlternateContent>
        <mc:Choice Requires="wps">
          <w:drawing>
            <wp:anchor distT="0" distB="0" distL="0" distR="0" simplePos="0" relativeHeight="251653120" behindDoc="0" locked="1" layoutInCell="1" allowOverlap="1" wp14:anchorId="02F3EDC5" wp14:editId="62F55D21">
              <wp:simplePos x="0" y="0"/>
              <wp:positionH relativeFrom="page">
                <wp:posOffset>1403985</wp:posOffset>
              </wp:positionH>
              <wp:positionV relativeFrom="page">
                <wp:posOffset>1943735</wp:posOffset>
              </wp:positionV>
              <wp:extent cx="4133850" cy="285750"/>
              <wp:effectExtent l="0" t="0" r="0" b="0"/>
              <wp:wrapNone/>
              <wp:docPr id="1" name="0c1ec651-b7b7-11ea-8943-0242ac130003"/>
              <wp:cNvGraphicFramePr/>
              <a:graphic xmlns:a="http://schemas.openxmlformats.org/drawingml/2006/main">
                <a:graphicData uri="http://schemas.microsoft.com/office/word/2010/wordprocessingShape">
                  <wps:wsp>
                    <wps:cNvSpPr txBox="1"/>
                    <wps:spPr>
                      <a:xfrm>
                        <a:off x="0" y="0"/>
                        <a:ext cx="4133850" cy="285750"/>
                      </a:xfrm>
                      <a:prstGeom prst="rect">
                        <a:avLst/>
                      </a:prstGeom>
                      <a:noFill/>
                    </wps:spPr>
                    <wps:txbx>
                      <w:txbxContent>
                        <w:p w14:paraId="63650A2B" w14:textId="070B2FE0" w:rsidR="00B263FC" w:rsidRDefault="00B263FC">
                          <w:pPr>
                            <w:pStyle w:val="RapportageKoppen"/>
                          </w:pPr>
                        </w:p>
                      </w:txbxContent>
                    </wps:txbx>
                    <wps:bodyPr vert="horz" wrap="square" lIns="0" tIns="0" rIns="0" bIns="0" anchor="t" anchorCtr="0"/>
                  </wps:wsp>
                </a:graphicData>
              </a:graphic>
            </wp:anchor>
          </w:drawing>
        </mc:Choice>
        <mc:Fallback>
          <w:pict>
            <v:shapetype w14:anchorId="02F3EDC5" id="_x0000_t202" coordsize="21600,21600" o:spt="202" path="m,l,21600r21600,l21600,xe">
              <v:stroke joinstyle="miter"/>
              <v:path gradientshapeok="t" o:connecttype="rect"/>
            </v:shapetype>
            <v:shape id="0c1ec651-b7b7-11ea-8943-0242ac130003" o:spid="_x0000_s1026" type="#_x0000_t202" style="position:absolute;margin-left:110.55pt;margin-top:153.05pt;width:325.5pt;height:2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tgvAEAAEwDAAAOAAAAZHJzL2Uyb0RvYy54bWysU9uO0zAQfUfiHyy/p3GSdluipivBahES&#10;gpUWPsBx7MZSfGHsbVK+nnHadBG8IV6c4xn7+MyZyf5+MgM5SQja2YYWK0aJtMJ12h4b+v3bY7aj&#10;JERuOz44Kxt6loHeH96+2Y++lqXr3dBJIEhiQz36hvYx+jrPg+il4WHlvLSYVA4Mj7iFY94BH5Hd&#10;DHnJ2F0+Oug8OCFDwOjDJUkPM79SUsSvSgUZydBQ1BbnFea1TWt+2PP6CNz3Wlxl8H9QYbi2+OiN&#10;6oFHTl5A/0VltAAXnIor4UzulNJCzjVgNQX7o5rnnns514LmBH+zKfw/WvHl9AREd9g7Siw32CIm&#10;CinuNkXWbtttVhSSZ7t36ypj5brkoqgYY1XybfShxuvPHgni9N5NieMaDxhMdkwKTPpioQTz2IHz&#10;zXU5RSIwuC6qarfBlMBcudtsESNN/nrbQ4gfpTMkgYYCdnU2m58+h3g5uhxJj1n3qIchxZPEi5SE&#10;4tROV32t684oGwcX+XoHPykZcQgaGn68cJCUDJ8supwmZgGwgHYB3Aq82tBIyQV+iPNkLS9jy+Yy&#10;ruOVZuL3/azv9Sc4/AIAAP//AwBQSwMEFAAGAAgAAAAhAIJ3N0XeAAAACwEAAA8AAABkcnMvZG93&#10;bnJldi54bWxMj0FPwzAMhe9I/IfISNxY0iLKKE2nCcEJCdGVA8e08dpqjVOabCv/HnOC27Pf0/Pn&#10;YrO4UZxwDoMnDclKgUBqvR2o0/BRv9ysQYRoyJrRE2r4xgCb8vKiMLn1Z6rwtIud4BIKudHQxzjl&#10;Uoa2R2fCyk9I7O397Ezkce6knc2Zy90oU6Uy6cxAfKE3Ez712B52R6dh+0nV8/D11rxX+2qo6wdF&#10;r9lB6+urZfsIIuIS/8Lwi8/oUDJT449kgxg1pGmScFTDrcpYcGJ9n7JoeHPHliwL+f+H8gcAAP//&#10;AwBQSwECLQAUAAYACAAAACEAtoM4kv4AAADhAQAAEwAAAAAAAAAAAAAAAAAAAAAAW0NvbnRlbnRf&#10;VHlwZXNdLnhtbFBLAQItABQABgAIAAAAIQA4/SH/1gAAAJQBAAALAAAAAAAAAAAAAAAAAC8BAABf&#10;cmVscy8ucmVsc1BLAQItABQABgAIAAAAIQA4+OtgvAEAAEwDAAAOAAAAAAAAAAAAAAAAAC4CAABk&#10;cnMvZTJvRG9jLnhtbFBLAQItABQABgAIAAAAIQCCdzdF3gAAAAsBAAAPAAAAAAAAAAAAAAAAABYE&#10;AABkcnMvZG93bnJldi54bWxQSwUGAAAAAAQABADzAAAAIQUAAAAA&#10;" filled="f" stroked="f">
              <v:textbox inset="0,0,0,0">
                <w:txbxContent>
                  <w:p w14:paraId="63650A2B" w14:textId="070B2FE0" w:rsidR="00B263FC" w:rsidRDefault="00B263FC">
                    <w:pPr>
                      <w:pStyle w:val="RapportageKoppen"/>
                    </w:pP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A02AE87" wp14:editId="53EE6555">
              <wp:simplePos x="0" y="0"/>
              <wp:positionH relativeFrom="page">
                <wp:posOffset>4751705</wp:posOffset>
              </wp:positionH>
              <wp:positionV relativeFrom="page">
                <wp:posOffset>1943735</wp:posOffset>
              </wp:positionV>
              <wp:extent cx="2047875" cy="1028700"/>
              <wp:effectExtent l="0" t="0" r="0" b="0"/>
              <wp:wrapNone/>
              <wp:docPr id="2" name="0c1ecd3c-b7b7-11ea-8943-0242ac130003"/>
              <wp:cNvGraphicFramePr/>
              <a:graphic xmlns:a="http://schemas.openxmlformats.org/drawingml/2006/main">
                <a:graphicData uri="http://schemas.microsoft.com/office/word/2010/wordprocessingShape">
                  <wps:wsp>
                    <wps:cNvSpPr txBox="1"/>
                    <wps:spPr>
                      <a:xfrm>
                        <a:off x="0" y="0"/>
                        <a:ext cx="2047875" cy="1028700"/>
                      </a:xfrm>
                      <a:prstGeom prst="rect">
                        <a:avLst/>
                      </a:prstGeom>
                      <a:noFill/>
                    </wps:spPr>
                    <wps:txbx>
                      <w:txbxContent>
                        <w:p w14:paraId="6943FF28" w14:textId="77777777" w:rsidR="00B263FC" w:rsidRDefault="00B263FC"/>
                      </w:txbxContent>
                    </wps:txbx>
                    <wps:bodyPr vert="horz" wrap="square" lIns="0" tIns="0" rIns="0" bIns="0" anchor="t" anchorCtr="0"/>
                  </wps:wsp>
                </a:graphicData>
              </a:graphic>
            </wp:anchor>
          </w:drawing>
        </mc:Choice>
        <mc:Fallback>
          <w:pict>
            <v:shape w14:anchorId="7A02AE87" id="0c1ecd3c-b7b7-11ea-8943-0242ac130003" o:spid="_x0000_s1027" type="#_x0000_t202" style="position:absolute;margin-left:374.15pt;margin-top:153.05pt;width:161.25pt;height:81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wQ/wAEAAFQDAAAOAAAAZHJzL2Uyb0RvYy54bWysU9tu2zAMfR+wfxD07lh2sjk1ohTYig4D&#10;hq5A1w+QZSkWYF0mqbHTry+l1OnQvQ17oSlSPDo8pHfXsx7RUfigrKG4WhGMhOG2V+ZA8eOv22KL&#10;UYjM9Gy0RlB8EgFf7z9+2E2uFbUd7NgLjwDEhHZyFA8xurYsAx+EZmFlnTCQlNZrFuHoD2Xv2QTo&#10;eixrQj6Xk/W985aLECB6c07ifcaXUvD4U8ogIhopBm4xW59tl2y537H24JkbFH+lwf6BhWbKwKMX&#10;qBsWGXry6i8orbi3wcq44laXVkrFRe4BuqnIu24eBuZE7gXECe4iU/h/sPzueO+R6imuMTJMw4gI&#10;rwTv17zomq4pqkqwYnu1WRek3tSMV2tCyDrpNrnQQvmDA4A4f7EzzH+JBwgmOWbpdfpCowjyMIHT&#10;RXUxR8QhWJNNs20+YcQhV5F625A8l/Kt3PkQvwmrUXIo9jDWrDY7/ggRqMDV5Up6zdhbNY4pnjie&#10;uSQvzt2ce73w7Gx/AvqwwAA7WP+M0QTLQHH4/cS8wGj8bkDttDmL4xenWxxmOJRSHDE6u19j3rCF&#10;AIwuU3xds7Qbf54zzbefYf8CAAD//wMAUEsDBBQABgAIAAAAIQCJp0R14QAAAAwBAAAPAAAAZHJz&#10;L2Rvd25yZXYueG1sTI/BTsMwEETvSPyDtUjcqB1apSFkU1UITkiINBw4OrGbWI3XIXbb8Pe4p3Jc&#10;7dPMm2Iz24Gd9OSNI4RkIYBpap0y1CF81W8PGTAfJCk5ONIIv9rDpry9KWSu3JkqfdqFjsUQ8rlE&#10;6EMYc85922sr/cKNmuJv7yYrQzynjqtJnmO4HfijECm30lBs6OWoX3rdHnZHi7D9purV/Hw0n9W+&#10;MnX9JOg9PSDe383bZ2BBz+EKw0U/qkMZnRp3JOXZgLBeZcuIIixFmgC7EGIt4poGYZVmCfCy4P9H&#10;lH8AAAD//wMAUEsBAi0AFAAGAAgAAAAhALaDOJL+AAAA4QEAABMAAAAAAAAAAAAAAAAAAAAAAFtD&#10;b250ZW50X1R5cGVzXS54bWxQSwECLQAUAAYACAAAACEAOP0h/9YAAACUAQAACwAAAAAAAAAAAAAA&#10;AAAvAQAAX3JlbHMvLnJlbHNQSwECLQAUAAYACAAAACEAu6cEP8ABAABUAwAADgAAAAAAAAAAAAAA&#10;AAAuAgAAZHJzL2Uyb0RvYy54bWxQSwECLQAUAAYACAAAACEAiadEdeEAAAAMAQAADwAAAAAAAAAA&#10;AAAAAAAaBAAAZHJzL2Rvd25yZXYueG1sUEsFBgAAAAAEAAQA8wAAACgFAAAAAA==&#10;" filled="f" stroked="f">
              <v:textbox inset="0,0,0,0">
                <w:txbxContent>
                  <w:p w14:paraId="6943FF28" w14:textId="77777777" w:rsidR="00B263FC" w:rsidRDefault="00B263FC"/>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BB2441E" wp14:editId="00EC35BA">
              <wp:simplePos x="0" y="0"/>
              <wp:positionH relativeFrom="page">
                <wp:posOffset>1403985</wp:posOffset>
              </wp:positionH>
              <wp:positionV relativeFrom="page">
                <wp:posOffset>7991475</wp:posOffset>
              </wp:positionV>
              <wp:extent cx="2051685" cy="215900"/>
              <wp:effectExtent l="0" t="0" r="0" b="0"/>
              <wp:wrapNone/>
              <wp:docPr id="3" name="0c1ecd7e-b7b7-11ea-8943-0242ac130003"/>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14:paraId="5816F845" w14:textId="77777777" w:rsidR="00B263FC" w:rsidRDefault="00B263FC"/>
                      </w:txbxContent>
                    </wps:txbx>
                    <wps:bodyPr vert="horz" wrap="square" lIns="0" tIns="0" rIns="0" bIns="0" anchor="t" anchorCtr="0"/>
                  </wps:wsp>
                </a:graphicData>
              </a:graphic>
            </wp:anchor>
          </w:drawing>
        </mc:Choice>
        <mc:Fallback>
          <w:pict>
            <v:shape w14:anchorId="7BB2441E" id="0c1ecd7e-b7b7-11ea-8943-0242ac130003" o:spid="_x0000_s1028" type="#_x0000_t202" style="position:absolute;margin-left:110.55pt;margin-top:629.25pt;width:161.55pt;height:1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SKvwQEAAFMDAAAOAAAAZHJzL2Uyb0RvYy54bWysU9tu2zAMfR+wfxD07lh2miY14hTYig4D&#10;hm1Atw+QZSoWYF0mqbGzrx+l1OmwvQ17oSlSPDo8pPf3sx7JCXxQ1rS0WjFKwAjbK3Ns6fdvj8WO&#10;khC56floDbT0DIHeH96+2U+ugdoOduzBEwQxoZlcS4cYXVOWQQygeVhZBwaT0nrNIx79sew9nxBd&#10;j2XN2G05Wd87bwWEgNGHS5IeMr6UIOIXKQNEMrYUucVsfbZdsuVhz5uj525Q4oUG/wcWmiuDj16h&#10;Hnjk5Nmrv6C0Et4GK+NKWF1aKZWA3AN2U7E/unkauIPcC4oT3FWm8P9gxefTV09U39I1JYZrHBET&#10;FYh+C0W37bZFVQEvdnc364LVNzUX1Zoxtk66TS40WP7kECDO7+yM81/iAYNJjll6nb7YKME8TuB8&#10;VR3mSAQGa7apbncbSgTm6mpzx/JYytdq50P8AFaT5LTU41Sz2Pz0KURkgleXK+kxYx/VOKZ4onih&#10;krw4d3NutV5odrY/I3vcX4QdrP9JyYS70NLw45l7oGT8aFDstDiL4xenWxxuBJa2NFJycd/HvGAL&#10;AZxcpviyZWk1fj9nmq//wuEXAAAA//8DAFBLAwQUAAYACAAAACEAFttD3+EAAAANAQAADwAAAGRy&#10;cy9kb3ducmV2LnhtbEyPwU7DMAyG70i8Q2QkbixttE5baTpNCE5IiK4cOKZN1kZrnNJkW3l7vBM7&#10;2v+n35+L7ewGdjZTsB4lpIsEmMHWa4udhK/67WkNLESFWg0ejYRfE2Bb3t8VKtf+gpU572PHqARD&#10;riT0MY4556HtjVNh4UeDlB385FSkceq4ntSFyt3ARZKsuFMW6UKvRvPSm/a4PzkJu2+sXu3PR/NZ&#10;HSpb15sE31dHKR8f5t0zsGjm+A/DVZ/UoSSnxp9QBzZIECJNCaVAZOsMGCHZcimANdfVRmTAy4Lf&#10;flH+AQAA//8DAFBLAQItABQABgAIAAAAIQC2gziS/gAAAOEBAAATAAAAAAAAAAAAAAAAAAAAAABb&#10;Q29udGVudF9UeXBlc10ueG1sUEsBAi0AFAAGAAgAAAAhADj9If/WAAAAlAEAAAsAAAAAAAAAAAAA&#10;AAAALwEAAF9yZWxzLy5yZWxzUEsBAi0AFAAGAAgAAAAhAHXRIq/BAQAAUwMAAA4AAAAAAAAAAAAA&#10;AAAALgIAAGRycy9lMm9Eb2MueG1sUEsBAi0AFAAGAAgAAAAhABbbQ9/hAAAADQEAAA8AAAAAAAAA&#10;AAAAAAAAGwQAAGRycy9kb3ducmV2LnhtbFBLBQYAAAAABAAEAPMAAAApBQAAAAA=&#10;" filled="f" stroked="f">
              <v:textbox inset="0,0,0,0">
                <w:txbxContent>
                  <w:p w14:paraId="5816F845" w14:textId="77777777" w:rsidR="00B263FC" w:rsidRDefault="00B263FC"/>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00D5D9BF" wp14:editId="270F1835">
              <wp:simplePos x="0" y="0"/>
              <wp:positionH relativeFrom="page">
                <wp:posOffset>626110</wp:posOffset>
              </wp:positionH>
              <wp:positionV relativeFrom="page">
                <wp:posOffset>374015</wp:posOffset>
              </wp:positionV>
              <wp:extent cx="431800" cy="1238250"/>
              <wp:effectExtent l="0" t="0" r="0" b="0"/>
              <wp:wrapNone/>
              <wp:docPr id="4" name="0c1ec766-b7b7-11ea-8943-0242ac130003"/>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14:paraId="0A52C42A" w14:textId="77777777" w:rsidR="00B263FC" w:rsidRDefault="00B263FC">
                          <w:pPr>
                            <w:spacing w:line="240" w:lineRule="auto"/>
                          </w:pPr>
                          <w:r>
                            <w:rPr>
                              <w:noProof/>
                            </w:rPr>
                            <w:drawing>
                              <wp:inline distT="0" distB="0" distL="0" distR="0" wp14:anchorId="5636A1FB" wp14:editId="08F0FF7E">
                                <wp:extent cx="431800" cy="860559"/>
                                <wp:effectExtent l="0" t="0" r="0" b="0"/>
                                <wp:docPr id="13" name="Beeldmerk"/>
                                <wp:cNvGraphicFramePr/>
                                <a:graphic xmlns:a="http://schemas.openxmlformats.org/drawingml/2006/main">
                                  <a:graphicData uri="http://schemas.openxmlformats.org/drawingml/2006/picture">
                                    <pic:pic xmlns:pic="http://schemas.openxmlformats.org/drawingml/2006/picture">
                                      <pic:nvPicPr>
                                        <pic:cNvPr id="5"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0D5D9BF" id="0c1ec766-b7b7-11ea-8943-0242ac130003" o:spid="_x0000_s1029" type="#_x0000_t202" style="position:absolute;margin-left:49.3pt;margin-top:29.45pt;width:34pt;height:97.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nAQwAEAAFMDAAAOAAAAZHJzL2Uyb0RvYy54bWysU9tu2zAMfR+wfxD07li20yQzohTYig4F&#10;hm1Atw+QZSkWYF0mqbGzrx+l1GnRvQ17oSlSPDo8pPe3sx7RSfigrKG4WhGMhOG2V+ZI8c8f98UO&#10;oxCZ6dlojaD4LAK+Pbx/t59cK2o72LEXHgGICe3kKB5idG1ZBj4IzcLKOmEgKa3XLMLRH8veswnQ&#10;9VjWhGzKyfreectFCBC9uyTxIeNLKXj8JmUQEY0UA7eYrc+2S7Y87Fl79MwNij/TYP/AQjNl4NEr&#10;1B2LDD159ReUVtzbYGVccatLK6XiIvcA3VTkTTePA3Mi9wLiBHeVKfw/WP719N0j1VO8xsgwDSMi&#10;vBJ8u9kU3bbbFlUlWLH7sG4KUq9rxquGENIk3SYXWih/dAAQ5492hvkv8QDBJMcsvU5faBRBHiZw&#10;vqou5og4BNdNtSOQ4ZCq6mZX3+SxlC/Vzof4WViNkkOxh6lmsdnpS4jABK4uV9Jjxt6rcUzxRPFC&#10;JXlx7ubc6pV+Z/szsIf9BdjB+t8YTbALFIdfT8wLjMYHA2KnxVkcvzjd4jDDoZTiiNHF/RTzgi0E&#10;YHKZ4vOWpdV4fc40X/6Fwx8AAAD//wMAUEsDBBQABgAIAAAAIQDbaeHD3gAAAAkBAAAPAAAAZHJz&#10;L2Rvd25yZXYueG1sTI/BTsMwEETvSP0Haytxow5FtZIQp6oQnJAQaThwdOJtYjVeh9htw9/jnuhx&#10;dkYzb4vtbAd2xskbRxIeVwkwpNZpQ52Er/rtIQXmgyKtBkco4Rc9bMvFXaFy7S5U4XkfOhZLyOdK&#10;Qh/CmHPu2x6t8is3IkXv4CarQpRTx/WkLrHcDnydJIJbZSgu9GrElx7b4/5kJey+qXo1Px/NZ3Wo&#10;TF1nCb2Lo5T3y3n3DCzgHP7DcMWP6FBGpsadSHs2SMhSEZMSNmkG7OoLEQ+NhPXmKQNeFvz2g/IP&#10;AAD//wMAUEsBAi0AFAAGAAgAAAAhALaDOJL+AAAA4QEAABMAAAAAAAAAAAAAAAAAAAAAAFtDb250&#10;ZW50X1R5cGVzXS54bWxQSwECLQAUAAYACAAAACEAOP0h/9YAAACUAQAACwAAAAAAAAAAAAAAAAAv&#10;AQAAX3JlbHMvLnJlbHNQSwECLQAUAAYACAAAACEAahJwEMABAABTAwAADgAAAAAAAAAAAAAAAAAu&#10;AgAAZHJzL2Uyb0RvYy54bWxQSwECLQAUAAYACAAAACEA22nhw94AAAAJAQAADwAAAAAAAAAAAAAA&#10;AAAaBAAAZHJzL2Rvd25yZXYueG1sUEsFBgAAAAAEAAQA8wAAACUFAAAAAA==&#10;" filled="f" stroked="f">
              <v:textbox inset="0,0,0,0">
                <w:txbxContent>
                  <w:p w14:paraId="0A52C42A" w14:textId="77777777" w:rsidR="00B263FC" w:rsidRDefault="00B263FC">
                    <w:pPr>
                      <w:spacing w:line="240" w:lineRule="auto"/>
                    </w:pPr>
                    <w:r>
                      <w:rPr>
                        <w:noProof/>
                      </w:rPr>
                      <w:drawing>
                        <wp:inline distT="0" distB="0" distL="0" distR="0" wp14:anchorId="5636A1FB" wp14:editId="08F0FF7E">
                          <wp:extent cx="431800" cy="860559"/>
                          <wp:effectExtent l="0" t="0" r="0" b="0"/>
                          <wp:docPr id="13" name="Beeldmerk"/>
                          <wp:cNvGraphicFramePr/>
                          <a:graphic xmlns:a="http://schemas.openxmlformats.org/drawingml/2006/main">
                            <a:graphicData uri="http://schemas.openxmlformats.org/drawingml/2006/picture">
                              <pic:pic xmlns:pic="http://schemas.openxmlformats.org/drawingml/2006/picture">
                                <pic:nvPicPr>
                                  <pic:cNvPr id="5"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920617D" wp14:editId="3A48B464">
              <wp:simplePos x="0" y="0"/>
              <wp:positionH relativeFrom="page">
                <wp:posOffset>1079500</wp:posOffset>
              </wp:positionH>
              <wp:positionV relativeFrom="page">
                <wp:posOffset>374015</wp:posOffset>
              </wp:positionV>
              <wp:extent cx="3070225" cy="1238250"/>
              <wp:effectExtent l="0" t="0" r="0" b="0"/>
              <wp:wrapNone/>
              <wp:docPr id="6" name="0c1ec7be-b7b7-11ea-8943-0242ac130003"/>
              <wp:cNvGraphicFramePr/>
              <a:graphic xmlns:a="http://schemas.openxmlformats.org/drawingml/2006/main">
                <a:graphicData uri="http://schemas.microsoft.com/office/word/2010/wordprocessingShape">
                  <wps:wsp>
                    <wps:cNvSpPr txBox="1"/>
                    <wps:spPr>
                      <a:xfrm>
                        <a:off x="0" y="0"/>
                        <a:ext cx="3070225" cy="1238250"/>
                      </a:xfrm>
                      <a:prstGeom prst="rect">
                        <a:avLst/>
                      </a:prstGeom>
                      <a:noFill/>
                    </wps:spPr>
                    <wps:txbx>
                      <w:txbxContent>
                        <w:p w14:paraId="3547DE66" w14:textId="77777777" w:rsidR="00B263FC" w:rsidRDefault="00B263FC">
                          <w:pPr>
                            <w:spacing w:line="240" w:lineRule="auto"/>
                          </w:pPr>
                          <w:r>
                            <w:rPr>
                              <w:noProof/>
                            </w:rPr>
                            <w:drawing>
                              <wp:inline distT="0" distB="0" distL="0" distR="0" wp14:anchorId="20862811" wp14:editId="55BBDCDB">
                                <wp:extent cx="3070225" cy="1238284"/>
                                <wp:effectExtent l="0" t="0" r="0" b="0"/>
                                <wp:docPr id="14" name="Woordmerk"/>
                                <wp:cNvGraphicFramePr/>
                                <a:graphic xmlns:a="http://schemas.openxmlformats.org/drawingml/2006/main">
                                  <a:graphicData uri="http://schemas.openxmlformats.org/drawingml/2006/picture">
                                    <pic:pic xmlns:pic="http://schemas.openxmlformats.org/drawingml/2006/picture">
                                      <pic:nvPicPr>
                                        <pic:cNvPr id="7" name="Woordmerk"/>
                                        <pic:cNvPicPr/>
                                      </pic:nvPicPr>
                                      <pic:blipFill>
                                        <a:blip r:embed="rId3"/>
                                        <a:stretch>
                                          <a:fillRect/>
                                        </a:stretch>
                                      </pic:blipFill>
                                      <pic:spPr bwMode="auto">
                                        <a:xfrm>
                                          <a:off x="0" y="0"/>
                                          <a:ext cx="3070225" cy="123828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920617D" id="0c1ec7be-b7b7-11ea-8943-0242ac130003" o:spid="_x0000_s1030" type="#_x0000_t202" style="position:absolute;margin-left:85pt;margin-top:29.45pt;width:241.75pt;height:97.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K1gwQEAAFQDAAAOAAAAZHJzL2Uyb0RvYy54bWysU9tu2zAMfR+wfxD07li20yYz4hTYig4D&#10;iq1Auw+QZToWYF0mqbHTrx+l1Omwvg17oSlSPDo8pHc3sxrJEZyXRje0WDFKQAvTSX1o6M+nu2xL&#10;iQ9cd3w0Ghp6Ak9v9h8/7CZbQ2kGM3bgCIJoX0+2oUMIts5zLwZQ3K+MBY3J3jjFAx7dIe8cnxBd&#10;jXnJ2HU+GddZZwR4j9Hbc5LuE37fgwg/+t5DIGNDkVtI1iXbRpvvd7w+OG4HKV5p8H9gobjU+OgF&#10;6pYHTp6dfAelpHDGmz6shFG56XspIPWA3RTsr24eB24h9YLieHuRyf8/WPH9+OCI7Bp6TYnmCkfE&#10;RAFi00LWbtpNVhTAs+2ndZWxcl1yUVSMsSrqNllfY/mjRYAwfzYzzn+JewxGOebeqfjFRgnmcQKn&#10;i+owByIwWLENK8srSgTmirLalldpLvlbuXU+fAWjSHQa6nCsSW1+vPcBqeDV5Up8TZs7OY4xHjme&#10;uUQvzO2cel0vPFvTnZA+LjDCDsa9UDLhMjTU/3rmDigZv2lUO27O4rjFaReHa4GlDQ2UnN0vIW3Y&#10;QgBHlyi+rlncjT/Piebbz7D/DQAA//8DAFBLAwQUAAYACAAAACEAMmXdvuAAAAAKAQAADwAAAGRy&#10;cy9kb3ducmV2LnhtbEyPMU/DMBSEdyT+g/WQ2KjdVglNGqeqEExIiDQMjE7sJlbj5xC7bfj3PCYY&#10;T3e6+67YzW5gFzMF61HCciGAGWy9tthJ+KhfHjbAQlSo1eDRSPg2AXbl7U2hcu2vWJnLIXaMSjDk&#10;SkIf45hzHtreOBUWfjRI3tFPTkWSU8f1pK5U7ga+EiLlTlmkhV6N5qk37elwdhL2n1g926+35r06&#10;VrauM4Gv6UnK+7t5vwUWzRz/wvCLT+hQElPjz6gDG0g/CvoSJSSbDBgF0mSdAGskrJJ1Brws+P8L&#10;5Q8AAAD//wMAUEsBAi0AFAAGAAgAAAAhALaDOJL+AAAA4QEAABMAAAAAAAAAAAAAAAAAAAAAAFtD&#10;b250ZW50X1R5cGVzXS54bWxQSwECLQAUAAYACAAAACEAOP0h/9YAAACUAQAACwAAAAAAAAAAAAAA&#10;AAAvAQAAX3JlbHMvLnJlbHNQSwECLQAUAAYACAAAACEAGiytYMEBAABUAwAADgAAAAAAAAAAAAAA&#10;AAAuAgAAZHJzL2Uyb0RvYy54bWxQSwECLQAUAAYACAAAACEAMmXdvuAAAAAKAQAADwAAAAAAAAAA&#10;AAAAAAAbBAAAZHJzL2Rvd25yZXYueG1sUEsFBgAAAAAEAAQA8wAAACgFAAAAAA==&#10;" filled="f" stroked="f">
              <v:textbox inset="0,0,0,0">
                <w:txbxContent>
                  <w:p w14:paraId="3547DE66" w14:textId="77777777" w:rsidR="00B263FC" w:rsidRDefault="00B263FC">
                    <w:pPr>
                      <w:spacing w:line="240" w:lineRule="auto"/>
                    </w:pPr>
                    <w:r>
                      <w:rPr>
                        <w:noProof/>
                      </w:rPr>
                      <w:drawing>
                        <wp:inline distT="0" distB="0" distL="0" distR="0" wp14:anchorId="20862811" wp14:editId="55BBDCDB">
                          <wp:extent cx="3070225" cy="1238284"/>
                          <wp:effectExtent l="0" t="0" r="0" b="0"/>
                          <wp:docPr id="14" name="Woordmerk"/>
                          <wp:cNvGraphicFramePr/>
                          <a:graphic xmlns:a="http://schemas.openxmlformats.org/drawingml/2006/main">
                            <a:graphicData uri="http://schemas.openxmlformats.org/drawingml/2006/picture">
                              <pic:pic xmlns:pic="http://schemas.openxmlformats.org/drawingml/2006/picture">
                                <pic:nvPicPr>
                                  <pic:cNvPr id="7" name="Woordmerk"/>
                                  <pic:cNvPicPr/>
                                </pic:nvPicPr>
                                <pic:blipFill>
                                  <a:blip r:embed="rId4"/>
                                  <a:stretch>
                                    <a:fillRect/>
                                  </a:stretch>
                                </pic:blipFill>
                                <pic:spPr bwMode="auto">
                                  <a:xfrm>
                                    <a:off x="0" y="0"/>
                                    <a:ext cx="3070225" cy="123828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23D3676" wp14:editId="515F0BA8">
              <wp:simplePos x="0" y="0"/>
              <wp:positionH relativeFrom="page">
                <wp:posOffset>467995</wp:posOffset>
              </wp:positionH>
              <wp:positionV relativeFrom="page">
                <wp:posOffset>8783955</wp:posOffset>
              </wp:positionV>
              <wp:extent cx="4142740" cy="1115695"/>
              <wp:effectExtent l="0" t="0" r="0" b="0"/>
              <wp:wrapNone/>
              <wp:docPr id="8" name="0c1ed027-b7b7-11ea-8943-0242ac130003"/>
              <wp:cNvGraphicFramePr/>
              <a:graphic xmlns:a="http://schemas.openxmlformats.org/drawingml/2006/main">
                <a:graphicData uri="http://schemas.microsoft.com/office/word/2010/wordprocessingShape">
                  <wps:wsp>
                    <wps:cNvSpPr txBox="1"/>
                    <wps:spPr>
                      <a:xfrm>
                        <a:off x="0" y="0"/>
                        <a:ext cx="4142740" cy="1115695"/>
                      </a:xfrm>
                      <a:prstGeom prst="rect">
                        <a:avLst/>
                      </a:prstGeom>
                      <a:noFill/>
                    </wps:spPr>
                    <wps:txbx>
                      <w:txbxContent>
                        <w:p w14:paraId="28004847" w14:textId="7AD51D7B" w:rsidR="00B263FC" w:rsidRPr="00277EBF" w:rsidRDefault="00B263FC">
                          <w:pPr>
                            <w:pStyle w:val="Standaard65"/>
                          </w:pPr>
                          <w:r>
                            <w:tab/>
                            <w:t>datum</w:t>
                          </w:r>
                          <w:r>
                            <w:tab/>
                          </w:r>
                          <w:sdt>
                            <w:sdtPr>
                              <w:id w:val="-204790514"/>
                              <w:date w:fullDate="2022-06-08T00:00:00Z">
                                <w:dateFormat w:val="d MMMM yyyy"/>
                                <w:lid w:val="nl"/>
                                <w:storeMappedDataAs w:val="dateTime"/>
                                <w:calendar w:val="gregorian"/>
                              </w:date>
                            </w:sdtPr>
                            <w:sdtEndPr/>
                            <w:sdtContent>
                              <w:r w:rsidR="00E7485F">
                                <w:t>8</w:t>
                              </w:r>
                              <w:r>
                                <w:rPr>
                                  <w:lang w:val="nl"/>
                                </w:rPr>
                                <w:t xml:space="preserve"> juni 2022</w:t>
                              </w:r>
                            </w:sdtContent>
                          </w:sdt>
                        </w:p>
                        <w:p w14:paraId="5E984809" w14:textId="0080EFB4" w:rsidR="00B263FC" w:rsidRDefault="00DE376E">
                          <w:pPr>
                            <w:pStyle w:val="Standaard65"/>
                          </w:pPr>
                          <w:r>
                            <w:tab/>
                            <w:t>Versie</w:t>
                          </w:r>
                          <w:r>
                            <w:tab/>
                            <w:t>DEF</w:t>
                          </w:r>
                        </w:p>
                      </w:txbxContent>
                    </wps:txbx>
                    <wps:bodyPr vert="horz" wrap="square" lIns="0" tIns="0" rIns="0" bIns="0" anchor="t" anchorCtr="0"/>
                  </wps:wsp>
                </a:graphicData>
              </a:graphic>
            </wp:anchor>
          </w:drawing>
        </mc:Choice>
        <mc:Fallback>
          <w:pict>
            <v:shapetype w14:anchorId="123D3676" id="_x0000_t202" coordsize="21600,21600" o:spt="202" path="m,l,21600r21600,l21600,xe">
              <v:stroke joinstyle="miter"/>
              <v:path gradientshapeok="t" o:connecttype="rect"/>
            </v:shapetype>
            <v:shape id="0c1ed027-b7b7-11ea-8943-0242ac130003" o:spid="_x0000_s1031" type="#_x0000_t202" style="position:absolute;margin-left:36.85pt;margin-top:691.65pt;width:326.2pt;height:87.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S9SwAEAAFQDAAAOAAAAZHJzL2Uyb0RvYy54bWysU9tu3CAQfa+Uf0C8ew1eJ5tYy0ZqolSV&#10;orZS2g/AGK+RzKVA1t58fQc23lTJW9UXPMzA4Zwz4+3trEd0kD4oaximK4KRNMJ2yuwZ/vXzobjG&#10;KERuOj5aIxk+yoBvdxeftpNrZGUHO3bSIwAxoZkcw0OMrinLIAapeVhZJw0Ue+s1j7D1+7LzfAJ0&#10;PZYVIVflZH3nvBUyBMjen4p4l/H7Xor4ve+DjGhkGLjFvPq8tmktd1ve7D13gxKvNPg/sNBcGXj0&#10;DHXPI0fPXn2A0kp4G2wfV8Lq0va9EjJrADWUvFPzNHAnsxYwJ7izTeH/wYpvhx8eqY5haJThGlpE&#10;BJUdqTZFu2k3BaWSF9c39bogVV1xQdeEkHXybXKhgetPDgDi/NnO0P8lHyCZ7Jh7r9MXhCKoQweO&#10;Z9flHJGAZE3ralNDSUCNUnp5dXOZcMq3686H+EVajVLAsIe2Zrf54THE09HlSHrN2Ac1jimfOJ64&#10;pCjO7Zy1ZvyUaW13BPowwAA7WP+C0QTDwHD4/cy9xGj8asDtNDlL4JegXQJuBFxlOGJ0Cu9inrCF&#10;ALQuq3kdszQbf+8zzbefYfcHAAD//wMAUEsDBBQABgAIAAAAIQDCjpWg4QAAAAwBAAAPAAAAZHJz&#10;L2Rvd25yZXYueG1sTI/BTsMwDIbvSLxDZCRuLNmqtVtpOk0ITkiIrhw4pk3WRmuc0mRbeXvMCY7+&#10;/en352I3u4FdzBSsRwnLhQBmsPXaYifho3552AALUaFWg0cj4dsE2JW3N4XKtb9iZS6H2DEqwZAr&#10;CX2MY855aHvjVFj40SDtjn5yKtI4dVxP6krlbuArIVLulEW60KvRPPWmPR3OTsL+E6tn+/XWvFfH&#10;ytb1VuBrepLy/m7ePwKLZo5/MPzqkzqU5NT4M+rABglZkhFJebJJEmBEZKt0CayhaL3eCuBlwf8/&#10;Uf4AAAD//wMAUEsBAi0AFAAGAAgAAAAhALaDOJL+AAAA4QEAABMAAAAAAAAAAAAAAAAAAAAAAFtD&#10;b250ZW50X1R5cGVzXS54bWxQSwECLQAUAAYACAAAACEAOP0h/9YAAACUAQAACwAAAAAAAAAAAAAA&#10;AAAvAQAAX3JlbHMvLnJlbHNQSwECLQAUAAYACAAAACEAoB0vUsABAABUAwAADgAAAAAAAAAAAAAA&#10;AAAuAgAAZHJzL2Uyb0RvYy54bWxQSwECLQAUAAYACAAAACEAwo6VoOEAAAAMAQAADwAAAAAAAAAA&#10;AAAAAAAaBAAAZHJzL2Rvd25yZXYueG1sUEsFBgAAAAAEAAQA8wAAACgFAAAAAA==&#10;" filled="f" stroked="f">
              <v:textbox inset="0,0,0,0">
                <w:txbxContent>
                  <w:p w14:paraId="28004847" w14:textId="7AD51D7B" w:rsidR="00B263FC" w:rsidRPr="00277EBF" w:rsidRDefault="00B263FC">
                    <w:pPr>
                      <w:pStyle w:val="Standaard65"/>
                    </w:pPr>
                    <w:r>
                      <w:tab/>
                      <w:t>datum</w:t>
                    </w:r>
                    <w:r>
                      <w:tab/>
                    </w:r>
                    <w:sdt>
                      <w:sdtPr>
                        <w:id w:val="-204790514"/>
                        <w:date w:fullDate="2022-06-08T00:00:00Z">
                          <w:dateFormat w:val="d MMMM yyyy"/>
                          <w:lid w:val="nl"/>
                          <w:storeMappedDataAs w:val="dateTime"/>
                          <w:calendar w:val="gregorian"/>
                        </w:date>
                      </w:sdtPr>
                      <w:sdtEndPr/>
                      <w:sdtContent>
                        <w:r w:rsidR="00E7485F">
                          <w:t>8</w:t>
                        </w:r>
                        <w:r>
                          <w:rPr>
                            <w:lang w:val="nl"/>
                          </w:rPr>
                          <w:t xml:space="preserve"> juni 2022</w:t>
                        </w:r>
                      </w:sdtContent>
                    </w:sdt>
                  </w:p>
                  <w:p w14:paraId="5E984809" w14:textId="0080EFB4" w:rsidR="00B263FC" w:rsidRDefault="00DE376E">
                    <w:pPr>
                      <w:pStyle w:val="Standaard65"/>
                    </w:pPr>
                    <w:r>
                      <w:tab/>
                      <w:t>Versie</w:t>
                    </w:r>
                    <w:r>
                      <w:tab/>
                      <w:t>DEF</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64F0E1D" wp14:editId="61DD3F75">
              <wp:simplePos x="0" y="0"/>
              <wp:positionH relativeFrom="page">
                <wp:posOffset>4679950</wp:posOffset>
              </wp:positionH>
              <wp:positionV relativeFrom="page">
                <wp:posOffset>8783955</wp:posOffset>
              </wp:positionV>
              <wp:extent cx="2123440" cy="1115695"/>
              <wp:effectExtent l="0" t="0" r="0" b="0"/>
              <wp:wrapNone/>
              <wp:docPr id="9" name="0c1ecf87-b7b7-11ea-8943-0242ac130003"/>
              <wp:cNvGraphicFramePr/>
              <a:graphic xmlns:a="http://schemas.openxmlformats.org/drawingml/2006/main">
                <a:graphicData uri="http://schemas.microsoft.com/office/word/2010/wordprocessingShape">
                  <wps:wsp>
                    <wps:cNvSpPr txBox="1"/>
                    <wps:spPr>
                      <a:xfrm>
                        <a:off x="0" y="0"/>
                        <a:ext cx="2123440" cy="1115695"/>
                      </a:xfrm>
                      <a:prstGeom prst="rect">
                        <a:avLst/>
                      </a:prstGeom>
                      <a:noFill/>
                    </wps:spPr>
                    <wps:txbx>
                      <w:txbxContent>
                        <w:p w14:paraId="74EBB9B2" w14:textId="77777777" w:rsidR="00B263FC" w:rsidRDefault="00B263FC">
                          <w:pPr>
                            <w:pStyle w:val="Standaard65rechtsuitgelijndvet"/>
                          </w:pPr>
                          <w:r>
                            <w:t>FEZ/Inkoop</w:t>
                          </w:r>
                        </w:p>
                        <w:p w14:paraId="123FD5A8" w14:textId="77777777" w:rsidR="00B263FC" w:rsidRDefault="00B263FC"/>
                      </w:txbxContent>
                    </wps:txbx>
                    <wps:bodyPr vert="horz" wrap="square" lIns="0" tIns="0" rIns="0" bIns="0" anchor="t" anchorCtr="0"/>
                  </wps:wsp>
                </a:graphicData>
              </a:graphic>
            </wp:anchor>
          </w:drawing>
        </mc:Choice>
        <mc:Fallback>
          <w:pict>
            <v:shape w14:anchorId="464F0E1D" id="0c1ecf87-b7b7-11ea-8943-0242ac130003" o:spid="_x0000_s1032" type="#_x0000_t202" style="position:absolute;margin-left:368.5pt;margin-top:691.65pt;width:167.2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tk3wAEAAFQDAAAOAAAAZHJzL2Uyb0RvYy54bWysU9tu3CAQfa/Uf0C8e228m71Yy0Zqo1SV&#10;orZS2g/AGNZI5hIga2++vgMbb6L2reoLHmbgcM6Z8f520gM6CR+UNRSTRYWRMNx2yhwp/vXzvthi&#10;FCIzHRusERSfRcC3h48f9qNrRG17O3TCIwAxoRkdxX2MrinLwHuhWVhYJwwUpfWaRdj6Y9l5NgK6&#10;Hsq6qtblaH3nvOUiBMjeXYr4kPGlFDx+lzKIiAaKgVvMq89rm9bysGfN0TPXK/5Kg/0DC82UgUev&#10;UHcsMvTs1V9QWnFvg5Vxwa0urZSKi6wB1JDqDzWPPXMiawFzgrvaFP4fLP92+uGR6ijeYWSYhhZV&#10;nAgut5ui3bSbghDBiu1utSyqelUzTpZVVS2Tb6MLDVx/dAAQp092gv7P+QDJZMckvU5fEIqgDh04&#10;X10XU0QckjWpl6sVlDjUCCE3691Nwinfrjsf4hdhNUoBxR7amt1mp4cQL0fnI+k1Y+/VMKR84njh&#10;kqI4tVPWup55trY7A30YYIDtrX/BaIRhoDg8PTMvMBq+GnA7Tc4c+Dlo54AZDlcpjhhdws8xT9hM&#10;AFqX1byOWZqN9/tM8+1nOPwGAAD//wMAUEsDBBQABgAIAAAAIQBG/qeN4wAAAA4BAAAPAAAAZHJz&#10;L2Rvd25yZXYueG1sTI/BTsMwEETvSPyDtUjcqF1CmzbEqSoEJyREGg4cnXibWI3XIXbb8Pe4p3Lb&#10;0Yxm3+SbyfbshKM3jiTMZwIYUuO0oVbCV/X2sALmgyKtekco4Rc9bIrbm1xl2p2pxNMutCyWkM+U&#10;hC6EIePcNx1a5WduQIre3o1WhSjHlutRnWO57fmjEEtulaH4oVMDvnTYHHZHK2H7TeWr+fmoP8t9&#10;aapqLeh9eZDy/m7aPgMLOIVrGC74ER2KyFS7I2nPeglpksYtIRrJKkmAXSIinT8Bq+O1WKwF8CLn&#10;/2cUfwAAAP//AwBQSwECLQAUAAYACAAAACEAtoM4kv4AAADhAQAAEwAAAAAAAAAAAAAAAAAAAAAA&#10;W0NvbnRlbnRfVHlwZXNdLnhtbFBLAQItABQABgAIAAAAIQA4/SH/1gAAAJQBAAALAAAAAAAAAAAA&#10;AAAAAC8BAABfcmVscy8ucmVsc1BLAQItABQABgAIAAAAIQC88tk3wAEAAFQDAAAOAAAAAAAAAAAA&#10;AAAAAC4CAABkcnMvZTJvRG9jLnhtbFBLAQItABQABgAIAAAAIQBG/qeN4wAAAA4BAAAPAAAAAAAA&#10;AAAAAAAAABoEAABkcnMvZG93bnJldi54bWxQSwUGAAAAAAQABADzAAAAKgUAAAAA&#10;" filled="f" stroked="f">
              <v:textbox inset="0,0,0,0">
                <w:txbxContent>
                  <w:p w14:paraId="74EBB9B2" w14:textId="77777777" w:rsidR="00B263FC" w:rsidRDefault="00B263FC">
                    <w:pPr>
                      <w:pStyle w:val="Standaard65rechtsuitgelijndvet"/>
                    </w:pPr>
                    <w:r>
                      <w:t>FEZ/Inkoop</w:t>
                    </w:r>
                  </w:p>
                  <w:p w14:paraId="123FD5A8" w14:textId="77777777" w:rsidR="00B263FC" w:rsidRDefault="00B263FC"/>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FD84BEF" wp14:editId="1E3F3CDE">
              <wp:simplePos x="0" y="0"/>
              <wp:positionH relativeFrom="margin">
                <wp:align>left</wp:align>
              </wp:positionH>
              <wp:positionV relativeFrom="page">
                <wp:posOffset>2428875</wp:posOffset>
              </wp:positionV>
              <wp:extent cx="4133850" cy="1439545"/>
              <wp:effectExtent l="0" t="0" r="0" b="0"/>
              <wp:wrapNone/>
              <wp:docPr id="10" name="0c1ed206-b7b7-11ea-8943-0242ac130003"/>
              <wp:cNvGraphicFramePr/>
              <a:graphic xmlns:a="http://schemas.openxmlformats.org/drawingml/2006/main">
                <a:graphicData uri="http://schemas.microsoft.com/office/word/2010/wordprocessingShape">
                  <wps:wsp>
                    <wps:cNvSpPr txBox="1"/>
                    <wps:spPr>
                      <a:xfrm>
                        <a:off x="0" y="0"/>
                        <a:ext cx="4133850" cy="1439545"/>
                      </a:xfrm>
                      <a:prstGeom prst="rect">
                        <a:avLst/>
                      </a:prstGeom>
                      <a:noFill/>
                    </wps:spPr>
                    <wps:txbx>
                      <w:txbxContent>
                        <w:p w14:paraId="7CB2E5DE" w14:textId="22799D1A" w:rsidR="00B263FC" w:rsidRDefault="00B263FC">
                          <w:pPr>
                            <w:pStyle w:val="Rapporttitel"/>
                          </w:pPr>
                          <w:r>
                            <w:t>Aanbestedingsleidraad</w:t>
                          </w:r>
                        </w:p>
                        <w:p w14:paraId="2E8CB8DA" w14:textId="77777777" w:rsidR="00B263FC" w:rsidRPr="008B162A" w:rsidRDefault="00B263FC" w:rsidP="008B162A"/>
                        <w:p w14:paraId="76295DA5" w14:textId="77777777" w:rsidR="00B263FC" w:rsidRDefault="00B263FC">
                          <w:pPr>
                            <w:pStyle w:val="Witregel65ptenkel"/>
                          </w:pPr>
                        </w:p>
                        <w:p w14:paraId="0475A0C3" w14:textId="77777777" w:rsidR="00B263FC" w:rsidRDefault="00B263FC">
                          <w:pPr>
                            <w:pStyle w:val="RapportSubtitel"/>
                          </w:pPr>
                          <w:r>
                            <w:t>Europese openbare aanbesteding</w:t>
                          </w:r>
                          <w:r>
                            <w:br/>
                          </w:r>
                        </w:p>
                        <w:p w14:paraId="2BFA87A4" w14:textId="5E0EC58C" w:rsidR="00B263FC" w:rsidRDefault="00B263FC">
                          <w:pPr>
                            <w:pStyle w:val="RapportSubtitel"/>
                          </w:pPr>
                          <w:r w:rsidRPr="0097415C">
                            <w:t>Ondertiteling Debat Gemist</w:t>
                          </w:r>
                        </w:p>
                        <w:p w14:paraId="135B3D2E" w14:textId="77777777" w:rsidR="00DE376E" w:rsidRDefault="00DE376E" w:rsidP="00597E96"/>
                        <w:p w14:paraId="219CAF61" w14:textId="5B9FB2F6" w:rsidR="00B263FC" w:rsidRPr="00597E96" w:rsidRDefault="00B263FC" w:rsidP="00597E96">
                          <w:r>
                            <w:t>Referentienummer: UTP/8000</w:t>
                          </w:r>
                          <w:r w:rsidR="00DE376E">
                            <w:t>531</w:t>
                          </w:r>
                        </w:p>
                      </w:txbxContent>
                    </wps:txbx>
                    <wps:bodyPr vert="horz" wrap="square" lIns="0" tIns="0" rIns="0" bIns="0" anchor="t" anchorCtr="0"/>
                  </wps:wsp>
                </a:graphicData>
              </a:graphic>
            </wp:anchor>
          </w:drawing>
        </mc:Choice>
        <mc:Fallback>
          <w:pict>
            <v:shape w14:anchorId="7FD84BEF" id="0c1ed206-b7b7-11ea-8943-0242ac130003" o:spid="_x0000_s1033" type="#_x0000_t202" style="position:absolute;margin-left:0;margin-top:191.25pt;width:325.5pt;height:113.35pt;z-index:251660288;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4wdwAEAAFUDAAAOAAAAZHJzL2Uyb0RvYy54bWysU8tu2zAQvBfIPxC8y6Iejh3BcoAmSFEg&#10;aAuk+QCKIi0C4qMkY8n5+i7pyCnaW9ALtdwlhzOzq93trEZ05M5Lo1tcrAhGXDPTS31o8fPPh2yL&#10;kQ9U93Q0mrf4xD2+3V992k224aUZzNhzhwBE+2ayLR5CsE2eezZwRf3KWK6hKIxTNMDWHfLe0QnQ&#10;1ZiXhFznk3G9dYZx7yF7fy7ifcIXgrPwXQjPAxpbDNxCWl1au7jm+x1tDo7aQbI3GvQDLBSVGh69&#10;QN3TQNGLk/9AKcmc8UaEFTMqN0JIxpMGUFOQv9Q8DdTypAXM8fZik/9/sOzb8YdDsofegT2aKugR&#10;YQXvS3KddZtukxUFp9n2pq4yUtYlZUVFCKmicZP1Ddx/soAQ5s9mBpAl7yEZ/ZiFU/ELShHU4Y3T&#10;xXY+B8QgWRdVtV1DiUGtqKubdb2OOPn7det8+MKNQjFosYO+Jrvp8dGH89HlSHxNmwc5jjEfOZ65&#10;xCjM3ZzEbhaenelPQB8mGGAH414xmmAaWux/vVDHMRq/arA7js4SuCXoloBqBldbHDA6h3chjdhC&#10;AHqX1LzNWRyOP/eJ5vvfsP8NAAD//wMAUEsDBBQABgAIAAAAIQAv5CpF3gAAAAgBAAAPAAAAZHJz&#10;L2Rvd25yZXYueG1sTI9BT8MwDIXvSPyHyEjcWLqiVVtpOk0ITkiIrhw4po3XRmuc0mRb+feYE7vZ&#10;fk/P3yu2sxvEGadgPSlYLhIQSK03ljoFn/XrwxpEiJqMHjyhgh8MsC1vbwqdG3+hCs/72AkOoZBr&#10;BX2MYy5laHt0Oiz8iMTawU9OR16nTppJXzjcDTJNkkw6bYk/9HrE5x7b4/7kFOy+qHqx3+/NR3Wo&#10;bF1vEnrLjkrd3827JxAR5/hvhj98RoeSmRp/IhPEoICLRAWP63QFguVsteRLw0OySUGWhbwuUP4C&#10;AAD//wMAUEsBAi0AFAAGAAgAAAAhALaDOJL+AAAA4QEAABMAAAAAAAAAAAAAAAAAAAAAAFtDb250&#10;ZW50X1R5cGVzXS54bWxQSwECLQAUAAYACAAAACEAOP0h/9YAAACUAQAACwAAAAAAAAAAAAAAAAAv&#10;AQAAX3JlbHMvLnJlbHNQSwECLQAUAAYACAAAACEAu6OMHcABAABVAwAADgAAAAAAAAAAAAAAAAAu&#10;AgAAZHJzL2Uyb0RvYy54bWxQSwECLQAUAAYACAAAACEAL+QqRd4AAAAIAQAADwAAAAAAAAAAAAAA&#10;AAAaBAAAZHJzL2Rvd25yZXYueG1sUEsFBgAAAAAEAAQA8wAAACUFAAAAAA==&#10;" filled="f" stroked="f">
              <v:textbox inset="0,0,0,0">
                <w:txbxContent>
                  <w:p w14:paraId="7CB2E5DE" w14:textId="22799D1A" w:rsidR="00B263FC" w:rsidRDefault="00B263FC">
                    <w:pPr>
                      <w:pStyle w:val="Rapporttitel"/>
                    </w:pPr>
                    <w:r>
                      <w:t>Aanbestedingsleidraad</w:t>
                    </w:r>
                  </w:p>
                  <w:p w14:paraId="2E8CB8DA" w14:textId="77777777" w:rsidR="00B263FC" w:rsidRPr="008B162A" w:rsidRDefault="00B263FC" w:rsidP="008B162A"/>
                  <w:p w14:paraId="76295DA5" w14:textId="77777777" w:rsidR="00B263FC" w:rsidRDefault="00B263FC">
                    <w:pPr>
                      <w:pStyle w:val="Witregel65ptenkel"/>
                    </w:pPr>
                  </w:p>
                  <w:p w14:paraId="0475A0C3" w14:textId="77777777" w:rsidR="00B263FC" w:rsidRDefault="00B263FC">
                    <w:pPr>
                      <w:pStyle w:val="RapportSubtitel"/>
                    </w:pPr>
                    <w:r>
                      <w:t>Europese openbare aanbesteding</w:t>
                    </w:r>
                    <w:r>
                      <w:br/>
                    </w:r>
                  </w:p>
                  <w:p w14:paraId="2BFA87A4" w14:textId="5E0EC58C" w:rsidR="00B263FC" w:rsidRDefault="00B263FC">
                    <w:pPr>
                      <w:pStyle w:val="RapportSubtitel"/>
                    </w:pPr>
                    <w:r w:rsidRPr="0097415C">
                      <w:t>Ondertiteling Debat Gemist</w:t>
                    </w:r>
                  </w:p>
                  <w:p w14:paraId="135B3D2E" w14:textId="77777777" w:rsidR="00DE376E" w:rsidRDefault="00DE376E" w:rsidP="00597E96"/>
                  <w:p w14:paraId="219CAF61" w14:textId="5B9FB2F6" w:rsidR="00B263FC" w:rsidRPr="00597E96" w:rsidRDefault="00B263FC" w:rsidP="00597E96">
                    <w:r>
                      <w:t>Referentienummer: UTP/8000</w:t>
                    </w:r>
                    <w:r w:rsidR="00DE376E">
                      <w:t>531</w:t>
                    </w:r>
                  </w:p>
                </w:txbxContent>
              </v:textbox>
              <w10:wrap anchorx="margin"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87BB7" w14:textId="77777777" w:rsidR="00DE376E" w:rsidRDefault="00DE376E">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75CA5" w14:textId="77777777" w:rsidR="00B263FC" w:rsidRDefault="00B263FC">
    <w:r w:rsidRPr="00277EBF">
      <w:rPr>
        <w:noProof/>
      </w:rPr>
      <mc:AlternateContent>
        <mc:Choice Requires="wps">
          <w:drawing>
            <wp:anchor distT="0" distB="0" distL="0" distR="0" simplePos="0" relativeHeight="251661312" behindDoc="0" locked="1" layoutInCell="1" allowOverlap="1" wp14:anchorId="3EB15D7F" wp14:editId="355CA7E8">
              <wp:simplePos x="0" y="0"/>
              <wp:positionH relativeFrom="page">
                <wp:posOffset>1403985</wp:posOffset>
              </wp:positionH>
              <wp:positionV relativeFrom="page">
                <wp:posOffset>323850</wp:posOffset>
              </wp:positionV>
              <wp:extent cx="4933315" cy="266065"/>
              <wp:effectExtent l="0" t="0" r="0" b="0"/>
              <wp:wrapNone/>
              <wp:docPr id="11" name="0c1ec898-b7b7-11ea-8943-0242ac130003"/>
              <wp:cNvGraphicFramePr/>
              <a:graphic xmlns:a="http://schemas.openxmlformats.org/drawingml/2006/main">
                <a:graphicData uri="http://schemas.microsoft.com/office/word/2010/wordprocessingShape">
                  <wps:wsp>
                    <wps:cNvSpPr txBox="1"/>
                    <wps:spPr>
                      <a:xfrm>
                        <a:off x="0" y="0"/>
                        <a:ext cx="4933315" cy="266065"/>
                      </a:xfrm>
                      <a:prstGeom prst="rect">
                        <a:avLst/>
                      </a:prstGeom>
                      <a:noFill/>
                    </wps:spPr>
                    <wps:txbx>
                      <w:txbxContent>
                        <w:p w14:paraId="3A76873C" w14:textId="4B29C075" w:rsidR="00B263FC" w:rsidRDefault="00B263FC">
                          <w:pPr>
                            <w:pStyle w:val="Standaard65"/>
                          </w:pPr>
                          <w:r>
                            <w:t xml:space="preserve">Aanbestedingsleidraad | Tweede Kamer der Staten-Generaal | </w:t>
                          </w:r>
                          <w:sdt>
                            <w:sdtPr>
                              <w:id w:val="-674966832"/>
                              <w:date>
                                <w:dateFormat w:val="d MMMM yyyy"/>
                                <w:lid w:val="nl"/>
                                <w:storeMappedDataAs w:val="dateTime"/>
                                <w:calendar w:val="gregorian"/>
                              </w:date>
                            </w:sdtPr>
                            <w:sdtEndPr/>
                            <w:sdtContent>
                              <w:r w:rsidRPr="00277EBF">
                                <w:rPr>
                                  <w:lang w:val="nl"/>
                                </w:rPr>
                                <w:t>Ondertiteling Debat Gemist</w:t>
                              </w:r>
                            </w:sdtContent>
                          </w:sdt>
                          <w:r w:rsidR="00DE376E">
                            <w:t xml:space="preserve"> | Versie def</w:t>
                          </w:r>
                        </w:p>
                      </w:txbxContent>
                    </wps:txbx>
                    <wps:bodyPr vert="horz" wrap="square" lIns="0" tIns="0" rIns="0" bIns="0" anchor="t" anchorCtr="0"/>
                  </wps:wsp>
                </a:graphicData>
              </a:graphic>
            </wp:anchor>
          </w:drawing>
        </mc:Choice>
        <mc:Fallback>
          <w:pict>
            <v:shapetype w14:anchorId="3EB15D7F" id="_x0000_t202" coordsize="21600,21600" o:spt="202" path="m,l,21600r21600,l21600,xe">
              <v:stroke joinstyle="miter"/>
              <v:path gradientshapeok="t" o:connecttype="rect"/>
            </v:shapetype>
            <v:shape id="0c1ec898-b7b7-11ea-8943-0242ac130003" o:spid="_x0000_s1034" type="#_x0000_t202" style="position:absolute;margin-left:110.55pt;margin-top:25.5pt;width:388.45pt;height:20.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9WCwQEAAFQDAAAOAAAAZHJzL2Uyb0RvYy54bWysU11v2yAUfZ/U/4B4d4ztNHWsOJXWqtOk&#10;apvU9QdgDDGS+RjQ2Omv34XU6bS9VXvBl3vhcM6517vbWY3oyJ2XRre4WBGMuGaml/rQ4uefD1mN&#10;kQ9U93Q0mrf4xD2+3V992k224aUZzNhzhwBE+2ayLR5CsE2eezZwRf3KWK6hKIxTNMDWHfLe0QnQ&#10;1ZiXhGzyybjeOsO495C9PxfxPuELwVn4LoTnAY0tBm4hrS6tXVzz/Y42B0ftINkbDfoBFopKDY9e&#10;oO5poOjFyX+glGTOeCPCihmVGyEk40kDqCnIX2qeBmp50gLmeHuxyf8/WPbt+MMh2UPvCow0VdAj&#10;wgrO6m2ddTfdTVYUnGb1dl1lpFyXlBUVIaSKxk3WN3D/yQJCmD+bGUCWvIdk9GMWTsUvKEVQhxac&#10;LrbzOSAGyfW2qqriGiMGtXKzIZvrCJO/37bOhy/cKBSDFjtoa3KbHh99OB9djsTHtHmQ4xjzkeKZ&#10;SozC3M1Ja73Q7Ex/AvYwwAA7GPeK0QTD0GL/64U6jtH4VYPbcXKWwC1BtwRUM7ja4oDRObwLacIW&#10;AtC6pOZtzOJs/LlPNN9/hv1vAAAA//8DAFBLAwQUAAYACAAAACEAflcJoN4AAAAJAQAADwAAAGRy&#10;cy9kb3ducmV2LnhtbEyPwU7DMBBE70j8g7VI3KiTSFRNiFNVCE5IiDQ9cHTibWI1XofYbcPfs5zg&#10;NqN9mp0pt4sbxQXnYD0pSFcJCKTOG0u9gkPz+rABEaImo0dPqOAbA2yr25tSF8ZfqcbLPvaCQygU&#10;WsEQ41RIGboBnQ4rPyHx7ehnpyPbuZdm1lcOd6PMkmQtnbbEHwY94fOA3Wl/dgp2n1S/2K/39qM+&#10;1rZp8oTe1iel7u+W3ROIiEv8g+G3PleHiju1/kwmiFFBlqUpowoeU97EQJ5vWLQsshxkVcr/C6of&#10;AAAA//8DAFBLAQItABQABgAIAAAAIQC2gziS/gAAAOEBAAATAAAAAAAAAAAAAAAAAAAAAABbQ29u&#10;dGVudF9UeXBlc10ueG1sUEsBAi0AFAAGAAgAAAAhADj9If/WAAAAlAEAAAsAAAAAAAAAAAAAAAAA&#10;LwEAAF9yZWxzLy5yZWxzUEsBAi0AFAAGAAgAAAAhAJ+n1YLBAQAAVAMAAA4AAAAAAAAAAAAAAAAA&#10;LgIAAGRycy9lMm9Eb2MueG1sUEsBAi0AFAAGAAgAAAAhAH5XCaDeAAAACQEAAA8AAAAAAAAAAAAA&#10;AAAAGwQAAGRycy9kb3ducmV2LnhtbFBLBQYAAAAABAAEAPMAAAAmBQAAAAA=&#10;" filled="f" stroked="f">
              <v:textbox inset="0,0,0,0">
                <w:txbxContent>
                  <w:p w14:paraId="3A76873C" w14:textId="4B29C075" w:rsidR="00B263FC" w:rsidRDefault="00B263FC">
                    <w:pPr>
                      <w:pStyle w:val="Standaard65"/>
                    </w:pPr>
                    <w:r>
                      <w:t xml:space="preserve">Aanbestedingsleidraad | Tweede Kamer der Staten-Generaal | </w:t>
                    </w:r>
                    <w:sdt>
                      <w:sdtPr>
                        <w:id w:val="-674966832"/>
                        <w:date>
                          <w:dateFormat w:val="d MMMM yyyy"/>
                          <w:lid w:val="nl"/>
                          <w:storeMappedDataAs w:val="dateTime"/>
                          <w:calendar w:val="gregorian"/>
                        </w:date>
                      </w:sdtPr>
                      <w:sdtEndPr/>
                      <w:sdtContent>
                        <w:r w:rsidRPr="00277EBF">
                          <w:rPr>
                            <w:lang w:val="nl"/>
                          </w:rPr>
                          <w:t>Ondertiteling Debat Gemist</w:t>
                        </w:r>
                      </w:sdtContent>
                    </w:sdt>
                    <w:r w:rsidR="00DE376E">
                      <w:t xml:space="preserve"> | Versie def</w:t>
                    </w:r>
                  </w:p>
                </w:txbxContent>
              </v:textbox>
              <w10:wrap anchorx="page" anchory="page"/>
              <w10:anchorlock/>
            </v:shape>
          </w:pict>
        </mc:Fallback>
      </mc:AlternateContent>
    </w:r>
    <w:r w:rsidRPr="00277EBF">
      <w:rPr>
        <w:noProof/>
      </w:rPr>
      <mc:AlternateContent>
        <mc:Choice Requires="wps">
          <w:drawing>
            <wp:anchor distT="0" distB="0" distL="0" distR="0" simplePos="0" relativeHeight="251662336" behindDoc="0" locked="1" layoutInCell="1" allowOverlap="1" wp14:anchorId="3EA22FCB" wp14:editId="6F1067A5">
              <wp:simplePos x="0" y="0"/>
              <wp:positionH relativeFrom="page">
                <wp:posOffset>1403985</wp:posOffset>
              </wp:positionH>
              <wp:positionV relativeFrom="page">
                <wp:posOffset>10223500</wp:posOffset>
              </wp:positionV>
              <wp:extent cx="5086350" cy="359410"/>
              <wp:effectExtent l="0" t="0" r="0" b="0"/>
              <wp:wrapNone/>
              <wp:docPr id="12" name="0c1ec8dc-b7b7-11ea-8943-0242ac130003"/>
              <wp:cNvGraphicFramePr/>
              <a:graphic xmlns:a="http://schemas.openxmlformats.org/drawingml/2006/main">
                <a:graphicData uri="http://schemas.microsoft.com/office/word/2010/wordprocessingShape">
                  <wps:wsp>
                    <wps:cNvSpPr txBox="1"/>
                    <wps:spPr>
                      <a:xfrm>
                        <a:off x="0" y="0"/>
                        <a:ext cx="5086350" cy="359410"/>
                      </a:xfrm>
                      <a:prstGeom prst="rect">
                        <a:avLst/>
                      </a:prstGeom>
                      <a:noFill/>
                    </wps:spPr>
                    <wps:txbx>
                      <w:txbxContent>
                        <w:p w14:paraId="52BC0D3F" w14:textId="309B5C82" w:rsidR="00B263FC" w:rsidRDefault="00B263FC">
                          <w:pPr>
                            <w:pStyle w:val="Standaard65rechtsuitgelijnd"/>
                          </w:pPr>
                          <w:r>
                            <w:t xml:space="preserve">pagina </w:t>
                          </w:r>
                          <w:r>
                            <w:fldChar w:fldCharType="begin"/>
                          </w:r>
                          <w:r>
                            <w:instrText>PAGE</w:instrText>
                          </w:r>
                          <w:r>
                            <w:fldChar w:fldCharType="separate"/>
                          </w:r>
                          <w:r w:rsidR="00DE376E">
                            <w:rPr>
                              <w:noProof/>
                            </w:rPr>
                            <w:t>21</w:t>
                          </w:r>
                          <w:r>
                            <w:fldChar w:fldCharType="end"/>
                          </w:r>
                          <w:r>
                            <w:t>/</w:t>
                          </w:r>
                          <w:r>
                            <w:fldChar w:fldCharType="begin"/>
                          </w:r>
                          <w:r>
                            <w:instrText>NUMPAGES</w:instrText>
                          </w:r>
                          <w:r>
                            <w:fldChar w:fldCharType="separate"/>
                          </w:r>
                          <w:r w:rsidR="00DE376E">
                            <w:rPr>
                              <w:noProof/>
                            </w:rPr>
                            <w:t>48</w:t>
                          </w:r>
                          <w:r>
                            <w:fldChar w:fldCharType="end"/>
                          </w:r>
                        </w:p>
                      </w:txbxContent>
                    </wps:txbx>
                    <wps:bodyPr vert="horz" wrap="square" lIns="0" tIns="0" rIns="0" bIns="0" anchor="t" anchorCtr="0"/>
                  </wps:wsp>
                </a:graphicData>
              </a:graphic>
            </wp:anchor>
          </w:drawing>
        </mc:Choice>
        <mc:Fallback>
          <w:pict>
            <v:shape w14:anchorId="3EA22FCB" id="0c1ec8dc-b7b7-11ea-8943-0242ac130003" o:spid="_x0000_s1035" type="#_x0000_t202" style="position:absolute;margin-left:110.55pt;margin-top:805pt;width:400.5pt;height:28.3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O4twQEAAFQDAAAOAAAAZHJzL2Uyb0RvYy54bWysU9tu2zAMfR+wfxD07li2kzYx4hTYig4D&#10;hm1A1w+gZSk2YF0mqbGzrx+l1OmwvRV7oSlSPDo8pPd3sxrJSTg/GN3QYsUoEZqbbtDHhj79eMi2&#10;lPgAuoPRaNHQs/D07vD+3X6ytShNb8ZOOIIg2teTbWgfgq3z3PNeKPArY4XGpDROQcCjO+adgwnR&#10;1ZiXjN3kk3GddYYL7zF6f0nSQ8KXUvDwTUovAhkbitxCsi7ZNtr8sIf66MD2A3+hAW9goWDQ+OgV&#10;6h4CkGc3/AOlBu6MNzKsuFG5kXLgIvWA3RTsr24ee7Ai9YLieHuVyf8/WP719N2RocPZlZRoUDgj&#10;xgvBtx3P2tv2NisKAdl2t64yVq5L4EXFGKuicJP1NdY/WkQI8wczI8gS9xiMeszSqfjFTgnmcQTn&#10;q+xiDoRjcMO2N9UGUxxz1Wa3LtJc8tdq63z4JIwi0Wmow7EmteH0xQdkgleXK/ExbR6GcYzxSPFC&#10;JXphbufU626h2ZrujOxxgRG2N+4XJRMuQ0P9z2dwgpLxs0a14+YsjlucdnFAcyxtaKDk4n4MacMW&#10;Aji6RPFlzeJu/HlONF9/hsNvAAAA//8DAFBLAwQUAAYACAAAACEAuMya4dwAAAAOAQAADwAAAGRy&#10;cy9kb3ducmV2LnhtbExPPU/DMBDdkfgP1iGxUTsZIghxqgrBhIRI04HRia9J1PgcYrcN/57LBLe9&#10;D717r9gubhQXnMPgSUOyUSCQWm8H6jQc6reHRxAhGrJm9IQafjDAtry9KUxu/ZUqvOxjJziEQm40&#10;9DFOuZSh7dGZsPETEmtHPzsTGc6dtLO5crgbZapUJp0ZiD/0ZsKXHtvT/uw07L6oeh2+P5rP6lgN&#10;df2k6D07aX1/t+yeQURc4p8Z1vpcHUru1Pgz2SBGDWmaJGxlIUsUr1otikkQzcrxgSwL+X9G+QsA&#10;AP//AwBQSwECLQAUAAYACAAAACEAtoM4kv4AAADhAQAAEwAAAAAAAAAAAAAAAAAAAAAAW0NvbnRl&#10;bnRfVHlwZXNdLnhtbFBLAQItABQABgAIAAAAIQA4/SH/1gAAAJQBAAALAAAAAAAAAAAAAAAAAC8B&#10;AABfcmVscy8ucmVsc1BLAQItABQABgAIAAAAIQAK7O4twQEAAFQDAAAOAAAAAAAAAAAAAAAAAC4C&#10;AABkcnMvZTJvRG9jLnhtbFBLAQItABQABgAIAAAAIQC4zJrh3AAAAA4BAAAPAAAAAAAAAAAAAAAA&#10;ABsEAABkcnMvZG93bnJldi54bWxQSwUGAAAAAAQABADzAAAAJAUAAAAA&#10;" filled="f" stroked="f">
              <v:textbox inset="0,0,0,0">
                <w:txbxContent>
                  <w:p w14:paraId="52BC0D3F" w14:textId="309B5C82" w:rsidR="00B263FC" w:rsidRDefault="00B263FC">
                    <w:pPr>
                      <w:pStyle w:val="Standaard65rechtsuitgelijnd"/>
                    </w:pPr>
                    <w:r>
                      <w:t xml:space="preserve">pagina </w:t>
                    </w:r>
                    <w:r>
                      <w:fldChar w:fldCharType="begin"/>
                    </w:r>
                    <w:r>
                      <w:instrText>PAGE</w:instrText>
                    </w:r>
                    <w:r>
                      <w:fldChar w:fldCharType="separate"/>
                    </w:r>
                    <w:r w:rsidR="00DE376E">
                      <w:rPr>
                        <w:noProof/>
                      </w:rPr>
                      <w:t>21</w:t>
                    </w:r>
                    <w:r>
                      <w:fldChar w:fldCharType="end"/>
                    </w:r>
                    <w:r>
                      <w:t>/</w:t>
                    </w:r>
                    <w:r>
                      <w:fldChar w:fldCharType="begin"/>
                    </w:r>
                    <w:r>
                      <w:instrText>NUMPAGES</w:instrText>
                    </w:r>
                    <w:r>
                      <w:fldChar w:fldCharType="separate"/>
                    </w:r>
                    <w:r w:rsidR="00DE376E">
                      <w:rPr>
                        <w:noProof/>
                      </w:rPr>
                      <w:t>48</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71E794"/>
    <w:multiLevelType w:val="multilevel"/>
    <w:tmpl w:val="40BF9D02"/>
    <w:name w:val="Standaardlijst"/>
    <w:lvl w:ilvl="0">
      <w:start w:val="1"/>
      <w:numFmt w:val="decimal"/>
      <w:pStyle w:val="Lijstniveau1"/>
      <w:lvlText w:val="%1."/>
      <w:lvlJc w:val="left"/>
      <w:pPr>
        <w:ind w:left="412" w:hanging="1132"/>
      </w:pPr>
    </w:lvl>
    <w:lvl w:ilvl="1">
      <w:start w:val="1"/>
      <w:numFmt w:val="decimal"/>
      <w:pStyle w:val="Lijstniveau2"/>
      <w:lvlText w:val="%1. %2."/>
      <w:lvlJc w:val="left"/>
      <w:pPr>
        <w:ind w:left="412" w:hanging="1132"/>
      </w:pPr>
    </w:lvl>
    <w:lvl w:ilvl="2">
      <w:start w:val="1"/>
      <w:numFmt w:val="decimal"/>
      <w:pStyle w:val="Lijstniveau3"/>
      <w:lvlText w:val="%1. %2. %3."/>
      <w:lvlJc w:val="left"/>
      <w:pPr>
        <w:ind w:left="41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C5B06FA"/>
    <w:multiLevelType w:val="multilevel"/>
    <w:tmpl w:val="39A4D8CB"/>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761E77A"/>
    <w:multiLevelType w:val="multilevel"/>
    <w:tmpl w:val="6B2EA312"/>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08DE3CF"/>
    <w:multiLevelType w:val="multilevel"/>
    <w:tmpl w:val="9D1844D8"/>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70479A5"/>
    <w:multiLevelType w:val="multilevel"/>
    <w:tmpl w:val="71D0BB7C"/>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1409EB"/>
    <w:multiLevelType w:val="multilevel"/>
    <w:tmpl w:val="E23C110B"/>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21E724B"/>
    <w:multiLevelType w:val="hybridMultilevel"/>
    <w:tmpl w:val="DD0C9F30"/>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7" w15:restartNumberingAfterBreak="0">
    <w:nsid w:val="08D50E10"/>
    <w:multiLevelType w:val="hybridMultilevel"/>
    <w:tmpl w:val="7DB637F4"/>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09A11D13"/>
    <w:multiLevelType w:val="hybridMultilevel"/>
    <w:tmpl w:val="B03C72FC"/>
    <w:lvl w:ilvl="0" w:tplc="71E2522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09A22A01"/>
    <w:multiLevelType w:val="hybridMultilevel"/>
    <w:tmpl w:val="F3140F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B7F27B2"/>
    <w:multiLevelType w:val="hybridMultilevel"/>
    <w:tmpl w:val="6B4265D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D331CBA"/>
    <w:multiLevelType w:val="hybridMultilevel"/>
    <w:tmpl w:val="A1280722"/>
    <w:lvl w:ilvl="0" w:tplc="7444E888">
      <w:numFmt w:val="bullet"/>
      <w:lvlText w:val="-"/>
      <w:lvlJc w:val="left"/>
      <w:pPr>
        <w:ind w:left="36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1160E2"/>
    <w:multiLevelType w:val="multilevel"/>
    <w:tmpl w:val="DC4ABF58"/>
    <w:lvl w:ilvl="0">
      <w:start w:val="1"/>
      <w:numFmt w:val="decimal"/>
      <w:pStyle w:val="Huisstijl-Opsommingcijfers"/>
      <w:lvlText w:val="%1"/>
      <w:lvlJc w:val="left"/>
      <w:pPr>
        <w:ind w:left="567" w:hanging="567"/>
      </w:pPr>
      <w:rPr>
        <w:rFonts w:ascii="Verdana" w:hAnsi="Verdana" w:hint="default"/>
        <w:sz w:val="17"/>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3" w15:restartNumberingAfterBreak="0">
    <w:nsid w:val="15AF0652"/>
    <w:multiLevelType w:val="hybridMultilevel"/>
    <w:tmpl w:val="54164C48"/>
    <w:lvl w:ilvl="0" w:tplc="0413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7AA0704"/>
    <w:multiLevelType w:val="hybridMultilevel"/>
    <w:tmpl w:val="CA12B6E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562044"/>
    <w:multiLevelType w:val="hybridMultilevel"/>
    <w:tmpl w:val="3F9CA5A8"/>
    <w:lvl w:ilvl="0" w:tplc="04130001">
      <w:start w:val="1"/>
      <w:numFmt w:val="bullet"/>
      <w:lvlText w:val=""/>
      <w:lvlJc w:val="left"/>
      <w:pPr>
        <w:ind w:left="502" w:hanging="360"/>
      </w:pPr>
      <w:rPr>
        <w:rFonts w:ascii="Symbol" w:hAnsi="Symbol" w:hint="default"/>
      </w:rPr>
    </w:lvl>
    <w:lvl w:ilvl="1" w:tplc="04130003">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16" w15:restartNumberingAfterBreak="0">
    <w:nsid w:val="1A032527"/>
    <w:multiLevelType w:val="multilevel"/>
    <w:tmpl w:val="755009D8"/>
    <w:lvl w:ilvl="0">
      <w:start w:val="1"/>
      <w:numFmt w:val="decimal"/>
      <w:pStyle w:val="Huisstijl-Hoofdstuk"/>
      <w:lvlText w:val="%1"/>
      <w:lvlJc w:val="left"/>
      <w:pPr>
        <w:ind w:left="340" w:hanging="340"/>
      </w:pPr>
      <w:rPr>
        <w:rFonts w:cs="Times New Roman" w:hint="default"/>
      </w:rPr>
    </w:lvl>
    <w:lvl w:ilvl="1">
      <w:start w:val="1"/>
      <w:numFmt w:val="decimal"/>
      <w:pStyle w:val="Huisstijl-Paragraaf"/>
      <w:lvlText w:val="%1.%2"/>
      <w:lvlJc w:val="left"/>
      <w:pPr>
        <w:tabs>
          <w:tab w:val="num" w:pos="340"/>
        </w:tabs>
        <w:ind w:left="340" w:hanging="340"/>
      </w:pPr>
      <w:rPr>
        <w:rFonts w:cs="Times New Roman" w:hint="default"/>
        <w:b w:val="0"/>
      </w:rPr>
    </w:lvl>
    <w:lvl w:ilvl="2">
      <w:start w:val="1"/>
      <w:numFmt w:val="decimal"/>
      <w:pStyle w:val="Huisstijl-Subparagraaf"/>
      <w:lvlText w:val="%1.%2.%3"/>
      <w:lvlJc w:val="left"/>
      <w:pPr>
        <w:ind w:left="1617" w:hanging="340"/>
      </w:pPr>
      <w:rPr>
        <w:rFonts w:cs="Times New Roman" w:hint="default"/>
      </w:rPr>
    </w:lvl>
    <w:lvl w:ilvl="3">
      <w:start w:val="1"/>
      <w:numFmt w:val="decimal"/>
      <w:lvlText w:val="%1.%2.%3.%4"/>
      <w:lvlJc w:val="left"/>
      <w:pPr>
        <w:ind w:left="340" w:hanging="340"/>
      </w:pPr>
      <w:rPr>
        <w:rFonts w:cs="Times New Roman" w:hint="default"/>
      </w:rPr>
    </w:lvl>
    <w:lvl w:ilvl="4">
      <w:start w:val="1"/>
      <w:numFmt w:val="none"/>
      <w:lvlText w:val="%5"/>
      <w:lvlJc w:val="left"/>
      <w:pPr>
        <w:ind w:left="340" w:hanging="340"/>
      </w:pPr>
      <w:rPr>
        <w:rFonts w:cs="Times New Roman" w:hint="default"/>
      </w:rPr>
    </w:lvl>
    <w:lvl w:ilvl="5">
      <w:start w:val="1"/>
      <w:numFmt w:val="none"/>
      <w:lvlText w:val="%6"/>
      <w:lvlJc w:val="left"/>
      <w:pPr>
        <w:ind w:left="340" w:hanging="340"/>
      </w:pPr>
      <w:rPr>
        <w:rFonts w:cs="Times New Roman" w:hint="default"/>
      </w:rPr>
    </w:lvl>
    <w:lvl w:ilvl="6">
      <w:start w:val="1"/>
      <w:numFmt w:val="none"/>
      <w:lvlText w:val="%7"/>
      <w:lvlJc w:val="left"/>
      <w:pPr>
        <w:ind w:left="340" w:hanging="340"/>
      </w:pPr>
      <w:rPr>
        <w:rFonts w:cs="Times New Roman" w:hint="default"/>
      </w:rPr>
    </w:lvl>
    <w:lvl w:ilvl="7">
      <w:start w:val="1"/>
      <w:numFmt w:val="none"/>
      <w:lvlText w:val="%8"/>
      <w:lvlJc w:val="left"/>
      <w:pPr>
        <w:ind w:left="340" w:hanging="340"/>
      </w:pPr>
      <w:rPr>
        <w:rFonts w:cs="Times New Roman" w:hint="default"/>
      </w:rPr>
    </w:lvl>
    <w:lvl w:ilvl="8">
      <w:start w:val="1"/>
      <w:numFmt w:val="none"/>
      <w:lvlText w:val="%9"/>
      <w:lvlJc w:val="left"/>
      <w:pPr>
        <w:ind w:left="340" w:hanging="340"/>
      </w:pPr>
      <w:rPr>
        <w:rFonts w:cs="Times New Roman" w:hint="default"/>
      </w:rPr>
    </w:lvl>
  </w:abstractNum>
  <w:abstractNum w:abstractNumId="17" w15:restartNumberingAfterBreak="0">
    <w:nsid w:val="1A5E3A46"/>
    <w:multiLevelType w:val="multilevel"/>
    <w:tmpl w:val="84CC281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 w15:restartNumberingAfterBreak="0">
    <w:nsid w:val="1A8634B9"/>
    <w:multiLevelType w:val="hybridMultilevel"/>
    <w:tmpl w:val="C2E668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C1D32CE"/>
    <w:multiLevelType w:val="hybridMultilevel"/>
    <w:tmpl w:val="C71C0FDC"/>
    <w:lvl w:ilvl="0" w:tplc="7980A854">
      <w:start w:val="1"/>
      <w:numFmt w:val="bullet"/>
      <w:lvlText w:val=""/>
      <w:lvlJc w:val="left"/>
      <w:pPr>
        <w:tabs>
          <w:tab w:val="num" w:pos="720"/>
        </w:tabs>
        <w:ind w:left="720" w:hanging="360"/>
      </w:pPr>
      <w:rPr>
        <w:rFonts w:ascii="Symbol" w:hAnsi="Symbol"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4E36CD"/>
    <w:multiLevelType w:val="hybridMultilevel"/>
    <w:tmpl w:val="3E3E2BF4"/>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1" w15:restartNumberingAfterBreak="0">
    <w:nsid w:val="26C63C87"/>
    <w:multiLevelType w:val="hybridMultilevel"/>
    <w:tmpl w:val="40B0355A"/>
    <w:lvl w:ilvl="0" w:tplc="F134E434">
      <w:start w:val="1"/>
      <w:numFmt w:val="decimal"/>
      <w:lvlText w:val="%1."/>
      <w:lvlJc w:val="left"/>
      <w:pPr>
        <w:ind w:left="1080" w:hanging="360"/>
      </w:pPr>
      <w:rPr>
        <w:rFonts w:hint="default"/>
        <w:b w:val="0"/>
      </w:rPr>
    </w:lvl>
    <w:lvl w:ilvl="1" w:tplc="22BC0286">
      <w:start w:val="1"/>
      <w:numFmt w:val="lowerLetter"/>
      <w:lvlText w:val="%2."/>
      <w:lvlJc w:val="left"/>
      <w:pPr>
        <w:ind w:left="1800" w:hanging="360"/>
      </w:pPr>
      <w:rPr>
        <w:b w:val="0"/>
      </w:r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2B593927"/>
    <w:multiLevelType w:val="hybridMultilevel"/>
    <w:tmpl w:val="23CCB9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E911C81"/>
    <w:multiLevelType w:val="multilevel"/>
    <w:tmpl w:val="7AEC1D8E"/>
    <w:lvl w:ilvl="0">
      <w:start w:val="1"/>
      <w:numFmt w:val="decimal"/>
      <w:lvlText w:val="Hoofdstuk %1"/>
      <w:lvlJc w:val="left"/>
      <w:pPr>
        <w:ind w:left="851" w:hanging="851"/>
      </w:pPr>
      <w:rPr>
        <w:rFonts w:ascii="Corbel" w:hAnsi="Corbel" w:cs="Times New Roman" w:hint="default"/>
        <w:b/>
        <w:bCs w:val="0"/>
        <w:i w:val="0"/>
        <w:iCs w:val="0"/>
        <w:caps w:val="0"/>
        <w:smallCaps w:val="0"/>
        <w:strike w:val="0"/>
        <w:dstrike w:val="0"/>
        <w:outline w:val="0"/>
        <w:shadow w:val="0"/>
        <w:emboss w:val="0"/>
        <w:imprint w:val="0"/>
        <w:vanish w:val="0"/>
        <w:spacing w:val="0"/>
        <w:kern w:val="0"/>
        <w:position w:val="0"/>
        <w:sz w:val="24"/>
        <w:u w:val="none"/>
        <w:effect w:val="none"/>
        <w:vertAlign w:val="baseline"/>
      </w:rPr>
    </w:lvl>
    <w:lvl w:ilvl="1">
      <w:start w:val="1"/>
      <w:numFmt w:val="decimal"/>
      <w:lvlText w:val="%1.%2"/>
      <w:lvlJc w:val="left"/>
      <w:pPr>
        <w:ind w:left="851" w:hanging="851"/>
      </w:pPr>
      <w:rPr>
        <w:rFonts w:ascii="Corbel" w:hAnsi="Corbel" w:cs="Times New Roman" w:hint="default"/>
        <w:b/>
        <w:i w:val="0"/>
        <w:sz w:val="18"/>
      </w:rPr>
    </w:lvl>
    <w:lvl w:ilvl="2">
      <w:start w:val="1"/>
      <w:numFmt w:val="decimal"/>
      <w:lvlText w:val="%1.%2.%3"/>
      <w:lvlJc w:val="left"/>
      <w:pPr>
        <w:ind w:left="851" w:hanging="851"/>
      </w:pPr>
      <w:rPr>
        <w:rFonts w:ascii="Corbel" w:hAnsi="Corbel" w:cs="Times New Roman" w:hint="default"/>
        <w:b/>
        <w:i w:val="0"/>
        <w:sz w:val="18"/>
      </w:rPr>
    </w:lvl>
    <w:lvl w:ilvl="3">
      <w:start w:val="1"/>
      <w:numFmt w:val="decimal"/>
      <w:lvlRestart w:val="0"/>
      <w:lvlText w:val="%1.%2.%3.%4"/>
      <w:lvlJc w:val="left"/>
      <w:pPr>
        <w:ind w:left="851" w:hanging="851"/>
      </w:pPr>
      <w:rPr>
        <w:rFonts w:ascii="Corbel" w:hAnsi="Corbel" w:cs="Times New Roman" w:hint="default"/>
        <w:b/>
        <w:i/>
        <w:sz w:val="18"/>
      </w:rPr>
    </w:lvl>
    <w:lvl w:ilvl="4">
      <w:start w:val="1"/>
      <w:numFmt w:val="none"/>
      <w:lvlText w:val=""/>
      <w:lvlJc w:val="left"/>
      <w:pPr>
        <w:tabs>
          <w:tab w:val="num" w:pos="2935"/>
        </w:tabs>
        <w:ind w:left="851" w:hanging="851"/>
      </w:pPr>
      <w:rPr>
        <w:rFonts w:cs="Times New Roman" w:hint="default"/>
      </w:rPr>
    </w:lvl>
    <w:lvl w:ilvl="5">
      <w:start w:val="1"/>
      <w:numFmt w:val="none"/>
      <w:lvlText w:val=""/>
      <w:lvlJc w:val="left"/>
      <w:pPr>
        <w:tabs>
          <w:tab w:val="num" w:pos="2935"/>
        </w:tabs>
        <w:ind w:left="851" w:hanging="851"/>
      </w:pPr>
      <w:rPr>
        <w:rFonts w:cs="Times New Roman" w:hint="default"/>
      </w:rPr>
    </w:lvl>
    <w:lvl w:ilvl="6">
      <w:start w:val="1"/>
      <w:numFmt w:val="none"/>
      <w:lvlText w:val=""/>
      <w:lvlJc w:val="left"/>
      <w:pPr>
        <w:tabs>
          <w:tab w:val="num" w:pos="2935"/>
        </w:tabs>
        <w:ind w:left="851" w:hanging="851"/>
      </w:pPr>
      <w:rPr>
        <w:rFonts w:cs="Times New Roman" w:hint="default"/>
      </w:rPr>
    </w:lvl>
    <w:lvl w:ilvl="7">
      <w:start w:val="1"/>
      <w:numFmt w:val="none"/>
      <w:lvlText w:val=""/>
      <w:lvlJc w:val="left"/>
      <w:pPr>
        <w:tabs>
          <w:tab w:val="num" w:pos="2935"/>
        </w:tabs>
        <w:ind w:left="851" w:hanging="851"/>
      </w:pPr>
      <w:rPr>
        <w:rFonts w:cs="Times New Roman" w:hint="default"/>
      </w:rPr>
    </w:lvl>
    <w:lvl w:ilvl="8">
      <w:start w:val="1"/>
      <w:numFmt w:val="none"/>
      <w:lvlText w:val=""/>
      <w:lvlJc w:val="left"/>
      <w:pPr>
        <w:tabs>
          <w:tab w:val="num" w:pos="2935"/>
        </w:tabs>
        <w:ind w:left="851" w:hanging="851"/>
      </w:pPr>
      <w:rPr>
        <w:rFonts w:cs="Times New Roman" w:hint="default"/>
      </w:rPr>
    </w:lvl>
  </w:abstractNum>
  <w:abstractNum w:abstractNumId="24" w15:restartNumberingAfterBreak="0">
    <w:nsid w:val="339347FB"/>
    <w:multiLevelType w:val="hybridMultilevel"/>
    <w:tmpl w:val="6B4265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52456BF"/>
    <w:multiLevelType w:val="hybridMultilevel"/>
    <w:tmpl w:val="330A4D54"/>
    <w:lvl w:ilvl="0" w:tplc="04130017">
      <w:start w:val="1"/>
      <w:numFmt w:val="lowerLetter"/>
      <w:lvlText w:val="%1)"/>
      <w:lvlJc w:val="left"/>
      <w:pPr>
        <w:ind w:left="777" w:hanging="360"/>
      </w:pPr>
    </w:lvl>
    <w:lvl w:ilvl="1" w:tplc="04130019">
      <w:start w:val="1"/>
      <w:numFmt w:val="lowerLetter"/>
      <w:lvlText w:val="%2."/>
      <w:lvlJc w:val="left"/>
      <w:pPr>
        <w:ind w:left="1497" w:hanging="360"/>
      </w:pPr>
    </w:lvl>
    <w:lvl w:ilvl="2" w:tplc="0413001B">
      <w:start w:val="1"/>
      <w:numFmt w:val="lowerRoman"/>
      <w:lvlText w:val="%3."/>
      <w:lvlJc w:val="right"/>
      <w:pPr>
        <w:ind w:left="2217" w:hanging="180"/>
      </w:pPr>
    </w:lvl>
    <w:lvl w:ilvl="3" w:tplc="0413000F">
      <w:start w:val="1"/>
      <w:numFmt w:val="decimal"/>
      <w:lvlText w:val="%4."/>
      <w:lvlJc w:val="left"/>
      <w:pPr>
        <w:ind w:left="2937" w:hanging="360"/>
      </w:pPr>
    </w:lvl>
    <w:lvl w:ilvl="4" w:tplc="04130019">
      <w:start w:val="1"/>
      <w:numFmt w:val="lowerLetter"/>
      <w:lvlText w:val="%5."/>
      <w:lvlJc w:val="left"/>
      <w:pPr>
        <w:ind w:left="3657" w:hanging="360"/>
      </w:pPr>
    </w:lvl>
    <w:lvl w:ilvl="5" w:tplc="0413001B">
      <w:start w:val="1"/>
      <w:numFmt w:val="lowerRoman"/>
      <w:lvlText w:val="%6."/>
      <w:lvlJc w:val="right"/>
      <w:pPr>
        <w:ind w:left="4377" w:hanging="180"/>
      </w:pPr>
    </w:lvl>
    <w:lvl w:ilvl="6" w:tplc="0413000F">
      <w:start w:val="1"/>
      <w:numFmt w:val="decimal"/>
      <w:lvlText w:val="%7."/>
      <w:lvlJc w:val="left"/>
      <w:pPr>
        <w:ind w:left="5097" w:hanging="360"/>
      </w:pPr>
    </w:lvl>
    <w:lvl w:ilvl="7" w:tplc="04130019">
      <w:start w:val="1"/>
      <w:numFmt w:val="lowerLetter"/>
      <w:lvlText w:val="%8."/>
      <w:lvlJc w:val="left"/>
      <w:pPr>
        <w:ind w:left="5817" w:hanging="360"/>
      </w:pPr>
    </w:lvl>
    <w:lvl w:ilvl="8" w:tplc="0413001B">
      <w:start w:val="1"/>
      <w:numFmt w:val="lowerRoman"/>
      <w:lvlText w:val="%9."/>
      <w:lvlJc w:val="right"/>
      <w:pPr>
        <w:ind w:left="6537" w:hanging="180"/>
      </w:pPr>
    </w:lvl>
  </w:abstractNum>
  <w:abstractNum w:abstractNumId="26" w15:restartNumberingAfterBreak="0">
    <w:nsid w:val="383A5A5C"/>
    <w:multiLevelType w:val="hybridMultilevel"/>
    <w:tmpl w:val="A1EA0074"/>
    <w:lvl w:ilvl="0" w:tplc="6264FBFC">
      <w:start w:val="2"/>
      <w:numFmt w:val="bullet"/>
      <w:lvlText w:val="-"/>
      <w:lvlJc w:val="left"/>
      <w:pPr>
        <w:ind w:left="1428" w:hanging="360"/>
      </w:pPr>
      <w:rPr>
        <w:rFonts w:ascii="Verdana" w:eastAsia="Times New Roman" w:hAnsi="Verdana" w:cs="Times New Roman" w:hint="default"/>
      </w:rPr>
    </w:lvl>
    <w:lvl w:ilvl="1" w:tplc="04130003">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7" w15:restartNumberingAfterBreak="0">
    <w:nsid w:val="38AE368D"/>
    <w:multiLevelType w:val="hybridMultilevel"/>
    <w:tmpl w:val="DED4F9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9E4121F"/>
    <w:multiLevelType w:val="hybridMultilevel"/>
    <w:tmpl w:val="6B4265D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3DDB3A88"/>
    <w:multiLevelType w:val="hybridMultilevel"/>
    <w:tmpl w:val="5714F2A0"/>
    <w:lvl w:ilvl="0" w:tplc="6264FBFC">
      <w:start w:val="2"/>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432206F7"/>
    <w:multiLevelType w:val="multilevel"/>
    <w:tmpl w:val="A823E4EB"/>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46B32A1"/>
    <w:multiLevelType w:val="multilevel"/>
    <w:tmpl w:val="0F444EC3"/>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2625"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74F568E"/>
    <w:multiLevelType w:val="hybridMultilevel"/>
    <w:tmpl w:val="EB3C17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4FEB2A24"/>
    <w:multiLevelType w:val="hybridMultilevel"/>
    <w:tmpl w:val="D1B6CA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177032A"/>
    <w:multiLevelType w:val="hybridMultilevel"/>
    <w:tmpl w:val="C91E154E"/>
    <w:lvl w:ilvl="0" w:tplc="6264FBFC">
      <w:start w:val="2"/>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5" w15:restartNumberingAfterBreak="0">
    <w:nsid w:val="55020201"/>
    <w:multiLevelType w:val="hybridMultilevel"/>
    <w:tmpl w:val="272883A8"/>
    <w:lvl w:ilvl="0" w:tplc="C164897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B1203C5"/>
    <w:multiLevelType w:val="hybridMultilevel"/>
    <w:tmpl w:val="6B4265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CD651E1"/>
    <w:multiLevelType w:val="hybridMultilevel"/>
    <w:tmpl w:val="3092C6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1345BCF"/>
    <w:multiLevelType w:val="hybridMultilevel"/>
    <w:tmpl w:val="68969B1C"/>
    <w:lvl w:ilvl="0" w:tplc="6264FBFC">
      <w:start w:val="2"/>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9" w15:restartNumberingAfterBreak="0">
    <w:nsid w:val="67B02406"/>
    <w:multiLevelType w:val="hybridMultilevel"/>
    <w:tmpl w:val="525AB1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B8F0E18"/>
    <w:multiLevelType w:val="hybridMultilevel"/>
    <w:tmpl w:val="AFF4A95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C264127"/>
    <w:multiLevelType w:val="hybridMultilevel"/>
    <w:tmpl w:val="AD9CC5B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EBA2B74"/>
    <w:multiLevelType w:val="hybridMultilevel"/>
    <w:tmpl w:val="8D5EF73C"/>
    <w:lvl w:ilvl="0" w:tplc="6264FBFC">
      <w:start w:val="2"/>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3" w15:restartNumberingAfterBreak="0">
    <w:nsid w:val="6F7D549B"/>
    <w:multiLevelType w:val="hybridMultilevel"/>
    <w:tmpl w:val="B858BFA2"/>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0900735"/>
    <w:multiLevelType w:val="hybridMultilevel"/>
    <w:tmpl w:val="469C5E9A"/>
    <w:lvl w:ilvl="0" w:tplc="6264FBFC">
      <w:start w:val="2"/>
      <w:numFmt w:val="bullet"/>
      <w:lvlText w:val="-"/>
      <w:lvlJc w:val="left"/>
      <w:pPr>
        <w:ind w:left="1428" w:hanging="360"/>
      </w:pPr>
      <w:rPr>
        <w:rFonts w:ascii="Verdana" w:eastAsia="Times New Roman" w:hAnsi="Verdana" w:cs="Times New Roman"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5" w15:restartNumberingAfterBreak="0">
    <w:nsid w:val="74EA08CC"/>
    <w:multiLevelType w:val="hybridMultilevel"/>
    <w:tmpl w:val="BFE2CFD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76367CD"/>
    <w:multiLevelType w:val="multilevel"/>
    <w:tmpl w:val="B6BE05C6"/>
    <w:lvl w:ilvl="0">
      <w:start w:val="1"/>
      <w:numFmt w:val="decimal"/>
      <w:pStyle w:val="Kop2"/>
      <w:lvlText w:val="%1."/>
      <w:lvlJc w:val="left"/>
      <w:pPr>
        <w:tabs>
          <w:tab w:val="num" w:pos="432"/>
        </w:tabs>
        <w:ind w:left="432" w:hanging="432"/>
      </w:pPr>
      <w:rPr>
        <w:rFonts w:cs="Times New Roman"/>
        <w:b/>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Kop3"/>
      <w:lvlText w:val="%1.%2."/>
      <w:lvlJc w:val="left"/>
      <w:pPr>
        <w:tabs>
          <w:tab w:val="num" w:pos="860"/>
        </w:tabs>
        <w:ind w:left="860" w:hanging="576"/>
      </w:pPr>
      <w:rPr>
        <w:rFonts w:cs="Times New Roman"/>
        <w:b w:val="0"/>
        <w:bCs w:val="0"/>
        <w:i/>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4"/>
      <w:lvlText w:val="%1.%2.%3."/>
      <w:lvlJc w:val="left"/>
      <w:pPr>
        <w:tabs>
          <w:tab w:val="num" w:pos="3130"/>
        </w:tabs>
        <w:ind w:left="3130" w:hanging="72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5"/>
      <w:lvlText w:val="%1.%2.%3.%4."/>
      <w:lvlJc w:val="left"/>
      <w:pPr>
        <w:tabs>
          <w:tab w:val="num" w:pos="4550"/>
        </w:tabs>
        <w:ind w:left="4550"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rPr>
    </w:lvl>
    <w:lvl w:ilvl="4">
      <w:start w:val="1"/>
      <w:numFmt w:val="decimal"/>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rPr>
    </w:lvl>
    <w:lvl w:ilvl="5">
      <w:start w:val="1"/>
      <w:numFmt w:val="decimal"/>
      <w:pStyle w:val="Kop6"/>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47" w15:restartNumberingAfterBreak="0">
    <w:nsid w:val="77A97137"/>
    <w:multiLevelType w:val="hybridMultilevel"/>
    <w:tmpl w:val="3DBE2C0A"/>
    <w:lvl w:ilvl="0" w:tplc="6264FBFC">
      <w:start w:val="2"/>
      <w:numFmt w:val="bullet"/>
      <w:lvlText w:val="-"/>
      <w:lvlJc w:val="left"/>
      <w:pPr>
        <w:ind w:left="1440" w:hanging="360"/>
      </w:pPr>
      <w:rPr>
        <w:rFonts w:ascii="Verdana" w:eastAsia="Times New Roman" w:hAnsi="Verdana"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8" w15:restartNumberingAfterBreak="0">
    <w:nsid w:val="794C1AE0"/>
    <w:multiLevelType w:val="hybridMultilevel"/>
    <w:tmpl w:val="565A2C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CA9403F"/>
    <w:multiLevelType w:val="hybridMultilevel"/>
    <w:tmpl w:val="B83A270E"/>
    <w:lvl w:ilvl="0" w:tplc="C4DE1470">
      <w:start w:val="1"/>
      <w:numFmt w:val="bullet"/>
      <w:lvlText w:val="•"/>
      <w:lvlJc w:val="left"/>
      <w:pPr>
        <w:ind w:left="1429" w:hanging="360"/>
      </w:pPr>
      <w:rPr>
        <w:rFonts w:ascii="Arial" w:hAnsi="Arial" w:hint="default"/>
      </w:rPr>
    </w:lvl>
    <w:lvl w:ilvl="1" w:tplc="04130003" w:tentative="1">
      <w:start w:val="1"/>
      <w:numFmt w:val="bullet"/>
      <w:lvlText w:val="o"/>
      <w:lvlJc w:val="left"/>
      <w:pPr>
        <w:ind w:left="2149" w:hanging="360"/>
      </w:pPr>
      <w:rPr>
        <w:rFonts w:ascii="Courier New" w:hAnsi="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50" w15:restartNumberingAfterBreak="0">
    <w:nsid w:val="7E196798"/>
    <w:multiLevelType w:val="hybridMultilevel"/>
    <w:tmpl w:val="758035B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51" w15:restartNumberingAfterBreak="0">
    <w:nsid w:val="7E666C73"/>
    <w:multiLevelType w:val="hybridMultilevel"/>
    <w:tmpl w:val="B21A1D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31"/>
  </w:num>
  <w:num w:numId="5">
    <w:abstractNumId w:val="3"/>
  </w:num>
  <w:num w:numId="6">
    <w:abstractNumId w:val="0"/>
  </w:num>
  <w:num w:numId="7">
    <w:abstractNumId w:val="30"/>
  </w:num>
  <w:num w:numId="8">
    <w:abstractNumId w:val="46"/>
  </w:num>
  <w:num w:numId="9">
    <w:abstractNumId w:val="19"/>
  </w:num>
  <w:num w:numId="10">
    <w:abstractNumId w:val="14"/>
  </w:num>
  <w:num w:numId="11">
    <w:abstractNumId w:val="39"/>
  </w:num>
  <w:num w:numId="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8"/>
  </w:num>
  <w:num w:numId="14">
    <w:abstractNumId w:val="40"/>
  </w:num>
  <w:num w:numId="15">
    <w:abstractNumId w:val="45"/>
  </w:num>
  <w:num w:numId="16">
    <w:abstractNumId w:val="51"/>
  </w:num>
  <w:num w:numId="17">
    <w:abstractNumId w:val="18"/>
  </w:num>
  <w:num w:numId="18">
    <w:abstractNumId w:val="41"/>
  </w:num>
  <w:num w:numId="19">
    <w:abstractNumId w:val="27"/>
  </w:num>
  <w:num w:numId="20">
    <w:abstractNumId w:val="32"/>
  </w:num>
  <w:num w:numId="21">
    <w:abstractNumId w:val="6"/>
  </w:num>
  <w:num w:numId="22">
    <w:abstractNumId w:val="36"/>
  </w:num>
  <w:num w:numId="23">
    <w:abstractNumId w:val="22"/>
  </w:num>
  <w:num w:numId="24">
    <w:abstractNumId w:val="47"/>
  </w:num>
  <w:num w:numId="25">
    <w:abstractNumId w:val="44"/>
  </w:num>
  <w:num w:numId="26">
    <w:abstractNumId w:val="26"/>
  </w:num>
  <w:num w:numId="27">
    <w:abstractNumId w:val="8"/>
  </w:num>
  <w:num w:numId="28">
    <w:abstractNumId w:val="35"/>
  </w:num>
  <w:num w:numId="29">
    <w:abstractNumId w:val="20"/>
  </w:num>
  <w:num w:numId="30">
    <w:abstractNumId w:val="21"/>
  </w:num>
  <w:num w:numId="31">
    <w:abstractNumId w:val="43"/>
  </w:num>
  <w:num w:numId="32">
    <w:abstractNumId w:val="11"/>
  </w:num>
  <w:num w:numId="33">
    <w:abstractNumId w:val="33"/>
  </w:num>
  <w:num w:numId="34">
    <w:abstractNumId w:val="13"/>
  </w:num>
  <w:num w:numId="35">
    <w:abstractNumId w:val="9"/>
  </w:num>
  <w:num w:numId="36">
    <w:abstractNumId w:val="29"/>
  </w:num>
  <w:num w:numId="37">
    <w:abstractNumId w:val="42"/>
  </w:num>
  <w:num w:numId="38">
    <w:abstractNumId w:val="38"/>
  </w:num>
  <w:num w:numId="39">
    <w:abstractNumId w:val="34"/>
  </w:num>
  <w:num w:numId="40">
    <w:abstractNumId w:val="24"/>
  </w:num>
  <w:num w:numId="41">
    <w:abstractNumId w:val="28"/>
  </w:num>
  <w:num w:numId="42">
    <w:abstractNumId w:val="23"/>
  </w:num>
  <w:num w:numId="43">
    <w:abstractNumId w:val="17"/>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9"/>
  </w:num>
  <w:num w:numId="46">
    <w:abstractNumId w:val="15"/>
  </w:num>
  <w:num w:numId="47">
    <w:abstractNumId w:val="16"/>
  </w:num>
  <w:num w:numId="48">
    <w:abstractNumId w:val="12"/>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10"/>
  </w:num>
  <w:num w:numId="52">
    <w:abstractNumId w:val="7"/>
  </w:num>
  <w:num w:numId="53">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B12"/>
    <w:rsid w:val="00006529"/>
    <w:rsid w:val="00006D64"/>
    <w:rsid w:val="000152C9"/>
    <w:rsid w:val="000154B7"/>
    <w:rsid w:val="00016852"/>
    <w:rsid w:val="00020074"/>
    <w:rsid w:val="0002120A"/>
    <w:rsid w:val="00024571"/>
    <w:rsid w:val="00026934"/>
    <w:rsid w:val="0003446B"/>
    <w:rsid w:val="0004219D"/>
    <w:rsid w:val="00044263"/>
    <w:rsid w:val="00045732"/>
    <w:rsid w:val="00047E16"/>
    <w:rsid w:val="0005459F"/>
    <w:rsid w:val="00057DED"/>
    <w:rsid w:val="00060339"/>
    <w:rsid w:val="00060C04"/>
    <w:rsid w:val="00062831"/>
    <w:rsid w:val="00063B93"/>
    <w:rsid w:val="00067C29"/>
    <w:rsid w:val="00070F44"/>
    <w:rsid w:val="000723D9"/>
    <w:rsid w:val="00077ECD"/>
    <w:rsid w:val="00080DDD"/>
    <w:rsid w:val="000815DD"/>
    <w:rsid w:val="000836C2"/>
    <w:rsid w:val="00086867"/>
    <w:rsid w:val="000946A3"/>
    <w:rsid w:val="000A3408"/>
    <w:rsid w:val="000A5FF7"/>
    <w:rsid w:val="000B1031"/>
    <w:rsid w:val="000B22C7"/>
    <w:rsid w:val="000C00DE"/>
    <w:rsid w:val="000C454E"/>
    <w:rsid w:val="000E1C56"/>
    <w:rsid w:val="000E4FAA"/>
    <w:rsid w:val="000F4B00"/>
    <w:rsid w:val="000F5AE1"/>
    <w:rsid w:val="000F6015"/>
    <w:rsid w:val="000F78BC"/>
    <w:rsid w:val="00100421"/>
    <w:rsid w:val="00106B60"/>
    <w:rsid w:val="00106F60"/>
    <w:rsid w:val="00117B21"/>
    <w:rsid w:val="00123E6D"/>
    <w:rsid w:val="00130596"/>
    <w:rsid w:val="00144C0A"/>
    <w:rsid w:val="001454DA"/>
    <w:rsid w:val="00145AD0"/>
    <w:rsid w:val="00152BFC"/>
    <w:rsid w:val="001542A3"/>
    <w:rsid w:val="001617E6"/>
    <w:rsid w:val="00167403"/>
    <w:rsid w:val="00171001"/>
    <w:rsid w:val="00174B29"/>
    <w:rsid w:val="00183A1A"/>
    <w:rsid w:val="001918A6"/>
    <w:rsid w:val="001A0F24"/>
    <w:rsid w:val="001A241B"/>
    <w:rsid w:val="001A5209"/>
    <w:rsid w:val="001B194C"/>
    <w:rsid w:val="001B31F1"/>
    <w:rsid w:val="001B49CA"/>
    <w:rsid w:val="001B669D"/>
    <w:rsid w:val="001C0C2A"/>
    <w:rsid w:val="001C43A5"/>
    <w:rsid w:val="001C6571"/>
    <w:rsid w:val="001D2489"/>
    <w:rsid w:val="001F391A"/>
    <w:rsid w:val="001F4DD0"/>
    <w:rsid w:val="001F5257"/>
    <w:rsid w:val="001F62D3"/>
    <w:rsid w:val="001F7A6E"/>
    <w:rsid w:val="00203D18"/>
    <w:rsid w:val="00205451"/>
    <w:rsid w:val="00205ADC"/>
    <w:rsid w:val="00210A23"/>
    <w:rsid w:val="0022132B"/>
    <w:rsid w:val="00223A70"/>
    <w:rsid w:val="002246F3"/>
    <w:rsid w:val="002249A1"/>
    <w:rsid w:val="002274EA"/>
    <w:rsid w:val="0022794C"/>
    <w:rsid w:val="00242B95"/>
    <w:rsid w:val="0024524D"/>
    <w:rsid w:val="00250340"/>
    <w:rsid w:val="00251738"/>
    <w:rsid w:val="00257E16"/>
    <w:rsid w:val="0026041D"/>
    <w:rsid w:val="00261233"/>
    <w:rsid w:val="00265277"/>
    <w:rsid w:val="00265F64"/>
    <w:rsid w:val="0026651B"/>
    <w:rsid w:val="00266A90"/>
    <w:rsid w:val="0027016B"/>
    <w:rsid w:val="00274328"/>
    <w:rsid w:val="002759D8"/>
    <w:rsid w:val="00277EBF"/>
    <w:rsid w:val="00280570"/>
    <w:rsid w:val="002823E5"/>
    <w:rsid w:val="00284DEE"/>
    <w:rsid w:val="00286F48"/>
    <w:rsid w:val="0029182E"/>
    <w:rsid w:val="00291D4D"/>
    <w:rsid w:val="002948BA"/>
    <w:rsid w:val="002A2D37"/>
    <w:rsid w:val="002A32F3"/>
    <w:rsid w:val="002A376C"/>
    <w:rsid w:val="002A6193"/>
    <w:rsid w:val="002A6B7C"/>
    <w:rsid w:val="002B0005"/>
    <w:rsid w:val="002B2A89"/>
    <w:rsid w:val="002B4BF5"/>
    <w:rsid w:val="002D740A"/>
    <w:rsid w:val="002E1AC6"/>
    <w:rsid w:val="002E555C"/>
    <w:rsid w:val="002F07AB"/>
    <w:rsid w:val="002F5EEF"/>
    <w:rsid w:val="003015AC"/>
    <w:rsid w:val="003021F7"/>
    <w:rsid w:val="00303B20"/>
    <w:rsid w:val="0030603F"/>
    <w:rsid w:val="00307D25"/>
    <w:rsid w:val="003147E1"/>
    <w:rsid w:val="00314ECF"/>
    <w:rsid w:val="003200B0"/>
    <w:rsid w:val="00321B49"/>
    <w:rsid w:val="003321F2"/>
    <w:rsid w:val="00336AA2"/>
    <w:rsid w:val="00337B54"/>
    <w:rsid w:val="00337F69"/>
    <w:rsid w:val="00340CC5"/>
    <w:rsid w:val="003430ED"/>
    <w:rsid w:val="00343F68"/>
    <w:rsid w:val="003446C7"/>
    <w:rsid w:val="00345FAC"/>
    <w:rsid w:val="003472E1"/>
    <w:rsid w:val="003545C5"/>
    <w:rsid w:val="00356A0F"/>
    <w:rsid w:val="00361DD8"/>
    <w:rsid w:val="003626D8"/>
    <w:rsid w:val="00363D38"/>
    <w:rsid w:val="0037684D"/>
    <w:rsid w:val="00383133"/>
    <w:rsid w:val="00384E5D"/>
    <w:rsid w:val="00387230"/>
    <w:rsid w:val="0039434C"/>
    <w:rsid w:val="00394701"/>
    <w:rsid w:val="0039558B"/>
    <w:rsid w:val="00395BC7"/>
    <w:rsid w:val="003A4C3A"/>
    <w:rsid w:val="003B0FB3"/>
    <w:rsid w:val="003B238D"/>
    <w:rsid w:val="003B5657"/>
    <w:rsid w:val="003C3AD2"/>
    <w:rsid w:val="003C4427"/>
    <w:rsid w:val="003C64A3"/>
    <w:rsid w:val="003C7520"/>
    <w:rsid w:val="003E180A"/>
    <w:rsid w:val="003E522C"/>
    <w:rsid w:val="003E5AD4"/>
    <w:rsid w:val="003E5B24"/>
    <w:rsid w:val="003F287C"/>
    <w:rsid w:val="003F4C39"/>
    <w:rsid w:val="003F7848"/>
    <w:rsid w:val="00400C4B"/>
    <w:rsid w:val="00410480"/>
    <w:rsid w:val="00413667"/>
    <w:rsid w:val="00413B2F"/>
    <w:rsid w:val="00415ED6"/>
    <w:rsid w:val="004173D6"/>
    <w:rsid w:val="00423D30"/>
    <w:rsid w:val="00430394"/>
    <w:rsid w:val="00430857"/>
    <w:rsid w:val="00430A32"/>
    <w:rsid w:val="004314D3"/>
    <w:rsid w:val="0043237D"/>
    <w:rsid w:val="004351CA"/>
    <w:rsid w:val="004354B8"/>
    <w:rsid w:val="00435B12"/>
    <w:rsid w:val="0044420C"/>
    <w:rsid w:val="00446DD5"/>
    <w:rsid w:val="0045402D"/>
    <w:rsid w:val="00455762"/>
    <w:rsid w:val="0045705D"/>
    <w:rsid w:val="00460278"/>
    <w:rsid w:val="00462133"/>
    <w:rsid w:val="004636F4"/>
    <w:rsid w:val="00463A16"/>
    <w:rsid w:val="00465930"/>
    <w:rsid w:val="004723D9"/>
    <w:rsid w:val="004758DF"/>
    <w:rsid w:val="00480DED"/>
    <w:rsid w:val="00483753"/>
    <w:rsid w:val="004838E3"/>
    <w:rsid w:val="0048582B"/>
    <w:rsid w:val="00492BAD"/>
    <w:rsid w:val="004A00FE"/>
    <w:rsid w:val="004A6B0B"/>
    <w:rsid w:val="004A7AC7"/>
    <w:rsid w:val="004B45D4"/>
    <w:rsid w:val="004B5E3D"/>
    <w:rsid w:val="004C3D12"/>
    <w:rsid w:val="004C5944"/>
    <w:rsid w:val="004C7A1B"/>
    <w:rsid w:val="004D185C"/>
    <w:rsid w:val="004E043C"/>
    <w:rsid w:val="004E50A1"/>
    <w:rsid w:val="0050000B"/>
    <w:rsid w:val="005061E6"/>
    <w:rsid w:val="00514505"/>
    <w:rsid w:val="00532726"/>
    <w:rsid w:val="005410A7"/>
    <w:rsid w:val="00545C57"/>
    <w:rsid w:val="00546141"/>
    <w:rsid w:val="0054648D"/>
    <w:rsid w:val="005608D2"/>
    <w:rsid w:val="0056160F"/>
    <w:rsid w:val="005653F0"/>
    <w:rsid w:val="00565BEB"/>
    <w:rsid w:val="005679AF"/>
    <w:rsid w:val="00575A21"/>
    <w:rsid w:val="005763E9"/>
    <w:rsid w:val="00576984"/>
    <w:rsid w:val="00576F29"/>
    <w:rsid w:val="00580E6B"/>
    <w:rsid w:val="00580FAF"/>
    <w:rsid w:val="00591082"/>
    <w:rsid w:val="00593127"/>
    <w:rsid w:val="005931A6"/>
    <w:rsid w:val="005961C8"/>
    <w:rsid w:val="00597E96"/>
    <w:rsid w:val="005A0503"/>
    <w:rsid w:val="005A13EC"/>
    <w:rsid w:val="005B5066"/>
    <w:rsid w:val="005B7A8B"/>
    <w:rsid w:val="005C0476"/>
    <w:rsid w:val="005C2C46"/>
    <w:rsid w:val="005C2F88"/>
    <w:rsid w:val="005D361F"/>
    <w:rsid w:val="005D3898"/>
    <w:rsid w:val="005D3BF8"/>
    <w:rsid w:val="005D4B78"/>
    <w:rsid w:val="005D4F2F"/>
    <w:rsid w:val="005D50DA"/>
    <w:rsid w:val="005E3C51"/>
    <w:rsid w:val="005E4AFF"/>
    <w:rsid w:val="005E6776"/>
    <w:rsid w:val="005F1E28"/>
    <w:rsid w:val="005F2F0D"/>
    <w:rsid w:val="005F5279"/>
    <w:rsid w:val="006004C2"/>
    <w:rsid w:val="00605362"/>
    <w:rsid w:val="00605AB8"/>
    <w:rsid w:val="00613C0F"/>
    <w:rsid w:val="00615F82"/>
    <w:rsid w:val="00616F78"/>
    <w:rsid w:val="00616FC1"/>
    <w:rsid w:val="0062254D"/>
    <w:rsid w:val="006245F0"/>
    <w:rsid w:val="006303B0"/>
    <w:rsid w:val="00635DE7"/>
    <w:rsid w:val="00636D73"/>
    <w:rsid w:val="006426A7"/>
    <w:rsid w:val="00642FB3"/>
    <w:rsid w:val="00651C12"/>
    <w:rsid w:val="00652484"/>
    <w:rsid w:val="0065533C"/>
    <w:rsid w:val="00656697"/>
    <w:rsid w:val="0065726A"/>
    <w:rsid w:val="00661154"/>
    <w:rsid w:val="00661206"/>
    <w:rsid w:val="006659ED"/>
    <w:rsid w:val="00666085"/>
    <w:rsid w:val="00666589"/>
    <w:rsid w:val="00670F53"/>
    <w:rsid w:val="0067193F"/>
    <w:rsid w:val="0067251D"/>
    <w:rsid w:val="006727F3"/>
    <w:rsid w:val="006767E5"/>
    <w:rsid w:val="00677ACB"/>
    <w:rsid w:val="00677C67"/>
    <w:rsid w:val="006809D1"/>
    <w:rsid w:val="006811B8"/>
    <w:rsid w:val="00681F49"/>
    <w:rsid w:val="00684C64"/>
    <w:rsid w:val="00690181"/>
    <w:rsid w:val="00691D3F"/>
    <w:rsid w:val="00697A2B"/>
    <w:rsid w:val="006A4AF0"/>
    <w:rsid w:val="006B11E0"/>
    <w:rsid w:val="006B6C26"/>
    <w:rsid w:val="006C303E"/>
    <w:rsid w:val="006C43E8"/>
    <w:rsid w:val="006C599F"/>
    <w:rsid w:val="006D0E04"/>
    <w:rsid w:val="006E0326"/>
    <w:rsid w:val="006E056F"/>
    <w:rsid w:val="006E5ED7"/>
    <w:rsid w:val="006F2683"/>
    <w:rsid w:val="00700052"/>
    <w:rsid w:val="00703177"/>
    <w:rsid w:val="00711994"/>
    <w:rsid w:val="00712D10"/>
    <w:rsid w:val="00714020"/>
    <w:rsid w:val="00714B59"/>
    <w:rsid w:val="00716B9D"/>
    <w:rsid w:val="0071792E"/>
    <w:rsid w:val="00722A1C"/>
    <w:rsid w:val="00730086"/>
    <w:rsid w:val="00731AFA"/>
    <w:rsid w:val="00732067"/>
    <w:rsid w:val="00732BFB"/>
    <w:rsid w:val="00734658"/>
    <w:rsid w:val="00735976"/>
    <w:rsid w:val="00740FF7"/>
    <w:rsid w:val="00744791"/>
    <w:rsid w:val="0075053E"/>
    <w:rsid w:val="00750D99"/>
    <w:rsid w:val="00752F96"/>
    <w:rsid w:val="007606C5"/>
    <w:rsid w:val="00760B23"/>
    <w:rsid w:val="00766C3B"/>
    <w:rsid w:val="00767A04"/>
    <w:rsid w:val="00773BA0"/>
    <w:rsid w:val="00774755"/>
    <w:rsid w:val="00776258"/>
    <w:rsid w:val="00783720"/>
    <w:rsid w:val="0078399D"/>
    <w:rsid w:val="007911DD"/>
    <w:rsid w:val="00795ADC"/>
    <w:rsid w:val="007972DD"/>
    <w:rsid w:val="007A02E1"/>
    <w:rsid w:val="007A3267"/>
    <w:rsid w:val="007C5B95"/>
    <w:rsid w:val="007C7B39"/>
    <w:rsid w:val="007D186D"/>
    <w:rsid w:val="007D25DC"/>
    <w:rsid w:val="007D53EE"/>
    <w:rsid w:val="007D65AF"/>
    <w:rsid w:val="007E302D"/>
    <w:rsid w:val="007F6C1E"/>
    <w:rsid w:val="007F74AC"/>
    <w:rsid w:val="00803033"/>
    <w:rsid w:val="008115A0"/>
    <w:rsid w:val="00821FA4"/>
    <w:rsid w:val="00822C47"/>
    <w:rsid w:val="008231CE"/>
    <w:rsid w:val="00823885"/>
    <w:rsid w:val="008243C1"/>
    <w:rsid w:val="00825F20"/>
    <w:rsid w:val="00826935"/>
    <w:rsid w:val="00831458"/>
    <w:rsid w:val="00831D8B"/>
    <w:rsid w:val="008348EF"/>
    <w:rsid w:val="00844F11"/>
    <w:rsid w:val="00851D26"/>
    <w:rsid w:val="008530EB"/>
    <w:rsid w:val="008567C4"/>
    <w:rsid w:val="00867A87"/>
    <w:rsid w:val="00870644"/>
    <w:rsid w:val="0087107D"/>
    <w:rsid w:val="008725DB"/>
    <w:rsid w:val="00872FAA"/>
    <w:rsid w:val="00873637"/>
    <w:rsid w:val="0087700B"/>
    <w:rsid w:val="008825E9"/>
    <w:rsid w:val="00896A86"/>
    <w:rsid w:val="008A01D1"/>
    <w:rsid w:val="008A0991"/>
    <w:rsid w:val="008A2E7E"/>
    <w:rsid w:val="008A3109"/>
    <w:rsid w:val="008A3B97"/>
    <w:rsid w:val="008B162A"/>
    <w:rsid w:val="008B51A1"/>
    <w:rsid w:val="008B6F70"/>
    <w:rsid w:val="008C7FF9"/>
    <w:rsid w:val="008D0431"/>
    <w:rsid w:val="008D1E92"/>
    <w:rsid w:val="008D2883"/>
    <w:rsid w:val="008E1B44"/>
    <w:rsid w:val="008E582B"/>
    <w:rsid w:val="008E6CA0"/>
    <w:rsid w:val="008E78F3"/>
    <w:rsid w:val="008F0015"/>
    <w:rsid w:val="008F2A85"/>
    <w:rsid w:val="008F54C0"/>
    <w:rsid w:val="0090180F"/>
    <w:rsid w:val="00902345"/>
    <w:rsid w:val="00904E61"/>
    <w:rsid w:val="00906F16"/>
    <w:rsid w:val="009079D4"/>
    <w:rsid w:val="0091018B"/>
    <w:rsid w:val="00910CAB"/>
    <w:rsid w:val="00916A73"/>
    <w:rsid w:val="009203A9"/>
    <w:rsid w:val="009246FC"/>
    <w:rsid w:val="00930A49"/>
    <w:rsid w:val="00933D6D"/>
    <w:rsid w:val="00937750"/>
    <w:rsid w:val="00937B97"/>
    <w:rsid w:val="00940795"/>
    <w:rsid w:val="00951CAD"/>
    <w:rsid w:val="009522D4"/>
    <w:rsid w:val="00954B1B"/>
    <w:rsid w:val="00955BDB"/>
    <w:rsid w:val="00960269"/>
    <w:rsid w:val="0096454E"/>
    <w:rsid w:val="00970FA4"/>
    <w:rsid w:val="0097415C"/>
    <w:rsid w:val="00975AEF"/>
    <w:rsid w:val="009809B9"/>
    <w:rsid w:val="00981C44"/>
    <w:rsid w:val="00983E5A"/>
    <w:rsid w:val="009852A0"/>
    <w:rsid w:val="00985A9A"/>
    <w:rsid w:val="009860D3"/>
    <w:rsid w:val="0099308B"/>
    <w:rsid w:val="009A24D6"/>
    <w:rsid w:val="009A54BD"/>
    <w:rsid w:val="009A7346"/>
    <w:rsid w:val="009B1864"/>
    <w:rsid w:val="009B1F49"/>
    <w:rsid w:val="009B479E"/>
    <w:rsid w:val="009B5269"/>
    <w:rsid w:val="009B5561"/>
    <w:rsid w:val="009C3092"/>
    <w:rsid w:val="009D0109"/>
    <w:rsid w:val="009D02C1"/>
    <w:rsid w:val="009D15F1"/>
    <w:rsid w:val="009D33F4"/>
    <w:rsid w:val="009E6013"/>
    <w:rsid w:val="009F0B0B"/>
    <w:rsid w:val="00A0004A"/>
    <w:rsid w:val="00A01D2F"/>
    <w:rsid w:val="00A034A8"/>
    <w:rsid w:val="00A04D25"/>
    <w:rsid w:val="00A060F5"/>
    <w:rsid w:val="00A0648A"/>
    <w:rsid w:val="00A0682A"/>
    <w:rsid w:val="00A070B6"/>
    <w:rsid w:val="00A10265"/>
    <w:rsid w:val="00A13971"/>
    <w:rsid w:val="00A13F88"/>
    <w:rsid w:val="00A14944"/>
    <w:rsid w:val="00A14EF9"/>
    <w:rsid w:val="00A14F49"/>
    <w:rsid w:val="00A16BED"/>
    <w:rsid w:val="00A20113"/>
    <w:rsid w:val="00A262F1"/>
    <w:rsid w:val="00A403D9"/>
    <w:rsid w:val="00A41B51"/>
    <w:rsid w:val="00A468AC"/>
    <w:rsid w:val="00A46912"/>
    <w:rsid w:val="00A548BF"/>
    <w:rsid w:val="00A54A4E"/>
    <w:rsid w:val="00A554C5"/>
    <w:rsid w:val="00A624D2"/>
    <w:rsid w:val="00A65F33"/>
    <w:rsid w:val="00A66843"/>
    <w:rsid w:val="00A679F9"/>
    <w:rsid w:val="00A72190"/>
    <w:rsid w:val="00A73082"/>
    <w:rsid w:val="00A7330B"/>
    <w:rsid w:val="00A74B76"/>
    <w:rsid w:val="00A74B95"/>
    <w:rsid w:val="00A80A79"/>
    <w:rsid w:val="00A912D5"/>
    <w:rsid w:val="00A92D2B"/>
    <w:rsid w:val="00A92D9D"/>
    <w:rsid w:val="00A94206"/>
    <w:rsid w:val="00A95CF9"/>
    <w:rsid w:val="00AB319E"/>
    <w:rsid w:val="00AC0A93"/>
    <w:rsid w:val="00AC2064"/>
    <w:rsid w:val="00AC2096"/>
    <w:rsid w:val="00AC429B"/>
    <w:rsid w:val="00AC449C"/>
    <w:rsid w:val="00AC6595"/>
    <w:rsid w:val="00AD3887"/>
    <w:rsid w:val="00AD73DC"/>
    <w:rsid w:val="00AE0F0C"/>
    <w:rsid w:val="00AE158B"/>
    <w:rsid w:val="00AE29B9"/>
    <w:rsid w:val="00AE346C"/>
    <w:rsid w:val="00AE608E"/>
    <w:rsid w:val="00AE62A0"/>
    <w:rsid w:val="00AF14F6"/>
    <w:rsid w:val="00AF6436"/>
    <w:rsid w:val="00B01284"/>
    <w:rsid w:val="00B02C45"/>
    <w:rsid w:val="00B07FBB"/>
    <w:rsid w:val="00B12139"/>
    <w:rsid w:val="00B17F49"/>
    <w:rsid w:val="00B20878"/>
    <w:rsid w:val="00B24A58"/>
    <w:rsid w:val="00B262A1"/>
    <w:rsid w:val="00B263FC"/>
    <w:rsid w:val="00B31BB3"/>
    <w:rsid w:val="00B33B09"/>
    <w:rsid w:val="00B33FF0"/>
    <w:rsid w:val="00B362AC"/>
    <w:rsid w:val="00B36855"/>
    <w:rsid w:val="00B4401B"/>
    <w:rsid w:val="00B453AC"/>
    <w:rsid w:val="00B46F42"/>
    <w:rsid w:val="00B52152"/>
    <w:rsid w:val="00B5322C"/>
    <w:rsid w:val="00B5335B"/>
    <w:rsid w:val="00B620BD"/>
    <w:rsid w:val="00B64B52"/>
    <w:rsid w:val="00B64C48"/>
    <w:rsid w:val="00B658E7"/>
    <w:rsid w:val="00B663CB"/>
    <w:rsid w:val="00B66DF2"/>
    <w:rsid w:val="00B742F1"/>
    <w:rsid w:val="00B74D7D"/>
    <w:rsid w:val="00B756EA"/>
    <w:rsid w:val="00B80979"/>
    <w:rsid w:val="00B81ECB"/>
    <w:rsid w:val="00B82C2C"/>
    <w:rsid w:val="00B87188"/>
    <w:rsid w:val="00B90020"/>
    <w:rsid w:val="00B9569D"/>
    <w:rsid w:val="00BA2EE1"/>
    <w:rsid w:val="00BA5F97"/>
    <w:rsid w:val="00BA6978"/>
    <w:rsid w:val="00BA794A"/>
    <w:rsid w:val="00BC117C"/>
    <w:rsid w:val="00BC35AC"/>
    <w:rsid w:val="00BC4A6A"/>
    <w:rsid w:val="00BC65F9"/>
    <w:rsid w:val="00BC7C76"/>
    <w:rsid w:val="00BD197D"/>
    <w:rsid w:val="00BE21ED"/>
    <w:rsid w:val="00BE7A60"/>
    <w:rsid w:val="00BE7A67"/>
    <w:rsid w:val="00BF4DB2"/>
    <w:rsid w:val="00BF4F02"/>
    <w:rsid w:val="00BF5D85"/>
    <w:rsid w:val="00C016F8"/>
    <w:rsid w:val="00C02739"/>
    <w:rsid w:val="00C14AD6"/>
    <w:rsid w:val="00C169DB"/>
    <w:rsid w:val="00C20C56"/>
    <w:rsid w:val="00C221D1"/>
    <w:rsid w:val="00C231BF"/>
    <w:rsid w:val="00C42B87"/>
    <w:rsid w:val="00C44DF0"/>
    <w:rsid w:val="00C47CEC"/>
    <w:rsid w:val="00C52F8E"/>
    <w:rsid w:val="00C53250"/>
    <w:rsid w:val="00C56145"/>
    <w:rsid w:val="00C630D3"/>
    <w:rsid w:val="00C63325"/>
    <w:rsid w:val="00C66D93"/>
    <w:rsid w:val="00C708EF"/>
    <w:rsid w:val="00C7155E"/>
    <w:rsid w:val="00C83C98"/>
    <w:rsid w:val="00C859FE"/>
    <w:rsid w:val="00C864AE"/>
    <w:rsid w:val="00C9062C"/>
    <w:rsid w:val="00C909FB"/>
    <w:rsid w:val="00C91E5C"/>
    <w:rsid w:val="00C930C6"/>
    <w:rsid w:val="00C937AF"/>
    <w:rsid w:val="00C95909"/>
    <w:rsid w:val="00CA6B55"/>
    <w:rsid w:val="00CA783B"/>
    <w:rsid w:val="00CB1B05"/>
    <w:rsid w:val="00CB325D"/>
    <w:rsid w:val="00CB799A"/>
    <w:rsid w:val="00CC0297"/>
    <w:rsid w:val="00CC083B"/>
    <w:rsid w:val="00CC1B14"/>
    <w:rsid w:val="00CC5C07"/>
    <w:rsid w:val="00CC7239"/>
    <w:rsid w:val="00CE700A"/>
    <w:rsid w:val="00CE70F8"/>
    <w:rsid w:val="00CF0211"/>
    <w:rsid w:val="00CF4036"/>
    <w:rsid w:val="00CF63EB"/>
    <w:rsid w:val="00CF7AB5"/>
    <w:rsid w:val="00D02FBC"/>
    <w:rsid w:val="00D06E11"/>
    <w:rsid w:val="00D109A4"/>
    <w:rsid w:val="00D10C5F"/>
    <w:rsid w:val="00D112BB"/>
    <w:rsid w:val="00D13061"/>
    <w:rsid w:val="00D16AD7"/>
    <w:rsid w:val="00D16D6D"/>
    <w:rsid w:val="00D23BF3"/>
    <w:rsid w:val="00D24A91"/>
    <w:rsid w:val="00D25474"/>
    <w:rsid w:val="00D33F81"/>
    <w:rsid w:val="00D40173"/>
    <w:rsid w:val="00D423D1"/>
    <w:rsid w:val="00D42D2B"/>
    <w:rsid w:val="00D44DAA"/>
    <w:rsid w:val="00D502A1"/>
    <w:rsid w:val="00D53C31"/>
    <w:rsid w:val="00D5600D"/>
    <w:rsid w:val="00D567A5"/>
    <w:rsid w:val="00D61605"/>
    <w:rsid w:val="00D67DCD"/>
    <w:rsid w:val="00D748B4"/>
    <w:rsid w:val="00D74FD7"/>
    <w:rsid w:val="00D76B56"/>
    <w:rsid w:val="00D77518"/>
    <w:rsid w:val="00D80750"/>
    <w:rsid w:val="00D83C80"/>
    <w:rsid w:val="00D83E3F"/>
    <w:rsid w:val="00D84390"/>
    <w:rsid w:val="00D865ED"/>
    <w:rsid w:val="00D90BFC"/>
    <w:rsid w:val="00D90C71"/>
    <w:rsid w:val="00D91D8F"/>
    <w:rsid w:val="00D97710"/>
    <w:rsid w:val="00DA3691"/>
    <w:rsid w:val="00DA4AFD"/>
    <w:rsid w:val="00DA5761"/>
    <w:rsid w:val="00DA6002"/>
    <w:rsid w:val="00DA64D8"/>
    <w:rsid w:val="00DB0E2D"/>
    <w:rsid w:val="00DB1345"/>
    <w:rsid w:val="00DB39D0"/>
    <w:rsid w:val="00DB52FE"/>
    <w:rsid w:val="00DB6909"/>
    <w:rsid w:val="00DC2F10"/>
    <w:rsid w:val="00DC4BAE"/>
    <w:rsid w:val="00DD2C88"/>
    <w:rsid w:val="00DD4363"/>
    <w:rsid w:val="00DD73F2"/>
    <w:rsid w:val="00DE376E"/>
    <w:rsid w:val="00DE67AC"/>
    <w:rsid w:val="00DE7CA8"/>
    <w:rsid w:val="00DF2701"/>
    <w:rsid w:val="00DF272B"/>
    <w:rsid w:val="00DF60D9"/>
    <w:rsid w:val="00DF6135"/>
    <w:rsid w:val="00DF671A"/>
    <w:rsid w:val="00DF7FB9"/>
    <w:rsid w:val="00E021F6"/>
    <w:rsid w:val="00E054F1"/>
    <w:rsid w:val="00E1536A"/>
    <w:rsid w:val="00E2055C"/>
    <w:rsid w:val="00E21D3F"/>
    <w:rsid w:val="00E23C3D"/>
    <w:rsid w:val="00E26AE4"/>
    <w:rsid w:val="00E30238"/>
    <w:rsid w:val="00E31CB2"/>
    <w:rsid w:val="00E4594D"/>
    <w:rsid w:val="00E45D3C"/>
    <w:rsid w:val="00E5269E"/>
    <w:rsid w:val="00E538FD"/>
    <w:rsid w:val="00E557FE"/>
    <w:rsid w:val="00E57F2C"/>
    <w:rsid w:val="00E71EB3"/>
    <w:rsid w:val="00E7485F"/>
    <w:rsid w:val="00E901F6"/>
    <w:rsid w:val="00E93439"/>
    <w:rsid w:val="00E93916"/>
    <w:rsid w:val="00E9394D"/>
    <w:rsid w:val="00E95185"/>
    <w:rsid w:val="00E95C4C"/>
    <w:rsid w:val="00EA0EDB"/>
    <w:rsid w:val="00EA5438"/>
    <w:rsid w:val="00EA79CA"/>
    <w:rsid w:val="00EB1495"/>
    <w:rsid w:val="00EB35BD"/>
    <w:rsid w:val="00EB3B7B"/>
    <w:rsid w:val="00EB6051"/>
    <w:rsid w:val="00EB7E10"/>
    <w:rsid w:val="00EC5243"/>
    <w:rsid w:val="00EC615B"/>
    <w:rsid w:val="00EE13AE"/>
    <w:rsid w:val="00EE1E49"/>
    <w:rsid w:val="00EE6C97"/>
    <w:rsid w:val="00EE7A80"/>
    <w:rsid w:val="00F042F4"/>
    <w:rsid w:val="00F07769"/>
    <w:rsid w:val="00F07790"/>
    <w:rsid w:val="00F116C0"/>
    <w:rsid w:val="00F312C6"/>
    <w:rsid w:val="00F3146B"/>
    <w:rsid w:val="00F50B44"/>
    <w:rsid w:val="00F525F1"/>
    <w:rsid w:val="00F61A3A"/>
    <w:rsid w:val="00F65A63"/>
    <w:rsid w:val="00F7504C"/>
    <w:rsid w:val="00F80062"/>
    <w:rsid w:val="00F85868"/>
    <w:rsid w:val="00F92FDA"/>
    <w:rsid w:val="00F932D2"/>
    <w:rsid w:val="00F933F5"/>
    <w:rsid w:val="00F945EB"/>
    <w:rsid w:val="00FA24DB"/>
    <w:rsid w:val="00FA29CB"/>
    <w:rsid w:val="00FA4F50"/>
    <w:rsid w:val="00FB236E"/>
    <w:rsid w:val="00FB6CBF"/>
    <w:rsid w:val="00FB77FF"/>
    <w:rsid w:val="00FD3FB9"/>
    <w:rsid w:val="00FE2AB9"/>
    <w:rsid w:val="00FE5B27"/>
    <w:rsid w:val="00FF0E41"/>
    <w:rsid w:val="00FF1E76"/>
    <w:rsid w:val="00FF4535"/>
    <w:rsid w:val="00FF4B20"/>
    <w:rsid w:val="00FF5E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20A9B48E"/>
  <w15:docId w15:val="{E6BF0E8F-6297-4C0F-AB20-787353B51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265277"/>
    <w:pPr>
      <w:spacing w:line="283" w:lineRule="exact"/>
    </w:pPr>
    <w:rPr>
      <w:rFonts w:ascii="Verdana" w:hAnsi="Verdana"/>
      <w:color w:val="000000"/>
      <w:sz w:val="18"/>
      <w:szCs w:val="18"/>
    </w:rPr>
  </w:style>
  <w:style w:type="paragraph" w:styleId="Kop1">
    <w:name w:val="heading 1"/>
    <w:aliases w:val="Section Heading,Hoofdstuk,hoofdstuk,sectionHeading,h1,1,Niet als kop gebruiken,(Hoofdstuk) NedMobiel"/>
    <w:basedOn w:val="Standaard"/>
    <w:next w:val="Standaard"/>
    <w:link w:val="Kop1Char"/>
    <w:uiPriority w:val="9"/>
    <w:qFormat/>
    <w:rsid w:val="008B162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aliases w:val="Reset numbering,Bijlage,h2,paragraaf,Paragraaf,k2,052,Annex Kop 2,Vet + inhoudsopg-niveau 2,Paragraaf (1.1),ips_paragraaf,Chapter Title,Paragrf 2,Bold 14,L2,Tempo Heading 2,Kapitel,Header 2,l2,Level 2 Head,H2,A,(Alt+2),H21,2,2scr,Ko"/>
    <w:basedOn w:val="Standaard"/>
    <w:next w:val="Standaard"/>
    <w:link w:val="Kop2Char"/>
    <w:uiPriority w:val="9"/>
    <w:qFormat/>
    <w:rsid w:val="007C7B39"/>
    <w:pPr>
      <w:keepNext/>
      <w:numPr>
        <w:numId w:val="8"/>
      </w:numPr>
      <w:autoSpaceDN/>
      <w:spacing w:before="240" w:after="60" w:line="240" w:lineRule="auto"/>
      <w:textAlignment w:val="auto"/>
      <w:outlineLvl w:val="1"/>
    </w:pPr>
    <w:rPr>
      <w:rFonts w:eastAsia="Times New Roman" w:cs="Arial"/>
      <w:b/>
      <w:bCs/>
      <w:iCs/>
      <w:snapToGrid w:val="0"/>
      <w:color w:val="auto"/>
      <w:sz w:val="28"/>
      <w:szCs w:val="28"/>
    </w:rPr>
  </w:style>
  <w:style w:type="paragraph" w:styleId="Kop3">
    <w:name w:val="heading 3"/>
    <w:basedOn w:val="Standaard"/>
    <w:next w:val="Standaard"/>
    <w:link w:val="Kop3Char"/>
    <w:qFormat/>
    <w:rsid w:val="007C7B39"/>
    <w:pPr>
      <w:keepNext/>
      <w:numPr>
        <w:ilvl w:val="1"/>
        <w:numId w:val="8"/>
      </w:numPr>
      <w:autoSpaceDN/>
      <w:spacing w:before="240" w:after="60" w:line="240" w:lineRule="auto"/>
      <w:textAlignment w:val="auto"/>
      <w:outlineLvl w:val="2"/>
    </w:pPr>
    <w:rPr>
      <w:rFonts w:eastAsia="Times New Roman" w:cs="Arial"/>
      <w:bCs/>
      <w:i/>
      <w:snapToGrid w:val="0"/>
      <w:color w:val="auto"/>
      <w:sz w:val="20"/>
      <w:szCs w:val="26"/>
    </w:rPr>
  </w:style>
  <w:style w:type="paragraph" w:styleId="Kop4">
    <w:name w:val="heading 4"/>
    <w:aliases w:val="Level 2 - a,Major"/>
    <w:basedOn w:val="Standaard"/>
    <w:next w:val="Standaard"/>
    <w:link w:val="Kop4Char"/>
    <w:uiPriority w:val="9"/>
    <w:qFormat/>
    <w:rsid w:val="007C7B39"/>
    <w:pPr>
      <w:keepNext/>
      <w:numPr>
        <w:ilvl w:val="2"/>
        <w:numId w:val="8"/>
      </w:numPr>
      <w:tabs>
        <w:tab w:val="clear" w:pos="3130"/>
        <w:tab w:val="num" w:pos="2280"/>
      </w:tabs>
      <w:autoSpaceDN/>
      <w:spacing w:before="240" w:after="60" w:line="240" w:lineRule="auto"/>
      <w:ind w:left="2280"/>
      <w:textAlignment w:val="auto"/>
      <w:outlineLvl w:val="3"/>
    </w:pPr>
    <w:rPr>
      <w:rFonts w:eastAsia="Times New Roman" w:cs="Times New Roman"/>
      <w:bCs/>
      <w:i/>
      <w:snapToGrid w:val="0"/>
      <w:color w:val="auto"/>
      <w:sz w:val="20"/>
      <w:szCs w:val="28"/>
    </w:rPr>
  </w:style>
  <w:style w:type="paragraph" w:styleId="Kop5">
    <w:name w:val="heading 5"/>
    <w:basedOn w:val="Standaard"/>
    <w:next w:val="Standaard"/>
    <w:link w:val="Kop5Char"/>
    <w:qFormat/>
    <w:rsid w:val="007C7B39"/>
    <w:pPr>
      <w:numPr>
        <w:ilvl w:val="3"/>
        <w:numId w:val="8"/>
      </w:numPr>
      <w:autoSpaceDN/>
      <w:spacing w:before="240" w:after="60" w:line="240" w:lineRule="auto"/>
      <w:textAlignment w:val="auto"/>
      <w:outlineLvl w:val="4"/>
    </w:pPr>
    <w:rPr>
      <w:rFonts w:eastAsia="Times New Roman" w:cs="Times New Roman"/>
      <w:bCs/>
      <w:i/>
      <w:iCs/>
      <w:snapToGrid w:val="0"/>
      <w:color w:val="auto"/>
      <w:sz w:val="20"/>
      <w:szCs w:val="26"/>
    </w:rPr>
  </w:style>
  <w:style w:type="paragraph" w:styleId="Kop6">
    <w:name w:val="heading 6"/>
    <w:basedOn w:val="Standaard"/>
    <w:next w:val="Standaard"/>
    <w:link w:val="Kop6Char"/>
    <w:qFormat/>
    <w:rsid w:val="007C7B39"/>
    <w:pPr>
      <w:numPr>
        <w:ilvl w:val="5"/>
        <w:numId w:val="8"/>
      </w:numPr>
      <w:autoSpaceDN/>
      <w:spacing w:before="240" w:after="60" w:line="240" w:lineRule="auto"/>
      <w:textAlignment w:val="auto"/>
      <w:outlineLvl w:val="5"/>
    </w:pPr>
    <w:rPr>
      <w:rFonts w:ascii="Times New Roman" w:eastAsia="Times New Roman" w:hAnsi="Times New Roman" w:cs="Times New Roman"/>
      <w:b/>
      <w:bCs/>
      <w:snapToGrid w:val="0"/>
      <w:color w:val="auto"/>
      <w:sz w:val="22"/>
      <w:szCs w:val="22"/>
    </w:rPr>
  </w:style>
  <w:style w:type="paragraph" w:styleId="Kop7">
    <w:name w:val="heading 7"/>
    <w:basedOn w:val="Standaard"/>
    <w:next w:val="Standaard"/>
    <w:link w:val="Kop7Char"/>
    <w:qFormat/>
    <w:rsid w:val="007C7B39"/>
    <w:pPr>
      <w:numPr>
        <w:ilvl w:val="6"/>
        <w:numId w:val="8"/>
      </w:numPr>
      <w:autoSpaceDN/>
      <w:spacing w:before="240" w:after="60" w:line="240" w:lineRule="auto"/>
      <w:textAlignment w:val="auto"/>
      <w:outlineLvl w:val="6"/>
    </w:pPr>
    <w:rPr>
      <w:rFonts w:ascii="Times New Roman" w:eastAsia="Times New Roman" w:hAnsi="Times New Roman" w:cs="Times New Roman"/>
      <w:snapToGrid w:val="0"/>
      <w:color w:val="auto"/>
      <w:sz w:val="24"/>
    </w:rPr>
  </w:style>
  <w:style w:type="paragraph" w:styleId="Kop8">
    <w:name w:val="heading 8"/>
    <w:basedOn w:val="Standaard"/>
    <w:next w:val="Standaard"/>
    <w:link w:val="Kop8Char"/>
    <w:qFormat/>
    <w:rsid w:val="007C7B39"/>
    <w:pPr>
      <w:numPr>
        <w:ilvl w:val="7"/>
        <w:numId w:val="8"/>
      </w:numPr>
      <w:autoSpaceDN/>
      <w:spacing w:before="240" w:after="60" w:line="240" w:lineRule="auto"/>
      <w:textAlignment w:val="auto"/>
      <w:outlineLvl w:val="7"/>
    </w:pPr>
    <w:rPr>
      <w:rFonts w:ascii="Times New Roman" w:eastAsia="Times New Roman" w:hAnsi="Times New Roman" w:cs="Times New Roman"/>
      <w:i/>
      <w:iCs/>
      <w:snapToGrid w:val="0"/>
      <w:color w:val="auto"/>
      <w:sz w:val="24"/>
    </w:rPr>
  </w:style>
  <w:style w:type="paragraph" w:styleId="Kop9">
    <w:name w:val="heading 9"/>
    <w:basedOn w:val="Standaard"/>
    <w:next w:val="Standaard"/>
    <w:link w:val="Kop9Char"/>
    <w:qFormat/>
    <w:rsid w:val="007C7B39"/>
    <w:pPr>
      <w:numPr>
        <w:ilvl w:val="8"/>
        <w:numId w:val="8"/>
      </w:numPr>
      <w:autoSpaceDN/>
      <w:spacing w:before="240" w:after="60" w:line="240" w:lineRule="auto"/>
      <w:textAlignment w:val="auto"/>
      <w:outlineLvl w:val="8"/>
    </w:pPr>
    <w:rPr>
      <w:rFonts w:ascii="Arial" w:eastAsia="Times New Roman" w:hAnsi="Arial" w:cs="Arial"/>
      <w:snapToGrid w:val="0"/>
      <w:color w:val="auto"/>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MarginlessContainer">
    <w:name w:val="Marginless Container"/>
    <w:hidden/>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numbering" w:customStyle="1" w:styleId="Agendapuntennummering">
    <w:name w:val="Agendapunten_nummering"/>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uiPriority w:val="39"/>
  </w:style>
  <w:style w:type="paragraph" w:styleId="Inhopg2">
    <w:name w:val="toc 2"/>
    <w:basedOn w:val="Standaard"/>
    <w:next w:val="Standaard"/>
    <w:uiPriority w:val="39"/>
  </w:style>
  <w:style w:type="paragraph" w:styleId="Inhopg3">
    <w:name w:val="toc 3"/>
    <w:basedOn w:val="Standaard"/>
    <w:next w:val="Standaard"/>
    <w:uiPriority w:val="39"/>
  </w:style>
  <w:style w:type="paragraph" w:styleId="Inhopg4">
    <w:name w:val="toc 4"/>
    <w:basedOn w:val="Standaard"/>
    <w:next w:val="Standaard"/>
  </w:style>
  <w:style w:type="paragraph" w:styleId="Inhopg5">
    <w:name w:val="toc 5"/>
    <w:next w:val="Standaard"/>
  </w:style>
  <w:style w:type="paragraph" w:styleId="Inhopg6">
    <w:name w:val="toc 6"/>
    <w:next w:val="Standaard"/>
  </w:style>
  <w:style w:type="paragraph" w:styleId="Inhopg7">
    <w:name w:val="toc 7"/>
    <w:next w:val="Standaard"/>
  </w:style>
  <w:style w:type="paragraph" w:styleId="Inhopg8">
    <w:name w:val="toc 8"/>
    <w:next w:val="Standaard"/>
  </w:style>
  <w:style w:type="paragraph" w:styleId="Inhopg9">
    <w:name w:val="toc 9"/>
    <w:next w:val="Standaard"/>
  </w:style>
  <w:style w:type="paragraph" w:customStyle="1" w:styleId="Lijstniveau1">
    <w:name w:val="Lijst niveau 1"/>
    <w:basedOn w:val="Standaard"/>
    <w:next w:val="Standaard"/>
    <w:pPr>
      <w:pageBreakBefore/>
      <w:numPr>
        <w:numId w:val="6"/>
      </w:numPr>
      <w:ind w:left="680" w:firstLine="0"/>
    </w:pPr>
    <w:rPr>
      <w:b/>
    </w:rPr>
  </w:style>
  <w:style w:type="paragraph" w:customStyle="1" w:styleId="Lijstniveau2">
    <w:name w:val="Lijst niveau 2"/>
    <w:basedOn w:val="Standaard"/>
    <w:next w:val="Standaard"/>
    <w:pPr>
      <w:numPr>
        <w:ilvl w:val="1"/>
        <w:numId w:val="6"/>
      </w:numPr>
      <w:ind w:left="680" w:firstLine="0"/>
    </w:pPr>
    <w:rPr>
      <w:b/>
    </w:rPr>
  </w:style>
  <w:style w:type="paragraph" w:customStyle="1" w:styleId="Lijstniveau3">
    <w:name w:val="Lijst niveau 3"/>
    <w:basedOn w:val="Standaard"/>
    <w:next w:val="Standaard"/>
    <w:pPr>
      <w:numPr>
        <w:ilvl w:val="2"/>
        <w:numId w:val="6"/>
      </w:numPr>
      <w:ind w:left="680" w:firstLine="0"/>
    </w:pPr>
    <w:rPr>
      <w:b/>
    </w:rPr>
  </w:style>
  <w:style w:type="numbering" w:customStyle="1" w:styleId="NotitieCommissie-Nummering">
    <w:name w:val="Notitie Commissie - Nummering"/>
  </w:style>
  <w:style w:type="paragraph" w:customStyle="1" w:styleId="NotitieCommissieTitel">
    <w:name w:val="Notitie Commissie Titel"/>
    <w:basedOn w:val="Standaard"/>
    <w:next w:val="Standaard"/>
    <w:pPr>
      <w:shd w:val="clear" w:color="auto" w:fill="FFFFFF"/>
      <w:spacing w:after="480"/>
    </w:pPr>
    <w:rPr>
      <w:b/>
      <w:sz w:val="24"/>
      <w:szCs w:val="24"/>
    </w:rPr>
  </w:style>
  <w:style w:type="paragraph" w:customStyle="1" w:styleId="NotitieKop1">
    <w:name w:val="Notitie Kop 1"/>
    <w:basedOn w:val="Standaard"/>
    <w:next w:val="Standaard"/>
    <w:uiPriority w:val="1"/>
    <w:qFormat/>
    <w:pPr>
      <w:numPr>
        <w:numId w:val="3"/>
      </w:numPr>
      <w:spacing w:before="220" w:after="220" w:line="240" w:lineRule="exact"/>
    </w:pPr>
    <w:rPr>
      <w:b/>
    </w:rPr>
  </w:style>
  <w:style w:type="paragraph" w:customStyle="1" w:styleId="NotitieKop2">
    <w:name w:val="Notitie Kop 2"/>
    <w:basedOn w:val="Standaard"/>
    <w:next w:val="Standaard"/>
    <w:uiPriority w:val="1"/>
    <w:qFormat/>
    <w:pPr>
      <w:numPr>
        <w:ilvl w:val="1"/>
        <w:numId w:val="3"/>
      </w:numPr>
      <w:spacing w:before="220" w:line="240" w:lineRule="exact"/>
    </w:pPr>
    <w:rPr>
      <w:b/>
    </w:rPr>
  </w:style>
  <w:style w:type="paragraph" w:customStyle="1" w:styleId="NotitieKop3">
    <w:name w:val="Notitie Kop 3"/>
    <w:basedOn w:val="Standaard"/>
    <w:next w:val="Standaard"/>
    <w:uiPriority w:val="2"/>
    <w:qFormat/>
    <w:pPr>
      <w:numPr>
        <w:ilvl w:val="2"/>
        <w:numId w:val="3"/>
      </w:numPr>
      <w:spacing w:before="220" w:after="220" w:line="240" w:lineRule="exact"/>
    </w:pPr>
    <w:rPr>
      <w:b/>
    </w:rPr>
  </w:style>
  <w:style w:type="numbering" w:customStyle="1" w:styleId="Notitie-Nummering">
    <w:name w:val="Notitie-Nummering"/>
  </w:style>
  <w:style w:type="paragraph" w:customStyle="1" w:styleId="Notitiekopongenummerd">
    <w:name w:val="Notitiekop ongenummerd"/>
    <w:basedOn w:val="Standaard"/>
    <w:next w:val="Standaard"/>
    <w:pPr>
      <w:spacing w:before="220" w:after="220" w:line="240" w:lineRule="exact"/>
    </w:pPr>
    <w:rPr>
      <w:b/>
    </w:rPr>
  </w:style>
  <w:style w:type="numbering" w:customStyle="1" w:styleId="Nummeringagendapunt">
    <w:name w:val="Nummering agendapunt"/>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numbering" w:customStyle="1" w:styleId="OnderzoeksrapportKoppen">
    <w:name w:val="Onderzoeksrapport Koppen"/>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aginaeinde">
    <w:name w:val="Paginaeinde"/>
    <w:basedOn w:val="Standaard"/>
    <w:next w:val="Standaard"/>
    <w:pPr>
      <w:pageBreakBefore/>
      <w:spacing w:line="20" w:lineRule="atLeast"/>
    </w:pPr>
    <w:rPr>
      <w:color w:val="FFFFFF"/>
      <w:sz w:val="2"/>
      <w:szCs w:val="2"/>
    </w:rPr>
  </w:style>
  <w:style w:type="paragraph" w:customStyle="1" w:styleId="Presidium10ptkoppenvet">
    <w:name w:val="Presidium 10pt koppen vet"/>
    <w:basedOn w:val="Standaard"/>
    <w:next w:val="Standaard"/>
    <w:pPr>
      <w:numPr>
        <w:numId w:val="5"/>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numbering" w:customStyle="1" w:styleId="PresidiumItemnummering">
    <w:name w:val="Presidium Itemnummering"/>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4"/>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4"/>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4"/>
      </w:numPr>
      <w:tabs>
        <w:tab w:val="left" w:pos="453"/>
      </w:tabs>
      <w:spacing w:before="220" w:after="220" w:line="240" w:lineRule="exact"/>
      <w:ind w:left="640"/>
    </w:pPr>
    <w:rPr>
      <w:b/>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fnotitiekop1">
    <w:name w:val="Stafnotitie kop 1"/>
    <w:basedOn w:val="Standaard"/>
    <w:next w:val="Standaard"/>
    <w:pPr>
      <w:numPr>
        <w:numId w:val="2"/>
      </w:numPr>
      <w:spacing w:before="220" w:after="220" w:line="240" w:lineRule="exact"/>
    </w:pPr>
    <w:rPr>
      <w:b/>
    </w:rPr>
  </w:style>
  <w:style w:type="paragraph" w:customStyle="1" w:styleId="Stafnotitiekop2">
    <w:name w:val="Stafnotitie kop 2"/>
    <w:basedOn w:val="Standaard"/>
    <w:next w:val="Standaard"/>
    <w:pPr>
      <w:numPr>
        <w:ilvl w:val="1"/>
        <w:numId w:val="2"/>
      </w:numPr>
      <w:spacing w:before="220" w:line="240" w:lineRule="exact"/>
    </w:pPr>
    <w:rPr>
      <w:b/>
    </w:rPr>
  </w:style>
  <w:style w:type="paragraph" w:customStyle="1" w:styleId="Stafnotitiekop3">
    <w:name w:val="Stafnotitie kop 3"/>
    <w:basedOn w:val="Standaard"/>
    <w:next w:val="Standaard"/>
    <w:pPr>
      <w:numPr>
        <w:ilvl w:val="2"/>
        <w:numId w:val="2"/>
      </w:numPr>
      <w:spacing w:before="220" w:after="220" w:line="240" w:lineRule="exact"/>
    </w:pPr>
    <w:rPr>
      <w:b/>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numbering" w:customStyle="1" w:styleId="Standaardlijst">
    <w:name w:val="Standaardlijst"/>
  </w:style>
  <w:style w:type="paragraph" w:customStyle="1" w:styleId="StandaardtekstPresidium">
    <w:name w:val="Standaardtekst Presidium"/>
    <w:basedOn w:val="Standaard"/>
    <w:next w:val="Standaard"/>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table" w:customStyle="1" w:styleId="Tekstkader">
    <w:name w:val="Tekstkader"/>
    <w:rPr>
      <w:sz w:val="18"/>
      <w:szCs w:val="18"/>
    </w:rPr>
    <w:tblPr>
      <w:tblBorders>
        <w:top w:val="single" w:sz="4" w:space="0" w:color="080808"/>
        <w:left w:val="single" w:sz="4" w:space="0" w:color="080808"/>
        <w:bottom w:val="single" w:sz="4" w:space="0" w:color="080808"/>
        <w:right w:val="single" w:sz="4" w:space="0" w:color="080808"/>
        <w:insideH w:val="single" w:sz="4" w:space="0" w:color="080808"/>
        <w:insideV w:val="single" w:sz="4" w:space="0" w:color="080808"/>
      </w:tblBorders>
      <w:tblCellMar>
        <w:top w:w="0" w:type="dxa"/>
        <w:left w:w="0" w:type="dxa"/>
        <w:bottom w:w="0" w:type="dxa"/>
        <w:right w:w="0" w:type="dxa"/>
      </w:tblCellMar>
    </w:tblPr>
    <w:tcPr>
      <w:shd w:val="clear" w:color="auto" w:fill="FFFFFF"/>
    </w:tcPr>
  </w:style>
  <w:style w:type="paragraph" w:customStyle="1" w:styleId="Verslagkop">
    <w:name w:val="Verslag_kop"/>
    <w:basedOn w:val="Standaard"/>
    <w:next w:val="Standaard"/>
    <w:pPr>
      <w:spacing w:after="200"/>
    </w:pPr>
    <w:rPr>
      <w:b/>
    </w:rPr>
  </w:style>
  <w:style w:type="numbering" w:customStyle="1" w:styleId="Verslagnummering">
    <w:name w:val="Verslag_nummering"/>
  </w:style>
  <w:style w:type="paragraph" w:customStyle="1" w:styleId="Verslagpunten">
    <w:name w:val="Verslagpunten"/>
    <w:basedOn w:val="Standaard"/>
    <w:pPr>
      <w:numPr>
        <w:numId w:val="7"/>
      </w:numPr>
      <w:tabs>
        <w:tab w:val="left" w:pos="396"/>
      </w:tabs>
      <w:spacing w:before="240" w:after="240"/>
    </w:pPr>
  </w:style>
  <w:style w:type="paragraph" w:styleId="Voetnoottekst">
    <w:name w:val="footnote text"/>
    <w:basedOn w:val="Standaard"/>
    <w:next w:val="Standaard"/>
    <w:link w:val="VoetnoottekstChar"/>
    <w:uiPriority w:val="99"/>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character" w:styleId="Verwijzingopmerking">
    <w:name w:val="annotation reference"/>
    <w:basedOn w:val="Standaardalinea-lettertype"/>
    <w:uiPriority w:val="99"/>
    <w:rsid w:val="00435B12"/>
    <w:rPr>
      <w:sz w:val="16"/>
      <w:szCs w:val="16"/>
    </w:rPr>
  </w:style>
  <w:style w:type="paragraph" w:styleId="Tekstopmerking">
    <w:name w:val="annotation text"/>
    <w:basedOn w:val="Standaard"/>
    <w:link w:val="TekstopmerkingChar"/>
    <w:semiHidden/>
    <w:rsid w:val="00435B12"/>
    <w:pPr>
      <w:autoSpaceDN/>
      <w:spacing w:line="240" w:lineRule="auto"/>
      <w:textAlignment w:val="auto"/>
    </w:pPr>
    <w:rPr>
      <w:rFonts w:eastAsia="Times New Roman" w:cs="Times New Roman"/>
      <w:snapToGrid w:val="0"/>
      <w:color w:val="auto"/>
      <w:sz w:val="20"/>
      <w:szCs w:val="20"/>
    </w:rPr>
  </w:style>
  <w:style w:type="character" w:customStyle="1" w:styleId="TekstopmerkingChar">
    <w:name w:val="Tekst opmerking Char"/>
    <w:basedOn w:val="Standaardalinea-lettertype"/>
    <w:link w:val="Tekstopmerking"/>
    <w:semiHidden/>
    <w:rsid w:val="00435B12"/>
    <w:rPr>
      <w:rFonts w:ascii="Verdana" w:eastAsia="Times New Roman" w:hAnsi="Verdana" w:cs="Times New Roman"/>
      <w:snapToGrid w:val="0"/>
    </w:rPr>
  </w:style>
  <w:style w:type="character" w:styleId="Tekstvantijdelijkeaanduiding">
    <w:name w:val="Placeholder Text"/>
    <w:basedOn w:val="Standaardalinea-lettertype"/>
    <w:uiPriority w:val="99"/>
    <w:semiHidden/>
    <w:rsid w:val="00435B12"/>
    <w:rPr>
      <w:color w:val="808080"/>
    </w:rPr>
  </w:style>
  <w:style w:type="paragraph" w:styleId="Ballontekst">
    <w:name w:val="Balloon Text"/>
    <w:basedOn w:val="Standaard"/>
    <w:link w:val="BallontekstChar"/>
    <w:uiPriority w:val="99"/>
    <w:semiHidden/>
    <w:unhideWhenUsed/>
    <w:rsid w:val="00435B12"/>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435B12"/>
    <w:rPr>
      <w:rFonts w:ascii="Segoe UI" w:hAnsi="Segoe UI" w:cs="Segoe UI"/>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435B12"/>
    <w:pPr>
      <w:autoSpaceDN w:val="0"/>
      <w:textAlignment w:val="baseline"/>
    </w:pPr>
    <w:rPr>
      <w:rFonts w:eastAsia="DejaVu Sans" w:cs="Lohit Hindi"/>
      <w:b/>
      <w:bCs/>
      <w:snapToGrid/>
      <w:color w:val="000000"/>
    </w:rPr>
  </w:style>
  <w:style w:type="character" w:customStyle="1" w:styleId="OnderwerpvanopmerkingChar">
    <w:name w:val="Onderwerp van opmerking Char"/>
    <w:basedOn w:val="TekstopmerkingChar"/>
    <w:link w:val="Onderwerpvanopmerking"/>
    <w:uiPriority w:val="99"/>
    <w:semiHidden/>
    <w:rsid w:val="00435B12"/>
    <w:rPr>
      <w:rFonts w:ascii="Verdana" w:eastAsia="Times New Roman" w:hAnsi="Verdana" w:cs="Times New Roman"/>
      <w:b/>
      <w:bCs/>
      <w:snapToGrid/>
      <w:color w:val="000000"/>
    </w:rPr>
  </w:style>
  <w:style w:type="paragraph" w:styleId="Lijstalinea">
    <w:name w:val="List Paragraph"/>
    <w:aliases w:val="Premier,Titre 10,texte,F5 List Paragraph,Indent Paragraph,Citation List,Liste Article,References,Bullets,Medium Grid 1 - Accent 21,Recommendation,List Paragraph1,List Paragraph11,Paragraph,séga,Lijstalinea1,Figura,Lista 1,Bullet list,Kop 1.1"/>
    <w:basedOn w:val="Standaard"/>
    <w:link w:val="LijstalineaChar"/>
    <w:uiPriority w:val="34"/>
    <w:qFormat/>
    <w:rsid w:val="00B52152"/>
    <w:pPr>
      <w:autoSpaceDN/>
      <w:spacing w:line="240" w:lineRule="auto"/>
      <w:ind w:left="720"/>
      <w:textAlignment w:val="auto"/>
    </w:pPr>
    <w:rPr>
      <w:rFonts w:ascii="Calibri" w:eastAsia="Calibri" w:hAnsi="Calibri" w:cs="Calibri"/>
      <w:color w:val="auto"/>
      <w:sz w:val="22"/>
      <w:szCs w:val="22"/>
    </w:rPr>
  </w:style>
  <w:style w:type="character" w:customStyle="1" w:styleId="LijstalineaChar">
    <w:name w:val="Lijstalinea Char"/>
    <w:aliases w:val="Premier Char,Titre 10 Char,texte Char,F5 List Paragraph Char,Indent Paragraph Char,Citation List Char,Liste Article Char,References Char,Bullets Char,Medium Grid 1 - Accent 21 Char,Recommendation Char,List Paragraph1 Char,Paragraph Char"/>
    <w:basedOn w:val="Standaardalinea-lettertype"/>
    <w:link w:val="Lijstalinea"/>
    <w:uiPriority w:val="34"/>
    <w:locked/>
    <w:rsid w:val="00B52152"/>
    <w:rPr>
      <w:rFonts w:ascii="Calibri" w:eastAsia="Calibri" w:hAnsi="Calibri" w:cs="Calibri"/>
      <w:sz w:val="22"/>
      <w:szCs w:val="22"/>
    </w:rPr>
  </w:style>
  <w:style w:type="character" w:customStyle="1" w:styleId="Kop2Char">
    <w:name w:val="Kop 2 Char"/>
    <w:aliases w:val="Reset numbering Char,Bijlage Char,h2 Char,paragraaf Char,Paragraaf Char,k2 Char,052 Char,Annex Kop 2 Char,Vet + inhoudsopg-niveau 2 Char,Paragraaf (1.1) Char,ips_paragraaf Char,Chapter Title Char,Paragrf 2 Char,Bold 14 Char,L2 Char,l2 Char"/>
    <w:basedOn w:val="Standaardalinea-lettertype"/>
    <w:link w:val="Kop2"/>
    <w:rsid w:val="007C7B39"/>
    <w:rPr>
      <w:rFonts w:ascii="Verdana" w:eastAsia="Times New Roman" w:hAnsi="Verdana" w:cs="Arial"/>
      <w:b/>
      <w:bCs/>
      <w:iCs/>
      <w:snapToGrid w:val="0"/>
      <w:sz w:val="28"/>
      <w:szCs w:val="28"/>
    </w:rPr>
  </w:style>
  <w:style w:type="character" w:customStyle="1" w:styleId="Kop3Char">
    <w:name w:val="Kop 3 Char"/>
    <w:basedOn w:val="Standaardalinea-lettertype"/>
    <w:link w:val="Kop3"/>
    <w:rsid w:val="007C7B39"/>
    <w:rPr>
      <w:rFonts w:ascii="Verdana" w:eastAsia="Times New Roman" w:hAnsi="Verdana" w:cs="Arial"/>
      <w:bCs/>
      <w:i/>
      <w:snapToGrid w:val="0"/>
      <w:szCs w:val="26"/>
    </w:rPr>
  </w:style>
  <w:style w:type="character" w:customStyle="1" w:styleId="Kop4Char">
    <w:name w:val="Kop 4 Char"/>
    <w:aliases w:val="Level 2 - a Char,Major Char"/>
    <w:basedOn w:val="Standaardalinea-lettertype"/>
    <w:link w:val="Kop4"/>
    <w:rsid w:val="007C7B39"/>
    <w:rPr>
      <w:rFonts w:ascii="Verdana" w:eastAsia="Times New Roman" w:hAnsi="Verdana" w:cs="Times New Roman"/>
      <w:bCs/>
      <w:i/>
      <w:snapToGrid w:val="0"/>
      <w:szCs w:val="28"/>
    </w:rPr>
  </w:style>
  <w:style w:type="character" w:customStyle="1" w:styleId="Kop5Char">
    <w:name w:val="Kop 5 Char"/>
    <w:basedOn w:val="Standaardalinea-lettertype"/>
    <w:link w:val="Kop5"/>
    <w:rsid w:val="007C7B39"/>
    <w:rPr>
      <w:rFonts w:ascii="Verdana" w:eastAsia="Times New Roman" w:hAnsi="Verdana" w:cs="Times New Roman"/>
      <w:bCs/>
      <w:i/>
      <w:iCs/>
      <w:snapToGrid w:val="0"/>
      <w:szCs w:val="26"/>
    </w:rPr>
  </w:style>
  <w:style w:type="character" w:customStyle="1" w:styleId="Kop6Char">
    <w:name w:val="Kop 6 Char"/>
    <w:basedOn w:val="Standaardalinea-lettertype"/>
    <w:link w:val="Kop6"/>
    <w:rsid w:val="007C7B39"/>
    <w:rPr>
      <w:rFonts w:eastAsia="Times New Roman" w:cs="Times New Roman"/>
      <w:b/>
      <w:bCs/>
      <w:snapToGrid w:val="0"/>
      <w:sz w:val="22"/>
      <w:szCs w:val="22"/>
    </w:rPr>
  </w:style>
  <w:style w:type="character" w:customStyle="1" w:styleId="Kop7Char">
    <w:name w:val="Kop 7 Char"/>
    <w:basedOn w:val="Standaardalinea-lettertype"/>
    <w:link w:val="Kop7"/>
    <w:rsid w:val="007C7B39"/>
    <w:rPr>
      <w:rFonts w:eastAsia="Times New Roman" w:cs="Times New Roman"/>
      <w:snapToGrid w:val="0"/>
      <w:sz w:val="24"/>
      <w:szCs w:val="18"/>
    </w:rPr>
  </w:style>
  <w:style w:type="character" w:customStyle="1" w:styleId="Kop8Char">
    <w:name w:val="Kop 8 Char"/>
    <w:basedOn w:val="Standaardalinea-lettertype"/>
    <w:link w:val="Kop8"/>
    <w:rsid w:val="007C7B39"/>
    <w:rPr>
      <w:rFonts w:eastAsia="Times New Roman" w:cs="Times New Roman"/>
      <w:i/>
      <w:iCs/>
      <w:snapToGrid w:val="0"/>
      <w:sz w:val="24"/>
      <w:szCs w:val="18"/>
    </w:rPr>
  </w:style>
  <w:style w:type="character" w:customStyle="1" w:styleId="Kop9Char">
    <w:name w:val="Kop 9 Char"/>
    <w:basedOn w:val="Standaardalinea-lettertype"/>
    <w:link w:val="Kop9"/>
    <w:rsid w:val="007C7B39"/>
    <w:rPr>
      <w:rFonts w:ascii="Arial" w:eastAsia="Times New Roman" w:hAnsi="Arial" w:cs="Arial"/>
      <w:snapToGrid w:val="0"/>
      <w:sz w:val="22"/>
      <w:szCs w:val="22"/>
    </w:rPr>
  </w:style>
  <w:style w:type="paragraph" w:customStyle="1" w:styleId="Default">
    <w:name w:val="Default"/>
    <w:rsid w:val="007C7B39"/>
    <w:pPr>
      <w:autoSpaceDE w:val="0"/>
      <w:adjustRightInd w:val="0"/>
      <w:textAlignment w:val="auto"/>
    </w:pPr>
    <w:rPr>
      <w:rFonts w:ascii="Arial" w:eastAsia="Times New Roman" w:hAnsi="Arial" w:cs="Arial"/>
      <w:color w:val="000000"/>
      <w:sz w:val="24"/>
      <w:szCs w:val="24"/>
    </w:rPr>
  </w:style>
  <w:style w:type="paragraph" w:styleId="Koptekst">
    <w:name w:val="header"/>
    <w:basedOn w:val="Standaard"/>
    <w:link w:val="KoptekstChar"/>
    <w:uiPriority w:val="99"/>
    <w:unhideWhenUsed/>
    <w:rsid w:val="0071792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1792E"/>
    <w:rPr>
      <w:rFonts w:ascii="Verdana" w:hAnsi="Verdana"/>
      <w:color w:val="000000"/>
      <w:sz w:val="18"/>
      <w:szCs w:val="18"/>
    </w:rPr>
  </w:style>
  <w:style w:type="paragraph" w:styleId="Voettekst">
    <w:name w:val="footer"/>
    <w:basedOn w:val="Standaard"/>
    <w:link w:val="VoettekstChar"/>
    <w:uiPriority w:val="99"/>
    <w:unhideWhenUsed/>
    <w:rsid w:val="0071792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1792E"/>
    <w:rPr>
      <w:rFonts w:ascii="Verdana" w:hAnsi="Verdana"/>
      <w:color w:val="000000"/>
      <w:sz w:val="18"/>
      <w:szCs w:val="18"/>
    </w:rPr>
  </w:style>
  <w:style w:type="character" w:styleId="Nadruk">
    <w:name w:val="Emphasis"/>
    <w:basedOn w:val="Standaardalinea-lettertype"/>
    <w:qFormat/>
    <w:rsid w:val="0071792E"/>
    <w:rPr>
      <w:i/>
      <w:iCs/>
    </w:rPr>
  </w:style>
  <w:style w:type="table" w:styleId="Tabelraster">
    <w:name w:val="Table Grid"/>
    <w:basedOn w:val="Standaardtabel"/>
    <w:uiPriority w:val="39"/>
    <w:rsid w:val="00717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noottekstChar">
    <w:name w:val="Voetnoottekst Char"/>
    <w:basedOn w:val="Standaardalinea-lettertype"/>
    <w:link w:val="Voetnoottekst"/>
    <w:uiPriority w:val="99"/>
    <w:rsid w:val="00062831"/>
    <w:rPr>
      <w:rFonts w:ascii="Verdana" w:hAnsi="Verdana"/>
      <w:color w:val="000000"/>
      <w:sz w:val="13"/>
      <w:szCs w:val="13"/>
    </w:rPr>
  </w:style>
  <w:style w:type="character" w:styleId="Voetnootmarkering">
    <w:name w:val="footnote reference"/>
    <w:basedOn w:val="Standaardalinea-lettertype"/>
    <w:uiPriority w:val="99"/>
    <w:semiHidden/>
    <w:rsid w:val="00062831"/>
    <w:rPr>
      <w:vertAlign w:val="superscript"/>
    </w:rPr>
  </w:style>
  <w:style w:type="paragraph" w:styleId="Geenafstand">
    <w:name w:val="No Spacing"/>
    <w:uiPriority w:val="1"/>
    <w:qFormat/>
    <w:rsid w:val="00062831"/>
    <w:pPr>
      <w:autoSpaceDN/>
      <w:textAlignment w:val="auto"/>
    </w:pPr>
    <w:rPr>
      <w:rFonts w:asciiTheme="minorHAnsi" w:eastAsiaTheme="minorHAnsi" w:hAnsiTheme="minorHAnsi" w:cstheme="minorBidi"/>
      <w:sz w:val="22"/>
      <w:szCs w:val="22"/>
      <w:lang w:eastAsia="en-US"/>
    </w:rPr>
  </w:style>
  <w:style w:type="character" w:customStyle="1" w:styleId="Kop1Char">
    <w:name w:val="Kop 1 Char"/>
    <w:aliases w:val="Section Heading Char,Hoofdstuk Char,hoofdstuk Char,sectionHeading Char,h1 Char,1 Char,Niet als kop gebruiken Char,(Hoofdstuk) NedMobiel Char"/>
    <w:basedOn w:val="Standaardalinea-lettertype"/>
    <w:link w:val="Kop1"/>
    <w:uiPriority w:val="99"/>
    <w:rsid w:val="008B162A"/>
    <w:rPr>
      <w:rFonts w:asciiTheme="majorHAnsi" w:eastAsiaTheme="majorEastAsia" w:hAnsiTheme="majorHAnsi" w:cstheme="majorBidi"/>
      <w:color w:val="2E74B5" w:themeColor="accent1" w:themeShade="BF"/>
      <w:sz w:val="32"/>
      <w:szCs w:val="32"/>
    </w:rPr>
  </w:style>
  <w:style w:type="paragraph" w:styleId="Revisie">
    <w:name w:val="Revision"/>
    <w:hidden/>
    <w:uiPriority w:val="99"/>
    <w:semiHidden/>
    <w:rsid w:val="0030603F"/>
    <w:pPr>
      <w:autoSpaceDN/>
      <w:textAlignment w:val="auto"/>
    </w:pPr>
    <w:rPr>
      <w:rFonts w:ascii="Verdana" w:hAnsi="Verdana"/>
      <w:color w:val="000000"/>
      <w:sz w:val="18"/>
      <w:szCs w:val="18"/>
    </w:rPr>
  </w:style>
  <w:style w:type="paragraph" w:customStyle="1" w:styleId="Huisstijl-Hoofdstuk">
    <w:name w:val="Huisstijl - Hoofdstuk"/>
    <w:basedOn w:val="Standaard"/>
    <w:next w:val="Standaard"/>
    <w:qFormat/>
    <w:rsid w:val="00A14F49"/>
    <w:pPr>
      <w:pageBreakBefore/>
      <w:widowControl w:val="0"/>
      <w:numPr>
        <w:numId w:val="47"/>
      </w:numPr>
      <w:tabs>
        <w:tab w:val="left" w:pos="0"/>
      </w:tabs>
      <w:suppressAutoHyphens/>
      <w:spacing w:after="220" w:line="284" w:lineRule="exact"/>
      <w:outlineLvl w:val="0"/>
    </w:pPr>
    <w:rPr>
      <w:b/>
      <w:color w:val="auto"/>
      <w:kern w:val="3"/>
      <w:szCs w:val="24"/>
      <w:lang w:eastAsia="zh-CN" w:bidi="hi-IN"/>
    </w:rPr>
  </w:style>
  <w:style w:type="paragraph" w:customStyle="1" w:styleId="Huisstijl-Paragraaf">
    <w:name w:val="Huisstijl - Paragraaf"/>
    <w:basedOn w:val="Huisstijl-Hoofdstuk"/>
    <w:next w:val="Standaard"/>
    <w:qFormat/>
    <w:rsid w:val="00A14F49"/>
    <w:pPr>
      <w:pageBreakBefore w:val="0"/>
      <w:numPr>
        <w:ilvl w:val="1"/>
      </w:numPr>
      <w:spacing w:before="280" w:after="0"/>
      <w:outlineLvl w:val="1"/>
    </w:pPr>
    <w:rPr>
      <w:b w:val="0"/>
      <w:i/>
    </w:rPr>
  </w:style>
  <w:style w:type="paragraph" w:customStyle="1" w:styleId="Huisstijl-Subparagraaf">
    <w:name w:val="Huisstijl - Subparagraaf"/>
    <w:basedOn w:val="Huisstijl-Paragraaf"/>
    <w:next w:val="Standaard"/>
    <w:qFormat/>
    <w:rsid w:val="00A14F49"/>
    <w:pPr>
      <w:numPr>
        <w:ilvl w:val="2"/>
      </w:numPr>
      <w:tabs>
        <w:tab w:val="clear" w:pos="0"/>
      </w:tabs>
      <w:outlineLvl w:val="2"/>
    </w:pPr>
  </w:style>
  <w:style w:type="paragraph" w:customStyle="1" w:styleId="Huisstijl-Opsommingcijfers">
    <w:name w:val="Huisstijl - Opsomming cijfers"/>
    <w:basedOn w:val="Standaard"/>
    <w:uiPriority w:val="10"/>
    <w:qFormat/>
    <w:rsid w:val="00A14F49"/>
    <w:pPr>
      <w:numPr>
        <w:numId w:val="48"/>
      </w:numPr>
      <w:autoSpaceDN/>
      <w:spacing w:line="284" w:lineRule="exact"/>
      <w:textAlignment w:val="auto"/>
    </w:pPr>
    <w:rPr>
      <w:rFonts w:eastAsia="Calibri" w:cs="Times New Roman"/>
      <w:color w:val="auto"/>
    </w:rPr>
  </w:style>
  <w:style w:type="paragraph" w:customStyle="1" w:styleId="BasistekstEmtio">
    <w:name w:val="Basistekst Emtio"/>
    <w:basedOn w:val="Standaard"/>
    <w:link w:val="BasistekstEmtioChar"/>
    <w:uiPriority w:val="99"/>
    <w:rsid w:val="00A14F49"/>
    <w:pPr>
      <w:autoSpaceDN/>
      <w:spacing w:line="260" w:lineRule="atLeast"/>
      <w:textAlignment w:val="auto"/>
    </w:pPr>
    <w:rPr>
      <w:rFonts w:ascii="Bookman Old Style" w:eastAsia="Times New Roman" w:hAnsi="Bookman Old Style" w:cs="Maiandra GD"/>
      <w:color w:val="auto"/>
      <w:sz w:val="19"/>
    </w:rPr>
  </w:style>
  <w:style w:type="character" w:customStyle="1" w:styleId="BasistekstEmtioChar">
    <w:name w:val="Basistekst Emtio Char"/>
    <w:basedOn w:val="Standaardalinea-lettertype"/>
    <w:link w:val="BasistekstEmtio"/>
    <w:uiPriority w:val="99"/>
    <w:locked/>
    <w:rsid w:val="00A14F49"/>
    <w:rPr>
      <w:rFonts w:ascii="Bookman Old Style" w:eastAsia="Times New Roman" w:hAnsi="Bookman Old Style" w:cs="Maiandra GD"/>
      <w:sz w:val="19"/>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00447">
      <w:bodyDiv w:val="1"/>
      <w:marLeft w:val="0"/>
      <w:marRight w:val="0"/>
      <w:marTop w:val="0"/>
      <w:marBottom w:val="0"/>
      <w:divBdr>
        <w:top w:val="none" w:sz="0" w:space="0" w:color="auto"/>
        <w:left w:val="none" w:sz="0" w:space="0" w:color="auto"/>
        <w:bottom w:val="none" w:sz="0" w:space="0" w:color="auto"/>
        <w:right w:val="none" w:sz="0" w:space="0" w:color="auto"/>
      </w:divBdr>
    </w:div>
    <w:div w:id="318313624">
      <w:bodyDiv w:val="1"/>
      <w:marLeft w:val="0"/>
      <w:marRight w:val="0"/>
      <w:marTop w:val="0"/>
      <w:marBottom w:val="0"/>
      <w:divBdr>
        <w:top w:val="none" w:sz="0" w:space="0" w:color="auto"/>
        <w:left w:val="none" w:sz="0" w:space="0" w:color="auto"/>
        <w:bottom w:val="none" w:sz="0" w:space="0" w:color="auto"/>
        <w:right w:val="none" w:sz="0" w:space="0" w:color="auto"/>
      </w:divBdr>
      <w:divsChild>
        <w:div w:id="858085149">
          <w:marLeft w:val="0"/>
          <w:marRight w:val="0"/>
          <w:marTop w:val="0"/>
          <w:marBottom w:val="0"/>
          <w:divBdr>
            <w:top w:val="none" w:sz="0" w:space="0" w:color="auto"/>
            <w:left w:val="none" w:sz="0" w:space="0" w:color="auto"/>
            <w:bottom w:val="none" w:sz="0" w:space="0" w:color="auto"/>
            <w:right w:val="none" w:sz="0" w:space="0" w:color="auto"/>
          </w:divBdr>
        </w:div>
      </w:divsChild>
    </w:div>
    <w:div w:id="556354573">
      <w:bodyDiv w:val="1"/>
      <w:marLeft w:val="0"/>
      <w:marRight w:val="0"/>
      <w:marTop w:val="0"/>
      <w:marBottom w:val="0"/>
      <w:divBdr>
        <w:top w:val="none" w:sz="0" w:space="0" w:color="auto"/>
        <w:left w:val="none" w:sz="0" w:space="0" w:color="auto"/>
        <w:bottom w:val="none" w:sz="0" w:space="0" w:color="auto"/>
        <w:right w:val="none" w:sz="0" w:space="0" w:color="auto"/>
      </w:divBdr>
    </w:div>
    <w:div w:id="568924434">
      <w:bodyDiv w:val="1"/>
      <w:marLeft w:val="0"/>
      <w:marRight w:val="0"/>
      <w:marTop w:val="0"/>
      <w:marBottom w:val="0"/>
      <w:divBdr>
        <w:top w:val="none" w:sz="0" w:space="0" w:color="auto"/>
        <w:left w:val="none" w:sz="0" w:space="0" w:color="auto"/>
        <w:bottom w:val="none" w:sz="0" w:space="0" w:color="auto"/>
        <w:right w:val="none" w:sz="0" w:space="0" w:color="auto"/>
      </w:divBdr>
    </w:div>
    <w:div w:id="673147111">
      <w:bodyDiv w:val="1"/>
      <w:marLeft w:val="0"/>
      <w:marRight w:val="0"/>
      <w:marTop w:val="0"/>
      <w:marBottom w:val="0"/>
      <w:divBdr>
        <w:top w:val="none" w:sz="0" w:space="0" w:color="auto"/>
        <w:left w:val="none" w:sz="0" w:space="0" w:color="auto"/>
        <w:bottom w:val="none" w:sz="0" w:space="0" w:color="auto"/>
        <w:right w:val="none" w:sz="0" w:space="0" w:color="auto"/>
      </w:divBdr>
    </w:div>
    <w:div w:id="1588466645">
      <w:bodyDiv w:val="1"/>
      <w:marLeft w:val="0"/>
      <w:marRight w:val="0"/>
      <w:marTop w:val="0"/>
      <w:marBottom w:val="0"/>
      <w:divBdr>
        <w:top w:val="none" w:sz="0" w:space="0" w:color="auto"/>
        <w:left w:val="none" w:sz="0" w:space="0" w:color="auto"/>
        <w:bottom w:val="none" w:sz="0" w:space="0" w:color="auto"/>
        <w:right w:val="none" w:sz="0" w:space="0" w:color="auto"/>
      </w:divBdr>
    </w:div>
    <w:div w:id="1620725455">
      <w:bodyDiv w:val="1"/>
      <w:marLeft w:val="0"/>
      <w:marRight w:val="0"/>
      <w:marTop w:val="0"/>
      <w:marBottom w:val="0"/>
      <w:divBdr>
        <w:top w:val="none" w:sz="0" w:space="0" w:color="auto"/>
        <w:left w:val="none" w:sz="0" w:space="0" w:color="auto"/>
        <w:bottom w:val="none" w:sz="0" w:space="0" w:color="auto"/>
        <w:right w:val="none" w:sz="0" w:space="0" w:color="auto"/>
      </w:divBdr>
    </w:div>
    <w:div w:id="1912542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justis.nl"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debatgemist.tweedekamer.nl" TargetMode="External"/><Relationship Id="rId2" Type="http://schemas.openxmlformats.org/officeDocument/2006/relationships/numbering" Target="numbering.xml"/><Relationship Id="rId16" Type="http://schemas.openxmlformats.org/officeDocument/2006/relationships/hyperlink" Target="http://debatgemist.tweedekamer.nl"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tweedekamer.nl"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tenderned.n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05643-EE29-4407-9B68-013979E70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48</Pages>
  <Words>14190</Words>
  <Characters>78046</Characters>
  <Application>Microsoft Office Word</Application>
  <DocSecurity>0</DocSecurity>
  <Lines>650</Lines>
  <Paragraphs>184</Paragraphs>
  <ScaleCrop>false</ScaleCrop>
  <HeadingPairs>
    <vt:vector size="2" baseType="variant">
      <vt:variant>
        <vt:lpstr>Titel</vt:lpstr>
      </vt:variant>
      <vt:variant>
        <vt:i4>1</vt:i4>
      </vt:variant>
    </vt:vector>
  </HeadingPairs>
  <TitlesOfParts>
    <vt:vector size="1" baseType="lpstr">
      <vt:lpstr/>
    </vt:vector>
  </TitlesOfParts>
  <Company>Tweede Kamer der Staten-Generaal</Company>
  <LinksUpToDate>false</LinksUpToDate>
  <CharactersWithSpaces>92052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Poot - van Aken, P.</dc:creator>
  <cp:lastModifiedBy>Stoffels, E.J.</cp:lastModifiedBy>
  <cp:revision>7</cp:revision>
  <cp:lastPrinted>2021-02-08T08:23:00Z</cp:lastPrinted>
  <dcterms:created xsi:type="dcterms:W3CDTF">2022-06-08T07:11:00Z</dcterms:created>
  <dcterms:modified xsi:type="dcterms:W3CDTF">2022-06-08T18:12:00Z</dcterms:modified>
</cp:coreProperties>
</file>