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429C47DF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>Bijlage</w:t>
      </w:r>
      <w:r w:rsidR="00064A53">
        <w:rPr>
          <w:szCs w:val="24"/>
        </w:rPr>
        <w:t xml:space="preserve"> G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3F559530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1461CD">
        <w:rPr>
          <w:rFonts w:cs="Arial"/>
          <w:sz w:val="18"/>
          <w:szCs w:val="18"/>
        </w:rPr>
        <w:t>E1 – Afdekking aansprakelijkheidsrisico’s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A53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1CD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2EB2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3C80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758A3-F669-479E-862E-7EF5B8D31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93E19-7247-4F12-8B10-5F53DBFE1136}">
  <ds:schemaRefs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4d1bee4-8881-4ebc-835a-7642b5f16417"/>
    <ds:schemaRef ds:uri="097d5bca-819b-48dc-88f6-dbf05aeb0e3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4</cp:revision>
  <dcterms:created xsi:type="dcterms:W3CDTF">2021-08-23T07:39:00Z</dcterms:created>
  <dcterms:modified xsi:type="dcterms:W3CDTF">2022-02-18T11:21:00Z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