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64D" w:rsidRPr="00CC3DE4" w:rsidRDefault="0007564D" w:rsidP="0007564D">
      <w:pPr>
        <w:pStyle w:val="BijlageGenummerdKop"/>
        <w:numPr>
          <w:ilvl w:val="0"/>
          <w:numId w:val="0"/>
        </w:numPr>
        <w:rPr>
          <w:color w:val="000000"/>
        </w:rPr>
      </w:pPr>
      <w:bookmarkStart w:id="0" w:name="_Toc496111710"/>
      <w:bookmarkStart w:id="1" w:name="_Toc38968003"/>
      <w:bookmarkStart w:id="2" w:name="_Toc90893424"/>
      <w:r w:rsidRPr="00CC3DE4">
        <w:rPr>
          <w:color w:val="000000"/>
        </w:rPr>
        <w:t>Bijlage J Format Concept staat van ontleding van de inschrijvingssom</w:t>
      </w:r>
      <w:bookmarkEnd w:id="0"/>
      <w:bookmarkEnd w:id="1"/>
      <w:bookmarkEnd w:id="2"/>
    </w:p>
    <w:p w:rsidR="0007564D" w:rsidRPr="00B16B92" w:rsidRDefault="0007564D" w:rsidP="0007564D">
      <w:pPr>
        <w:tabs>
          <w:tab w:val="left" w:pos="1310"/>
        </w:tabs>
        <w:spacing w:line="260" w:lineRule="atLeast"/>
        <w:jc w:val="both"/>
        <w:rPr>
          <w:szCs w:val="18"/>
        </w:rPr>
      </w:pPr>
      <w:r w:rsidRPr="00B16B92">
        <w:rPr>
          <w:szCs w:val="18"/>
        </w:rPr>
        <w:t xml:space="preserve">Bij het verrichten van veldwerk is vooraf duidelijk dat het altijd anders loopt dan gepland. Door weersverlet kan het mogelijk zijn dat meer veldwerkdagen nodig zijn dan waarmee vooraf werd rekening gehouden. Daarnaast is vooraf bijvoorbeeld nog niet bekend hoeveel monsters uiteindelijk geanalyseerd moeten worden aangezien nog niet duidelijk is tot welke diepte de </w:t>
      </w:r>
      <w:proofErr w:type="spellStart"/>
      <w:r w:rsidRPr="00B16B92">
        <w:rPr>
          <w:szCs w:val="18"/>
        </w:rPr>
        <w:t>vibrocorer</w:t>
      </w:r>
      <w:proofErr w:type="spellEnd"/>
      <w:r w:rsidRPr="00B16B92">
        <w:rPr>
          <w:szCs w:val="18"/>
        </w:rPr>
        <w:t xml:space="preserve"> boringen gezet kunnen worden en hoeveel tijd er per week nog rest na het onderzoeken van de “reguliere </w:t>
      </w:r>
      <w:proofErr w:type="spellStart"/>
      <w:r w:rsidRPr="00B16B92">
        <w:rPr>
          <w:szCs w:val="18"/>
        </w:rPr>
        <w:t>zandwinvakken</w:t>
      </w:r>
      <w:proofErr w:type="spellEnd"/>
      <w:r w:rsidRPr="00B16B92">
        <w:rPr>
          <w:szCs w:val="18"/>
        </w:rPr>
        <w:t>” voor de “</w:t>
      </w:r>
      <w:proofErr w:type="spellStart"/>
      <w:r w:rsidRPr="00B16B92">
        <w:rPr>
          <w:szCs w:val="18"/>
        </w:rPr>
        <w:t>onderzoeksboringen</w:t>
      </w:r>
      <w:proofErr w:type="spellEnd"/>
      <w:r w:rsidRPr="00B16B92">
        <w:rPr>
          <w:szCs w:val="18"/>
        </w:rPr>
        <w:t>”. Daarnaast kan het in theorie mogelijk zijn dat er geen sprake is van een lichte onderzoeksinspanning, waardoor er meer boringen gezet moeten worden en dientengevolge meer analyses moeten worden uitgevoerd.</w:t>
      </w:r>
    </w:p>
    <w:p w:rsidR="0007564D" w:rsidRPr="00B16B92" w:rsidRDefault="0007564D" w:rsidP="0007564D">
      <w:pPr>
        <w:tabs>
          <w:tab w:val="left" w:pos="1310"/>
        </w:tabs>
        <w:spacing w:line="260" w:lineRule="atLeast"/>
        <w:jc w:val="both"/>
        <w:rPr>
          <w:szCs w:val="18"/>
        </w:rPr>
      </w:pPr>
    </w:p>
    <w:p w:rsidR="0007564D" w:rsidRPr="00B16B92" w:rsidRDefault="0007564D" w:rsidP="0007564D">
      <w:pPr>
        <w:tabs>
          <w:tab w:val="left" w:pos="1310"/>
        </w:tabs>
        <w:spacing w:line="260" w:lineRule="atLeast"/>
        <w:jc w:val="both"/>
        <w:rPr>
          <w:szCs w:val="18"/>
        </w:rPr>
      </w:pPr>
      <w:r w:rsidRPr="00B16B92">
        <w:rPr>
          <w:szCs w:val="18"/>
        </w:rPr>
        <w:t>U wordt verzocht de onderstaande tabel in te vullen. Hierin is een uitgangspunten verwerkt op basis waarvan de offerte beoordeeld kan worden. Gehanteerde uitgangspunten zijn daarbij:</w:t>
      </w:r>
    </w:p>
    <w:p w:rsidR="0007564D" w:rsidRPr="00B16B92" w:rsidRDefault="0007564D" w:rsidP="0007564D">
      <w:pPr>
        <w:numPr>
          <w:ilvl w:val="0"/>
          <w:numId w:val="33"/>
        </w:numPr>
        <w:tabs>
          <w:tab w:val="left" w:pos="1310"/>
        </w:tabs>
        <w:spacing w:line="260" w:lineRule="atLeast"/>
        <w:contextualSpacing/>
        <w:jc w:val="both"/>
        <w:rPr>
          <w:szCs w:val="18"/>
        </w:rPr>
      </w:pPr>
      <w:r w:rsidRPr="00B16B92">
        <w:rPr>
          <w:szCs w:val="18"/>
        </w:rPr>
        <w:t>Het veldwerk is voor 2022 gelimiteerd aan 15 werkdagen (3 werkweken) op zee, verdeeld over een periode van 2 aansluitende weken én een aparte week;</w:t>
      </w:r>
    </w:p>
    <w:p w:rsidR="0007564D" w:rsidRPr="00B16B92" w:rsidRDefault="0007564D" w:rsidP="0007564D">
      <w:pPr>
        <w:numPr>
          <w:ilvl w:val="0"/>
          <w:numId w:val="33"/>
        </w:numPr>
        <w:tabs>
          <w:tab w:val="left" w:pos="1310"/>
        </w:tabs>
        <w:spacing w:line="260" w:lineRule="atLeast"/>
        <w:contextualSpacing/>
        <w:jc w:val="both"/>
        <w:rPr>
          <w:szCs w:val="18"/>
        </w:rPr>
      </w:pPr>
      <w:r w:rsidRPr="00B16B92">
        <w:rPr>
          <w:szCs w:val="18"/>
        </w:rPr>
        <w:t>De tijd die per week rest na afronding van de geplande ‘reguliere boringen (60)’, ‘milieu boringen (30)’ en ‘</w:t>
      </w:r>
      <w:proofErr w:type="spellStart"/>
      <w:r w:rsidRPr="00B16B92">
        <w:rPr>
          <w:szCs w:val="18"/>
        </w:rPr>
        <w:t>boxcorer</w:t>
      </w:r>
      <w:proofErr w:type="spellEnd"/>
      <w:r w:rsidRPr="00B16B92">
        <w:rPr>
          <w:szCs w:val="18"/>
        </w:rPr>
        <w:t>-happen (22)’, worden gebruikt voor het plaatsen van ‘</w:t>
      </w:r>
      <w:proofErr w:type="spellStart"/>
      <w:r w:rsidRPr="00B16B92">
        <w:rPr>
          <w:szCs w:val="18"/>
        </w:rPr>
        <w:t>onderzoeksboringen</w:t>
      </w:r>
      <w:proofErr w:type="spellEnd"/>
      <w:r w:rsidRPr="00B16B92">
        <w:rPr>
          <w:szCs w:val="18"/>
        </w:rPr>
        <w:t xml:space="preserve"> (36)’.</w:t>
      </w:r>
    </w:p>
    <w:p w:rsidR="0007564D" w:rsidRPr="00B16B92" w:rsidRDefault="0007564D" w:rsidP="0007564D">
      <w:pPr>
        <w:numPr>
          <w:ilvl w:val="0"/>
          <w:numId w:val="33"/>
        </w:numPr>
        <w:tabs>
          <w:tab w:val="left" w:pos="1310"/>
        </w:tabs>
        <w:spacing w:line="260" w:lineRule="atLeast"/>
        <w:contextualSpacing/>
        <w:jc w:val="both"/>
        <w:rPr>
          <w:szCs w:val="18"/>
        </w:rPr>
      </w:pPr>
      <w:r w:rsidRPr="00B16B92">
        <w:rPr>
          <w:szCs w:val="18"/>
        </w:rPr>
        <w:t>Als blijkt dat de 15 werkdagen voor het plaatsen van de ‘reguliere boringen’ en de ‘milieu boringen’ niet toereikend zijn door weersverlet of andere oorzaken, wordt een aanvullend veldwerk moment gezocht;</w:t>
      </w:r>
    </w:p>
    <w:p w:rsidR="0007564D" w:rsidRPr="00B16B92" w:rsidRDefault="0007564D" w:rsidP="0007564D">
      <w:pPr>
        <w:numPr>
          <w:ilvl w:val="0"/>
          <w:numId w:val="33"/>
        </w:numPr>
        <w:tabs>
          <w:tab w:val="left" w:pos="1310"/>
        </w:tabs>
        <w:spacing w:line="260" w:lineRule="atLeast"/>
        <w:contextualSpacing/>
        <w:jc w:val="both"/>
        <w:rPr>
          <w:szCs w:val="18"/>
        </w:rPr>
      </w:pPr>
      <w:r w:rsidRPr="00B16B92">
        <w:rPr>
          <w:szCs w:val="18"/>
        </w:rPr>
        <w:t>De werkzaamheden over 2024 zijn volledig optioneel, maar vormen wel onderdeel van de inschrijfsom;</w:t>
      </w:r>
    </w:p>
    <w:p w:rsidR="0007564D" w:rsidRPr="00B16B92" w:rsidRDefault="0007564D" w:rsidP="0007564D">
      <w:pPr>
        <w:numPr>
          <w:ilvl w:val="0"/>
          <w:numId w:val="33"/>
        </w:numPr>
        <w:tabs>
          <w:tab w:val="left" w:pos="1310"/>
        </w:tabs>
        <w:spacing w:line="260" w:lineRule="atLeast"/>
        <w:contextualSpacing/>
        <w:jc w:val="both"/>
        <w:rPr>
          <w:szCs w:val="18"/>
        </w:rPr>
      </w:pPr>
      <w:r w:rsidRPr="00B16B92">
        <w:rPr>
          <w:szCs w:val="18"/>
        </w:rPr>
        <w:t>Het veldwerk is voor 2023 en 2024 is gelimiteerd aan 10 werkdagen (2 werkweken)</w:t>
      </w:r>
      <w:r w:rsidRPr="00B16B92">
        <w:t xml:space="preserve"> </w:t>
      </w:r>
      <w:r w:rsidRPr="00B16B92">
        <w:rPr>
          <w:szCs w:val="18"/>
        </w:rPr>
        <w:t>op zee, verdeeld over twee periodes van een week. Voor deze periode zijn voorzien 72 ‘reguliere boringen’, 5 zandwingebieden en 20 ‘</w:t>
      </w:r>
      <w:proofErr w:type="spellStart"/>
      <w:r w:rsidRPr="00B16B92">
        <w:rPr>
          <w:szCs w:val="18"/>
        </w:rPr>
        <w:t>onderzoeksboringen</w:t>
      </w:r>
      <w:proofErr w:type="spellEnd"/>
      <w:r w:rsidRPr="00B16B92">
        <w:rPr>
          <w:szCs w:val="18"/>
        </w:rPr>
        <w:t>’ indien er voldoende tijd beschikbaar is, Als blijkt dat de 10 werkdagen voor het plaatsen van de ‘reguliere boringen’ niet toereikend zijn door weersverlet of andere oorzaken, wordt een aanvullend veldwerk moment gezocht;</w:t>
      </w:r>
    </w:p>
    <w:p w:rsidR="0007564D" w:rsidRPr="00B16B92" w:rsidRDefault="0007564D" w:rsidP="0007564D">
      <w:pPr>
        <w:numPr>
          <w:ilvl w:val="0"/>
          <w:numId w:val="33"/>
        </w:numPr>
        <w:tabs>
          <w:tab w:val="left" w:pos="1310"/>
        </w:tabs>
        <w:spacing w:line="260" w:lineRule="atLeast"/>
        <w:contextualSpacing/>
        <w:jc w:val="both"/>
        <w:rPr>
          <w:szCs w:val="18"/>
        </w:rPr>
      </w:pPr>
      <w:r w:rsidRPr="00B16B92">
        <w:rPr>
          <w:szCs w:val="18"/>
        </w:rPr>
        <w:t>Voor het veldwerk van 2023 en 2024 zijn alle werkzaamheden gerelateerd aan het verkrijgen van milieu hygiënische verklaringen (inclusief analyses, bemonstering etc.) optioneel met uitzondering van ‘Actualisatie generiek vooronderzoek NEN 5717’.</w:t>
      </w:r>
    </w:p>
    <w:p w:rsidR="0007564D" w:rsidRPr="00B16B92" w:rsidRDefault="0007564D" w:rsidP="0007564D">
      <w:pPr>
        <w:numPr>
          <w:ilvl w:val="0"/>
          <w:numId w:val="33"/>
        </w:numPr>
        <w:tabs>
          <w:tab w:val="left" w:pos="1310"/>
        </w:tabs>
        <w:spacing w:line="260" w:lineRule="atLeast"/>
        <w:contextualSpacing/>
        <w:jc w:val="both"/>
        <w:rPr>
          <w:szCs w:val="18"/>
        </w:rPr>
      </w:pPr>
      <w:r w:rsidRPr="00B16B92">
        <w:rPr>
          <w:szCs w:val="18"/>
        </w:rPr>
        <w:t>Vergoeding verlet tijdens veldwerk en/of door uitgesteld vertrek</w:t>
      </w:r>
    </w:p>
    <w:p w:rsidR="0007564D" w:rsidRPr="00B16B92" w:rsidRDefault="0007564D" w:rsidP="0007564D">
      <w:pPr>
        <w:tabs>
          <w:tab w:val="left" w:pos="1310"/>
        </w:tabs>
        <w:spacing w:line="260" w:lineRule="atLeast"/>
        <w:contextualSpacing/>
        <w:jc w:val="both"/>
        <w:rPr>
          <w:szCs w:val="18"/>
          <w:highlight w:val="yellow"/>
        </w:rPr>
      </w:pPr>
    </w:p>
    <w:p w:rsidR="0007564D" w:rsidRDefault="0007564D" w:rsidP="0007564D">
      <w:pPr>
        <w:tabs>
          <w:tab w:val="left" w:pos="1310"/>
        </w:tabs>
        <w:spacing w:line="260" w:lineRule="atLeast"/>
        <w:jc w:val="both"/>
        <w:rPr>
          <w:szCs w:val="18"/>
        </w:rPr>
      </w:pPr>
      <w:r w:rsidRPr="00B16B92">
        <w:rPr>
          <w:szCs w:val="18"/>
        </w:rPr>
        <w:t xml:space="preserve">Op basis van de ingediende “Eenheidsprijs” wordt eventueel meer- en minderwerk verrekend. </w:t>
      </w:r>
      <w:r>
        <w:rPr>
          <w:szCs w:val="18"/>
        </w:rPr>
        <w:br/>
      </w:r>
      <w:r>
        <w:rPr>
          <w:szCs w:val="18"/>
        </w:rPr>
        <w:br/>
      </w:r>
      <w:r>
        <w:rPr>
          <w:szCs w:val="18"/>
        </w:rPr>
        <w:br/>
      </w:r>
    </w:p>
    <w:p w:rsidR="0007564D" w:rsidRDefault="0007564D" w:rsidP="0007564D">
      <w:pPr>
        <w:tabs>
          <w:tab w:val="left" w:pos="1310"/>
        </w:tabs>
        <w:spacing w:line="260" w:lineRule="atLeast"/>
        <w:jc w:val="both"/>
        <w:rPr>
          <w:szCs w:val="18"/>
        </w:rPr>
      </w:pPr>
    </w:p>
    <w:p w:rsidR="0007564D" w:rsidRDefault="0007564D" w:rsidP="0007564D">
      <w:pPr>
        <w:tabs>
          <w:tab w:val="left" w:pos="1310"/>
        </w:tabs>
        <w:spacing w:line="260" w:lineRule="atLeast"/>
        <w:jc w:val="both"/>
        <w:rPr>
          <w:szCs w:val="18"/>
        </w:rPr>
      </w:pPr>
    </w:p>
    <w:p w:rsidR="0007564D" w:rsidRDefault="0007564D" w:rsidP="0007564D">
      <w:pPr>
        <w:tabs>
          <w:tab w:val="left" w:pos="1310"/>
        </w:tabs>
        <w:spacing w:line="260" w:lineRule="atLeast"/>
        <w:jc w:val="both"/>
        <w:rPr>
          <w:szCs w:val="18"/>
        </w:rPr>
      </w:pPr>
    </w:p>
    <w:p w:rsidR="0007564D" w:rsidRDefault="0007564D" w:rsidP="0007564D">
      <w:pPr>
        <w:tabs>
          <w:tab w:val="left" w:pos="1310"/>
        </w:tabs>
        <w:spacing w:line="260" w:lineRule="atLeast"/>
        <w:jc w:val="both"/>
        <w:rPr>
          <w:szCs w:val="18"/>
        </w:rPr>
      </w:pPr>
    </w:p>
    <w:p w:rsidR="0007564D" w:rsidRDefault="0007564D" w:rsidP="0007564D">
      <w:pPr>
        <w:tabs>
          <w:tab w:val="left" w:pos="1310"/>
        </w:tabs>
        <w:spacing w:line="260" w:lineRule="atLeast"/>
        <w:jc w:val="both"/>
        <w:rPr>
          <w:szCs w:val="18"/>
        </w:rPr>
      </w:pPr>
    </w:p>
    <w:p w:rsidR="0007564D" w:rsidRDefault="0007564D" w:rsidP="0007564D">
      <w:pPr>
        <w:tabs>
          <w:tab w:val="left" w:pos="1310"/>
        </w:tabs>
        <w:spacing w:line="260" w:lineRule="atLeast"/>
        <w:jc w:val="both"/>
        <w:rPr>
          <w:szCs w:val="18"/>
        </w:rPr>
      </w:pPr>
    </w:p>
    <w:p w:rsidR="0007564D" w:rsidRDefault="0007564D" w:rsidP="0007564D">
      <w:pPr>
        <w:tabs>
          <w:tab w:val="left" w:pos="1310"/>
        </w:tabs>
        <w:spacing w:line="260" w:lineRule="atLeast"/>
        <w:jc w:val="both"/>
        <w:rPr>
          <w:szCs w:val="18"/>
        </w:rPr>
      </w:pPr>
    </w:p>
    <w:p w:rsidR="0007564D" w:rsidRDefault="0007564D" w:rsidP="0007564D">
      <w:pPr>
        <w:tabs>
          <w:tab w:val="left" w:pos="1310"/>
        </w:tabs>
        <w:spacing w:line="260" w:lineRule="atLeast"/>
        <w:jc w:val="both"/>
        <w:rPr>
          <w:szCs w:val="18"/>
        </w:rPr>
      </w:pPr>
    </w:p>
    <w:p w:rsidR="0007564D" w:rsidRDefault="0007564D" w:rsidP="0007564D">
      <w:pPr>
        <w:tabs>
          <w:tab w:val="left" w:pos="1310"/>
        </w:tabs>
        <w:spacing w:line="260" w:lineRule="atLeast"/>
        <w:jc w:val="both"/>
        <w:rPr>
          <w:szCs w:val="18"/>
        </w:rPr>
      </w:pPr>
    </w:p>
    <w:p w:rsidR="0007564D" w:rsidRDefault="0007564D" w:rsidP="0007564D">
      <w:pPr>
        <w:tabs>
          <w:tab w:val="left" w:pos="1310"/>
        </w:tabs>
        <w:spacing w:line="260" w:lineRule="atLeast"/>
        <w:jc w:val="both"/>
        <w:rPr>
          <w:szCs w:val="18"/>
        </w:rPr>
      </w:pPr>
    </w:p>
    <w:p w:rsidR="0007564D" w:rsidRDefault="0007564D" w:rsidP="0007564D">
      <w:pPr>
        <w:tabs>
          <w:tab w:val="left" w:pos="1310"/>
        </w:tabs>
        <w:spacing w:line="260" w:lineRule="atLeast"/>
        <w:jc w:val="both"/>
        <w:rPr>
          <w:szCs w:val="18"/>
        </w:rPr>
      </w:pPr>
    </w:p>
    <w:p w:rsidR="0007564D" w:rsidRDefault="0007564D" w:rsidP="0007564D">
      <w:pPr>
        <w:tabs>
          <w:tab w:val="left" w:pos="1310"/>
        </w:tabs>
        <w:spacing w:line="260" w:lineRule="atLeast"/>
        <w:jc w:val="both"/>
        <w:rPr>
          <w:szCs w:val="18"/>
        </w:rPr>
      </w:pPr>
    </w:p>
    <w:p w:rsidR="000262E6" w:rsidRDefault="000262E6" w:rsidP="0007564D">
      <w:pPr>
        <w:tabs>
          <w:tab w:val="left" w:pos="1310"/>
        </w:tabs>
        <w:spacing w:line="260" w:lineRule="atLeast"/>
        <w:jc w:val="both"/>
        <w:rPr>
          <w:szCs w:val="18"/>
        </w:rPr>
      </w:pPr>
    </w:p>
    <w:p w:rsidR="0007564D" w:rsidRDefault="000262E6" w:rsidP="0007564D">
      <w:pPr>
        <w:tabs>
          <w:tab w:val="left" w:pos="1310"/>
        </w:tabs>
        <w:spacing w:line="260" w:lineRule="atLeast"/>
        <w:jc w:val="both"/>
        <w:rPr>
          <w:szCs w:val="18"/>
        </w:rPr>
      </w:pPr>
      <w:r w:rsidRPr="000034C0">
        <w:rPr>
          <w:b/>
          <w:sz w:val="16"/>
          <w:szCs w:val="16"/>
        </w:rPr>
        <w:lastRenderedPageBreak/>
        <w:t>2022</w:t>
      </w:r>
    </w:p>
    <w:tbl>
      <w:tblPr>
        <w:tblpPr w:leftFromText="141" w:rightFromText="141" w:vertAnchor="text" w:horzAnchor="margin" w:tblpXSpec="center" w:tblpY="223"/>
        <w:tblOverlap w:val="never"/>
        <w:tblW w:w="10020" w:type="dxa"/>
        <w:tblCellMar>
          <w:left w:w="70" w:type="dxa"/>
          <w:right w:w="70" w:type="dxa"/>
        </w:tblCellMar>
        <w:tblLook w:val="04A0" w:firstRow="1" w:lastRow="0" w:firstColumn="1" w:lastColumn="0" w:noHBand="0" w:noVBand="1"/>
      </w:tblPr>
      <w:tblGrid>
        <w:gridCol w:w="2829"/>
        <w:gridCol w:w="1784"/>
        <w:gridCol w:w="1787"/>
        <w:gridCol w:w="1833"/>
        <w:gridCol w:w="1787"/>
      </w:tblGrid>
      <w:tr w:rsidR="000262E6" w:rsidRPr="000262E6" w:rsidTr="000262E6">
        <w:trPr>
          <w:trHeight w:val="240"/>
        </w:trPr>
        <w:tc>
          <w:tcPr>
            <w:tcW w:w="282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b/>
                <w:bCs/>
                <w:color w:val="000000"/>
                <w:sz w:val="14"/>
                <w:szCs w:val="14"/>
              </w:rPr>
            </w:pPr>
            <w:r w:rsidRPr="000262E6">
              <w:rPr>
                <w:rFonts w:eastAsia="Times New Roman"/>
                <w:b/>
                <w:bCs/>
                <w:color w:val="000000"/>
                <w:sz w:val="14"/>
                <w:szCs w:val="14"/>
              </w:rPr>
              <w:t>Directe kosten</w:t>
            </w:r>
            <w:r w:rsidRPr="000262E6">
              <w:rPr>
                <w:rFonts w:eastAsia="Times New Roman"/>
                <w:b/>
                <w:bCs/>
                <w:i/>
                <w:iCs/>
                <w:color w:val="000000"/>
                <w:sz w:val="16"/>
                <w:szCs w:val="16"/>
              </w:rPr>
              <w:t xml:space="preserve"> </w:t>
            </w:r>
          </w:p>
        </w:tc>
        <w:tc>
          <w:tcPr>
            <w:tcW w:w="1784" w:type="dxa"/>
            <w:tcBorders>
              <w:top w:val="single" w:sz="8" w:space="0" w:color="auto"/>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VP/NC</w:t>
            </w:r>
          </w:p>
        </w:tc>
        <w:tc>
          <w:tcPr>
            <w:tcW w:w="1787" w:type="dxa"/>
            <w:tcBorders>
              <w:top w:val="single" w:sz="8" w:space="0" w:color="auto"/>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Aantal (ST/D)</w:t>
            </w:r>
          </w:p>
        </w:tc>
        <w:tc>
          <w:tcPr>
            <w:tcW w:w="1833" w:type="dxa"/>
            <w:tcBorders>
              <w:top w:val="single" w:sz="8" w:space="0" w:color="auto"/>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Eenheidsprijs</w:t>
            </w:r>
          </w:p>
        </w:tc>
        <w:tc>
          <w:tcPr>
            <w:tcW w:w="1787" w:type="dxa"/>
            <w:tcBorders>
              <w:top w:val="single" w:sz="8" w:space="0" w:color="auto"/>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Totaal Kosten</w:t>
            </w:r>
          </w:p>
        </w:tc>
      </w:tr>
      <w:tr w:rsidR="000262E6" w:rsidRPr="000262E6" w:rsidTr="000262E6">
        <w:trPr>
          <w:trHeight w:val="240"/>
        </w:trPr>
        <w:tc>
          <w:tcPr>
            <w:tcW w:w="2829" w:type="dxa"/>
            <w:tcBorders>
              <w:top w:val="single" w:sz="8" w:space="0" w:color="auto"/>
              <w:left w:val="single" w:sz="8" w:space="0" w:color="auto"/>
              <w:bottom w:val="single" w:sz="8" w:space="0" w:color="auto"/>
              <w:right w:val="single" w:sz="8" w:space="0" w:color="auto"/>
            </w:tcBorders>
            <w:shd w:val="clear" w:color="auto" w:fill="auto"/>
            <w:vAlign w:val="center"/>
          </w:tcPr>
          <w:p w:rsidR="000262E6" w:rsidRPr="000262E6" w:rsidRDefault="000262E6" w:rsidP="000262E6">
            <w:pPr>
              <w:spacing w:line="240" w:lineRule="auto"/>
              <w:rPr>
                <w:rFonts w:eastAsia="Times New Roman"/>
                <w:b/>
                <w:bCs/>
                <w:color w:val="000000"/>
                <w:sz w:val="14"/>
                <w:szCs w:val="14"/>
              </w:rPr>
            </w:pPr>
          </w:p>
        </w:tc>
        <w:tc>
          <w:tcPr>
            <w:tcW w:w="1784" w:type="dxa"/>
            <w:tcBorders>
              <w:top w:val="single" w:sz="8" w:space="0" w:color="auto"/>
              <w:left w:val="nil"/>
              <w:bottom w:val="single" w:sz="8" w:space="0" w:color="auto"/>
              <w:right w:val="single" w:sz="8" w:space="0" w:color="auto"/>
            </w:tcBorders>
            <w:shd w:val="clear" w:color="auto" w:fill="auto"/>
            <w:vAlign w:val="center"/>
          </w:tcPr>
          <w:p w:rsidR="000262E6" w:rsidRPr="000262E6" w:rsidRDefault="000262E6" w:rsidP="000262E6">
            <w:pPr>
              <w:spacing w:line="240" w:lineRule="auto"/>
              <w:rPr>
                <w:rFonts w:eastAsia="Times New Roman"/>
                <w:color w:val="000000"/>
                <w:sz w:val="16"/>
                <w:szCs w:val="16"/>
              </w:rPr>
            </w:pPr>
          </w:p>
        </w:tc>
        <w:tc>
          <w:tcPr>
            <w:tcW w:w="1787" w:type="dxa"/>
            <w:tcBorders>
              <w:top w:val="single" w:sz="8" w:space="0" w:color="auto"/>
              <w:left w:val="nil"/>
              <w:bottom w:val="single" w:sz="8" w:space="0" w:color="auto"/>
              <w:right w:val="single" w:sz="8" w:space="0" w:color="auto"/>
            </w:tcBorders>
            <w:shd w:val="clear" w:color="auto" w:fill="auto"/>
            <w:vAlign w:val="center"/>
          </w:tcPr>
          <w:p w:rsidR="000262E6" w:rsidRPr="000262E6" w:rsidRDefault="000262E6" w:rsidP="000262E6">
            <w:pPr>
              <w:spacing w:line="240" w:lineRule="auto"/>
              <w:rPr>
                <w:rFonts w:eastAsia="Times New Roman"/>
                <w:color w:val="000000"/>
                <w:sz w:val="16"/>
                <w:szCs w:val="16"/>
              </w:rPr>
            </w:pPr>
          </w:p>
        </w:tc>
        <w:tc>
          <w:tcPr>
            <w:tcW w:w="1833" w:type="dxa"/>
            <w:tcBorders>
              <w:top w:val="single" w:sz="8" w:space="0" w:color="auto"/>
              <w:left w:val="nil"/>
              <w:bottom w:val="single" w:sz="8" w:space="0" w:color="auto"/>
              <w:right w:val="single" w:sz="8" w:space="0" w:color="auto"/>
            </w:tcBorders>
            <w:shd w:val="clear" w:color="auto" w:fill="auto"/>
            <w:vAlign w:val="center"/>
          </w:tcPr>
          <w:p w:rsidR="000262E6" w:rsidRPr="000262E6" w:rsidRDefault="000262E6" w:rsidP="000262E6">
            <w:pPr>
              <w:spacing w:line="240" w:lineRule="auto"/>
              <w:rPr>
                <w:rFonts w:eastAsia="Times New Roman"/>
                <w:color w:val="000000"/>
                <w:sz w:val="16"/>
                <w:szCs w:val="16"/>
              </w:rPr>
            </w:pPr>
          </w:p>
        </w:tc>
        <w:tc>
          <w:tcPr>
            <w:tcW w:w="1787" w:type="dxa"/>
            <w:tcBorders>
              <w:top w:val="single" w:sz="8" w:space="0" w:color="auto"/>
              <w:left w:val="nil"/>
              <w:bottom w:val="single" w:sz="8" w:space="0" w:color="auto"/>
              <w:right w:val="single" w:sz="8" w:space="0" w:color="auto"/>
            </w:tcBorders>
            <w:shd w:val="clear" w:color="auto" w:fill="auto"/>
            <w:vAlign w:val="center"/>
          </w:tcPr>
          <w:p w:rsidR="000262E6" w:rsidRPr="000262E6" w:rsidRDefault="000262E6" w:rsidP="000262E6">
            <w:pPr>
              <w:spacing w:line="240" w:lineRule="auto"/>
              <w:rPr>
                <w:rFonts w:eastAsia="Times New Roman"/>
                <w:color w:val="000000"/>
                <w:sz w:val="16"/>
                <w:szCs w:val="16"/>
              </w:rPr>
            </w:pP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i/>
                <w:iCs/>
                <w:color w:val="000000"/>
                <w:sz w:val="14"/>
                <w:szCs w:val="14"/>
                <w:u w:val="single"/>
              </w:rPr>
            </w:pPr>
            <w:r w:rsidRPr="000262E6">
              <w:rPr>
                <w:rFonts w:eastAsia="Times New Roman"/>
                <w:i/>
                <w:iCs/>
                <w:color w:val="000000"/>
                <w:sz w:val="14"/>
                <w:szCs w:val="14"/>
                <w:u w:val="single"/>
              </w:rPr>
              <w:t>Projectleiding en Analyse</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Projectplan/PSU</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VP</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375"/>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 xml:space="preserve">Opzet plan van aanpak Veldwerk NEN 5720 </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VP</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Milieu hygiënische verklaringen</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NC</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6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555"/>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Integrale projectmanagement, verslagen, dagrapporten, overleggen en voorbereiding.</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VP</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Boorplannen</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NC</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6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Gebiedsrapportages</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NC</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6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375"/>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 xml:space="preserve">Selectie </w:t>
            </w:r>
            <w:proofErr w:type="spellStart"/>
            <w:r w:rsidRPr="000262E6">
              <w:rPr>
                <w:rFonts w:ascii="Calibri" w:eastAsia="Times New Roman" w:hAnsi="Calibri" w:cs="Calibri"/>
                <w:color w:val="000000"/>
                <w:sz w:val="14"/>
                <w:szCs w:val="14"/>
              </w:rPr>
              <w:t>zandwinvakken</w:t>
            </w:r>
            <w:proofErr w:type="spellEnd"/>
            <w:r w:rsidRPr="000262E6">
              <w:rPr>
                <w:rFonts w:ascii="Calibri" w:eastAsia="Times New Roman" w:hAnsi="Calibri" w:cs="Calibri"/>
                <w:color w:val="000000"/>
                <w:sz w:val="14"/>
                <w:szCs w:val="14"/>
              </w:rPr>
              <w:t xml:space="preserve"> binnen </w:t>
            </w:r>
            <w:proofErr w:type="spellStart"/>
            <w:r w:rsidRPr="000262E6">
              <w:rPr>
                <w:rFonts w:ascii="Calibri" w:eastAsia="Times New Roman" w:hAnsi="Calibri" w:cs="Calibri"/>
                <w:color w:val="000000"/>
                <w:sz w:val="14"/>
                <w:szCs w:val="14"/>
              </w:rPr>
              <w:t>zandwinzoekgebieden</w:t>
            </w:r>
            <w:proofErr w:type="spellEnd"/>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2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375"/>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Aansturingen kwaliteitscontrole veldwerk (per week)*</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3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375"/>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Actualisatie generiek vooronderzoek NEN 5717</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Rapportage “Borgingsdocument”</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xml:space="preserve">IVP (incl. RIE &amp; </w:t>
            </w:r>
            <w:proofErr w:type="spellStart"/>
            <w:r w:rsidRPr="000262E6">
              <w:rPr>
                <w:rFonts w:eastAsia="Times New Roman"/>
                <w:color w:val="000000"/>
                <w:sz w:val="14"/>
                <w:szCs w:val="14"/>
              </w:rPr>
              <w:t>calmiteitenplan</w:t>
            </w:r>
            <w:proofErr w:type="spellEnd"/>
            <w:r w:rsidRPr="000262E6">
              <w:rPr>
                <w:rFonts w:eastAsia="Times New Roman"/>
                <w:color w:val="000000"/>
                <w:sz w:val="14"/>
                <w:szCs w:val="14"/>
              </w:rPr>
              <w:t>)</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i/>
                <w:iCs/>
                <w:color w:val="000000"/>
                <w:sz w:val="14"/>
                <w:szCs w:val="14"/>
                <w:u w:val="single"/>
              </w:rPr>
            </w:pPr>
            <w:r w:rsidRPr="000262E6">
              <w:rPr>
                <w:rFonts w:eastAsia="Times New Roman"/>
                <w:i/>
                <w:iCs/>
                <w:color w:val="000000"/>
                <w:sz w:val="14"/>
                <w:szCs w:val="14"/>
                <w:u w:val="single"/>
              </w:rPr>
              <w:t>Lab werkzaamheden milieu</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 xml:space="preserve">Boormeester* </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15 D</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C3-analyses</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26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PFAS-analyses</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26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Transport monsters</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3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FF0000"/>
                <w:sz w:val="14"/>
                <w:szCs w:val="14"/>
              </w:rPr>
            </w:pPr>
            <w:proofErr w:type="spellStart"/>
            <w:r w:rsidRPr="000262E6">
              <w:rPr>
                <w:rFonts w:ascii="Calibri" w:eastAsia="Times New Roman" w:hAnsi="Calibri" w:cs="Calibri"/>
                <w:color w:val="FF0000"/>
                <w:sz w:val="14"/>
                <w:szCs w:val="14"/>
              </w:rPr>
              <w:t>Labopdracht</w:t>
            </w:r>
            <w:proofErr w:type="spellEnd"/>
            <w:r w:rsidRPr="000262E6">
              <w:rPr>
                <w:rFonts w:ascii="Calibri" w:eastAsia="Times New Roman" w:hAnsi="Calibri" w:cs="Calibri"/>
                <w:color w:val="FF0000"/>
                <w:sz w:val="14"/>
                <w:szCs w:val="14"/>
              </w:rPr>
              <w:t xml:space="preserve"> per veldwerkperiode</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3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Deelrapportage</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ind w:firstLineChars="700" w:firstLine="980"/>
              <w:rPr>
                <w:rFonts w:eastAsia="Times New Roman"/>
                <w:color w:val="000000"/>
                <w:sz w:val="14"/>
                <w:szCs w:val="14"/>
              </w:rPr>
            </w:pPr>
            <w:r w:rsidRPr="000262E6">
              <w:rPr>
                <w:rFonts w:eastAsia="Times New Roman"/>
                <w:color w:val="000000"/>
                <w:sz w:val="14"/>
                <w:szCs w:val="14"/>
              </w:rPr>
              <w:t> </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375"/>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i/>
                <w:iCs/>
                <w:color w:val="000000"/>
                <w:sz w:val="14"/>
                <w:szCs w:val="14"/>
                <w:u w:val="single"/>
              </w:rPr>
            </w:pPr>
            <w:r w:rsidRPr="000262E6">
              <w:rPr>
                <w:rFonts w:eastAsia="Times New Roman"/>
                <w:i/>
                <w:iCs/>
                <w:color w:val="000000"/>
                <w:sz w:val="14"/>
                <w:szCs w:val="14"/>
                <w:u w:val="single"/>
              </w:rPr>
              <w:t>Lab werkzaamheden korrelgrootte</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Rapportage resultaten</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Rapportage kwaliteitsborging</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Korrelgrootte analyses</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576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375"/>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Aanleveren analyseresultaten aan BRO</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375"/>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i/>
                <w:iCs/>
                <w:color w:val="000000"/>
                <w:sz w:val="14"/>
                <w:szCs w:val="14"/>
                <w:u w:val="single"/>
              </w:rPr>
            </w:pPr>
            <w:r w:rsidRPr="000262E6">
              <w:rPr>
                <w:rFonts w:eastAsia="Times New Roman"/>
                <w:i/>
                <w:iCs/>
                <w:color w:val="000000"/>
                <w:sz w:val="14"/>
                <w:szCs w:val="14"/>
                <w:u w:val="single"/>
              </w:rPr>
              <w:t>Boorbeschrijvingen en Bemonstering</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375"/>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Beschrijven, bemonsteren en fotograferen</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96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Transport boorkernen</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FF0000"/>
                <w:sz w:val="14"/>
                <w:szCs w:val="14"/>
              </w:rPr>
              <w:t>3</w:t>
            </w:r>
            <w:r w:rsidRPr="000262E6">
              <w:rPr>
                <w:rFonts w:eastAsia="Times New Roman"/>
                <w:color w:val="000000"/>
                <w:sz w:val="14"/>
                <w:szCs w:val="14"/>
              </w:rPr>
              <w:t xml:space="preserve">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Afstemmen archeologie</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Tijdelijke opslag monsters</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Rapportage</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Aanleveren beschrijvingen aan BRO</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Subtotaal 2022:</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right"/>
              <w:rPr>
                <w:rFonts w:eastAsia="Times New Roman"/>
                <w:color w:val="000000"/>
                <w:sz w:val="14"/>
                <w:szCs w:val="14"/>
              </w:rPr>
            </w:pPr>
            <w:r w:rsidRPr="000262E6">
              <w:rPr>
                <w:rFonts w:eastAsia="Times New Roman"/>
                <w:color w:val="000000"/>
                <w:sz w:val="14"/>
                <w:szCs w:val="14"/>
              </w:rPr>
              <w:t> </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xml:space="preserve">Indirecte kosten </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ind w:firstLineChars="700" w:firstLine="980"/>
              <w:rPr>
                <w:rFonts w:ascii="Calibri" w:eastAsia="Times New Roman" w:hAnsi="Calibri" w:cs="Calibri"/>
                <w:color w:val="000000"/>
                <w:sz w:val="14"/>
                <w:szCs w:val="14"/>
              </w:rPr>
            </w:pPr>
            <w:r w:rsidRPr="000262E6">
              <w:rPr>
                <w:rFonts w:ascii="Calibri" w:eastAsia="Times New Roman" w:hAnsi="Calibri" w:cs="Calibri"/>
                <w:color w:val="000000"/>
                <w:sz w:val="14"/>
                <w:szCs w:val="14"/>
              </w:rPr>
              <w:t>Algemene kosten</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6"/>
                <w:szCs w:val="16"/>
              </w:rPr>
            </w:pPr>
            <w:r w:rsidRPr="000262E6">
              <w:rPr>
                <w:rFonts w:eastAsia="Times New Roman"/>
                <w:color w:val="000000"/>
                <w:sz w:val="16"/>
                <w:szCs w:val="16"/>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555"/>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ind w:firstLineChars="700" w:firstLine="980"/>
              <w:rPr>
                <w:rFonts w:ascii="Calibri" w:eastAsia="Times New Roman" w:hAnsi="Calibri" w:cs="Calibri"/>
                <w:color w:val="000000"/>
                <w:sz w:val="14"/>
                <w:szCs w:val="14"/>
              </w:rPr>
            </w:pPr>
            <w:r w:rsidRPr="000262E6">
              <w:rPr>
                <w:rFonts w:ascii="Calibri" w:eastAsia="Times New Roman" w:hAnsi="Calibri" w:cs="Calibri"/>
                <w:color w:val="000000"/>
                <w:sz w:val="14"/>
                <w:szCs w:val="14"/>
              </w:rPr>
              <w:t>Winst (waaronder een eventuele projectkorting)</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6"/>
                <w:szCs w:val="16"/>
              </w:rPr>
            </w:pPr>
            <w:r w:rsidRPr="000262E6">
              <w:rPr>
                <w:rFonts w:eastAsia="Times New Roman"/>
                <w:color w:val="000000"/>
                <w:sz w:val="16"/>
                <w:szCs w:val="16"/>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Risico</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6"/>
                <w:szCs w:val="16"/>
              </w:rPr>
            </w:pPr>
            <w:r w:rsidRPr="000262E6">
              <w:rPr>
                <w:rFonts w:eastAsia="Times New Roman"/>
                <w:color w:val="000000"/>
                <w:sz w:val="16"/>
                <w:szCs w:val="16"/>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 </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6"/>
                <w:szCs w:val="16"/>
              </w:rPr>
            </w:pPr>
            <w:r w:rsidRPr="000262E6">
              <w:rPr>
                <w:rFonts w:eastAsia="Times New Roman"/>
                <w:color w:val="000000"/>
                <w:sz w:val="16"/>
                <w:szCs w:val="16"/>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 </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240"/>
        </w:trPr>
        <w:tc>
          <w:tcPr>
            <w:tcW w:w="2829"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ind w:firstLineChars="700" w:firstLine="1120"/>
              <w:jc w:val="right"/>
              <w:rPr>
                <w:rFonts w:eastAsia="Times New Roman"/>
                <w:color w:val="000000"/>
                <w:sz w:val="16"/>
                <w:szCs w:val="16"/>
              </w:rPr>
            </w:pPr>
            <w:r w:rsidRPr="000262E6">
              <w:rPr>
                <w:rFonts w:eastAsia="Times New Roman"/>
                <w:color w:val="000000"/>
                <w:sz w:val="16"/>
                <w:szCs w:val="16"/>
              </w:rPr>
              <w:t> </w:t>
            </w:r>
          </w:p>
        </w:tc>
        <w:tc>
          <w:tcPr>
            <w:tcW w:w="1784"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33"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Inschrijvingssom 2022:</w:t>
            </w:r>
          </w:p>
        </w:tc>
        <w:tc>
          <w:tcPr>
            <w:tcW w:w="1787"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bl>
    <w:p w:rsidR="0007564D" w:rsidRDefault="0007564D" w:rsidP="000262E6">
      <w:pPr>
        <w:tabs>
          <w:tab w:val="left" w:pos="1310"/>
        </w:tabs>
        <w:spacing w:line="260" w:lineRule="atLeast"/>
        <w:jc w:val="both"/>
        <w:rPr>
          <w:b/>
          <w:sz w:val="16"/>
          <w:szCs w:val="16"/>
        </w:rPr>
      </w:pPr>
      <w:r w:rsidRPr="004D0217">
        <w:rPr>
          <w:b/>
          <w:sz w:val="16"/>
          <w:szCs w:val="16"/>
        </w:rPr>
        <w:lastRenderedPageBreak/>
        <w:t>2023</w:t>
      </w:r>
    </w:p>
    <w:p w:rsidR="000262E6" w:rsidRDefault="000262E6" w:rsidP="000262E6">
      <w:pPr>
        <w:tabs>
          <w:tab w:val="left" w:pos="1310"/>
        </w:tabs>
        <w:spacing w:line="260" w:lineRule="atLeast"/>
        <w:jc w:val="both"/>
        <w:rPr>
          <w:b/>
          <w:sz w:val="16"/>
          <w:szCs w:val="16"/>
        </w:rPr>
      </w:pPr>
    </w:p>
    <w:tbl>
      <w:tblPr>
        <w:tblW w:w="10020" w:type="dxa"/>
        <w:tblInd w:w="-10" w:type="dxa"/>
        <w:tblCellMar>
          <w:left w:w="70" w:type="dxa"/>
          <w:right w:w="70" w:type="dxa"/>
        </w:tblCellMar>
        <w:tblLook w:val="04A0" w:firstRow="1" w:lastRow="0" w:firstColumn="1" w:lastColumn="0" w:noHBand="0" w:noVBand="1"/>
      </w:tblPr>
      <w:tblGrid>
        <w:gridCol w:w="2500"/>
        <w:gridCol w:w="1880"/>
        <w:gridCol w:w="1880"/>
        <w:gridCol w:w="1880"/>
        <w:gridCol w:w="1880"/>
      </w:tblGrid>
      <w:tr w:rsidR="000262E6" w:rsidRPr="000262E6" w:rsidTr="000262E6">
        <w:trPr>
          <w:trHeight w:val="240"/>
        </w:trPr>
        <w:tc>
          <w:tcPr>
            <w:tcW w:w="25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b/>
                <w:bCs/>
                <w:color w:val="000000"/>
                <w:sz w:val="14"/>
                <w:szCs w:val="14"/>
              </w:rPr>
            </w:pPr>
            <w:r w:rsidRPr="000262E6">
              <w:rPr>
                <w:rFonts w:eastAsia="Times New Roman"/>
                <w:b/>
                <w:bCs/>
                <w:color w:val="000000"/>
                <w:sz w:val="14"/>
                <w:szCs w:val="14"/>
              </w:rPr>
              <w:t>Directe kosten</w:t>
            </w:r>
          </w:p>
        </w:tc>
        <w:tc>
          <w:tcPr>
            <w:tcW w:w="1880" w:type="dxa"/>
            <w:tcBorders>
              <w:top w:val="single" w:sz="8" w:space="0" w:color="auto"/>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VP/NC</w:t>
            </w:r>
          </w:p>
        </w:tc>
        <w:tc>
          <w:tcPr>
            <w:tcW w:w="1880" w:type="dxa"/>
            <w:tcBorders>
              <w:top w:val="single" w:sz="8" w:space="0" w:color="auto"/>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Aantal (ST/D)</w:t>
            </w:r>
          </w:p>
        </w:tc>
        <w:tc>
          <w:tcPr>
            <w:tcW w:w="1880" w:type="dxa"/>
            <w:tcBorders>
              <w:top w:val="single" w:sz="8" w:space="0" w:color="auto"/>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Eenheidsprijs</w:t>
            </w:r>
          </w:p>
        </w:tc>
        <w:tc>
          <w:tcPr>
            <w:tcW w:w="1880" w:type="dxa"/>
            <w:tcBorders>
              <w:top w:val="single" w:sz="8" w:space="0" w:color="auto"/>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Totaal Kosten</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i/>
                <w:iCs/>
                <w:color w:val="000000"/>
                <w:sz w:val="14"/>
                <w:szCs w:val="14"/>
                <w:u w:val="single"/>
              </w:rPr>
            </w:pPr>
            <w:r w:rsidRPr="000262E6">
              <w:rPr>
                <w:rFonts w:eastAsia="Times New Roman"/>
                <w:i/>
                <w:iCs/>
                <w:color w:val="000000"/>
                <w:sz w:val="14"/>
                <w:szCs w:val="14"/>
                <w:u w:val="single"/>
              </w:rPr>
              <w:t>Projectleiding en Analyse</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Actualisatie Projectplan/PSU</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37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Opzet plan van aanpak Veldwerk NEN 5720**</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Milieu hygiënische verklaringen**</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5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55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Integrale projectmanagent, verslagen, dagrapporten, overleggen en voorbereiding.</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Boorplannen</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5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Gebiedsrapportages</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5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37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 xml:space="preserve">Selectie </w:t>
            </w:r>
            <w:proofErr w:type="spellStart"/>
            <w:r w:rsidRPr="000262E6">
              <w:rPr>
                <w:rFonts w:ascii="Calibri" w:eastAsia="Times New Roman" w:hAnsi="Calibri" w:cs="Calibri"/>
                <w:color w:val="000000"/>
                <w:sz w:val="14"/>
                <w:szCs w:val="14"/>
              </w:rPr>
              <w:t>zandwinvakken</w:t>
            </w:r>
            <w:proofErr w:type="spellEnd"/>
            <w:r w:rsidRPr="000262E6">
              <w:rPr>
                <w:rFonts w:ascii="Calibri" w:eastAsia="Times New Roman" w:hAnsi="Calibri" w:cs="Calibri"/>
                <w:color w:val="000000"/>
                <w:sz w:val="14"/>
                <w:szCs w:val="14"/>
              </w:rPr>
              <w:t xml:space="preserve"> binnen </w:t>
            </w:r>
            <w:proofErr w:type="spellStart"/>
            <w:r w:rsidRPr="000262E6">
              <w:rPr>
                <w:rFonts w:ascii="Calibri" w:eastAsia="Times New Roman" w:hAnsi="Calibri" w:cs="Calibri"/>
                <w:color w:val="000000"/>
                <w:sz w:val="14"/>
                <w:szCs w:val="14"/>
              </w:rPr>
              <w:t>zandwinzoekgebieden</w:t>
            </w:r>
            <w:proofErr w:type="spellEnd"/>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2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37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Aansturingen kwaliteitscontrole veldwerk (per week)*</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3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37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Actualisatie generiek vooronderzoek NEN 5717</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Rapportage “Borgingsdocument”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37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Actualisatie IVP (incl. RIE &amp; calamiteitenplan)</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i/>
                <w:iCs/>
                <w:color w:val="000000"/>
                <w:sz w:val="14"/>
                <w:szCs w:val="14"/>
                <w:u w:val="single"/>
              </w:rPr>
            </w:pPr>
            <w:r w:rsidRPr="000262E6">
              <w:rPr>
                <w:rFonts w:eastAsia="Times New Roman"/>
                <w:i/>
                <w:iCs/>
                <w:color w:val="000000"/>
                <w:sz w:val="14"/>
                <w:szCs w:val="14"/>
                <w:u w:val="single"/>
              </w:rPr>
              <w:t>Lab werkzaamheden milieu**</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 xml:space="preserve">Boormeester*/**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10 D</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C3-analyses**</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24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PFAS-analyses**</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24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Transport monsters**</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2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FF0000"/>
                <w:sz w:val="14"/>
                <w:szCs w:val="14"/>
              </w:rPr>
            </w:pPr>
            <w:proofErr w:type="spellStart"/>
            <w:r w:rsidRPr="000262E6">
              <w:rPr>
                <w:rFonts w:ascii="Calibri" w:eastAsia="Times New Roman" w:hAnsi="Calibri" w:cs="Calibri"/>
                <w:color w:val="FF0000"/>
                <w:sz w:val="14"/>
                <w:szCs w:val="14"/>
              </w:rPr>
              <w:t>Labopdracht</w:t>
            </w:r>
            <w:proofErr w:type="spellEnd"/>
            <w:r w:rsidRPr="000262E6">
              <w:rPr>
                <w:rFonts w:ascii="Calibri" w:eastAsia="Times New Roman" w:hAnsi="Calibri" w:cs="Calibri"/>
                <w:color w:val="FF0000"/>
                <w:sz w:val="14"/>
                <w:szCs w:val="14"/>
              </w:rPr>
              <w:t xml:space="preserve"> per veldwerkperiode**</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2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Deelrapportage**</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i/>
                <w:iCs/>
                <w:color w:val="000000"/>
                <w:sz w:val="14"/>
                <w:szCs w:val="14"/>
                <w:u w:val="single"/>
              </w:rPr>
            </w:pPr>
            <w:r w:rsidRPr="000262E6">
              <w:rPr>
                <w:rFonts w:eastAsia="Times New Roman"/>
                <w:i/>
                <w:iCs/>
                <w:color w:val="000000"/>
                <w:sz w:val="14"/>
                <w:szCs w:val="14"/>
                <w:u w:val="single"/>
              </w:rPr>
              <w:t>Lab werkzaamheden korrelgrootte</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Rapportage resultaten</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Rapportage kwaliteitsborging</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Korrelgrootte analyses</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552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37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Aanleveren analyseresultaten aan BRO</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37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i/>
                <w:iCs/>
                <w:color w:val="000000"/>
                <w:sz w:val="14"/>
                <w:szCs w:val="14"/>
                <w:u w:val="single"/>
              </w:rPr>
            </w:pPr>
            <w:r w:rsidRPr="000262E6">
              <w:rPr>
                <w:rFonts w:eastAsia="Times New Roman"/>
                <w:i/>
                <w:iCs/>
                <w:color w:val="000000"/>
                <w:sz w:val="14"/>
                <w:szCs w:val="14"/>
                <w:u w:val="single"/>
              </w:rPr>
              <w:t>Boorbeschrijvingen en Bemonstering</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37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Beschrijven, bemonsteren en fotograferen</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92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Transport boorkernen</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Afstemmen archeologie</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Tijdelijke opslag monsters</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Rapportage</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Aanleveren beschrijvingen aan BRO</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25"/>
        </w:trPr>
        <w:tc>
          <w:tcPr>
            <w:tcW w:w="2500" w:type="dxa"/>
            <w:vMerge w:val="restart"/>
            <w:tcBorders>
              <w:top w:val="nil"/>
              <w:left w:val="single" w:sz="8" w:space="0" w:color="auto"/>
              <w:bottom w:val="single" w:sz="8" w:space="0" w:color="000000"/>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880" w:type="dxa"/>
            <w:vMerge w:val="restart"/>
            <w:tcBorders>
              <w:top w:val="nil"/>
              <w:left w:val="single" w:sz="8" w:space="0" w:color="auto"/>
              <w:bottom w:val="single" w:sz="8" w:space="0" w:color="000000"/>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880" w:type="dxa"/>
            <w:vMerge w:val="restart"/>
            <w:tcBorders>
              <w:top w:val="nil"/>
              <w:left w:val="single" w:sz="8" w:space="0" w:color="auto"/>
              <w:bottom w:val="single" w:sz="8" w:space="0" w:color="000000"/>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nil"/>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Subtotaal 2023</w:t>
            </w:r>
          </w:p>
        </w:tc>
        <w:tc>
          <w:tcPr>
            <w:tcW w:w="1880" w:type="dxa"/>
            <w:vMerge w:val="restart"/>
            <w:tcBorders>
              <w:top w:val="nil"/>
              <w:left w:val="single" w:sz="8" w:space="0" w:color="auto"/>
              <w:bottom w:val="single" w:sz="8" w:space="0" w:color="000000"/>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vMerge/>
            <w:tcBorders>
              <w:top w:val="nil"/>
              <w:left w:val="single" w:sz="8" w:space="0" w:color="auto"/>
              <w:bottom w:val="single" w:sz="8" w:space="0" w:color="000000"/>
              <w:right w:val="single" w:sz="8" w:space="0" w:color="auto"/>
            </w:tcBorders>
            <w:vAlign w:val="center"/>
            <w:hideMark/>
          </w:tcPr>
          <w:p w:rsidR="000262E6" w:rsidRPr="000262E6" w:rsidRDefault="000262E6" w:rsidP="000262E6">
            <w:pPr>
              <w:spacing w:line="240" w:lineRule="auto"/>
              <w:rPr>
                <w:rFonts w:eastAsia="Times New Roman"/>
                <w:color w:val="000000"/>
                <w:sz w:val="16"/>
                <w:szCs w:val="16"/>
              </w:rPr>
            </w:pPr>
          </w:p>
        </w:tc>
        <w:tc>
          <w:tcPr>
            <w:tcW w:w="1880" w:type="dxa"/>
            <w:vMerge/>
            <w:tcBorders>
              <w:top w:val="nil"/>
              <w:left w:val="single" w:sz="8" w:space="0" w:color="auto"/>
              <w:bottom w:val="single" w:sz="8" w:space="0" w:color="000000"/>
              <w:right w:val="single" w:sz="8" w:space="0" w:color="auto"/>
            </w:tcBorders>
            <w:vAlign w:val="center"/>
            <w:hideMark/>
          </w:tcPr>
          <w:p w:rsidR="000262E6" w:rsidRPr="000262E6" w:rsidRDefault="000262E6" w:rsidP="000262E6">
            <w:pPr>
              <w:spacing w:line="240" w:lineRule="auto"/>
              <w:rPr>
                <w:rFonts w:eastAsia="Times New Roman"/>
                <w:color w:val="000000"/>
                <w:sz w:val="16"/>
                <w:szCs w:val="16"/>
              </w:rPr>
            </w:pPr>
          </w:p>
        </w:tc>
        <w:tc>
          <w:tcPr>
            <w:tcW w:w="1880" w:type="dxa"/>
            <w:vMerge/>
            <w:tcBorders>
              <w:top w:val="nil"/>
              <w:left w:val="single" w:sz="8" w:space="0" w:color="auto"/>
              <w:bottom w:val="single" w:sz="8" w:space="0" w:color="000000"/>
              <w:right w:val="single" w:sz="8" w:space="0" w:color="auto"/>
            </w:tcBorders>
            <w:vAlign w:val="center"/>
            <w:hideMark/>
          </w:tcPr>
          <w:p w:rsidR="000262E6" w:rsidRPr="000262E6" w:rsidRDefault="000262E6" w:rsidP="000262E6">
            <w:pPr>
              <w:spacing w:line="240" w:lineRule="auto"/>
              <w:rPr>
                <w:rFonts w:eastAsia="Times New Roman"/>
                <w:color w:val="000000"/>
                <w:sz w:val="14"/>
                <w:szCs w:val="14"/>
              </w:rPr>
            </w:pP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Incl. optioneel (**)</w:t>
            </w:r>
          </w:p>
        </w:tc>
        <w:tc>
          <w:tcPr>
            <w:tcW w:w="1880" w:type="dxa"/>
            <w:vMerge/>
            <w:tcBorders>
              <w:top w:val="nil"/>
              <w:left w:val="single" w:sz="8" w:space="0" w:color="auto"/>
              <w:bottom w:val="single" w:sz="8" w:space="0" w:color="000000"/>
              <w:right w:val="single" w:sz="8" w:space="0" w:color="auto"/>
            </w:tcBorders>
            <w:vAlign w:val="center"/>
            <w:hideMark/>
          </w:tcPr>
          <w:p w:rsidR="000262E6" w:rsidRPr="000262E6" w:rsidRDefault="000262E6" w:rsidP="000262E6">
            <w:pPr>
              <w:spacing w:line="240" w:lineRule="auto"/>
              <w:rPr>
                <w:rFonts w:eastAsia="Times New Roman"/>
                <w:color w:val="000000"/>
                <w:sz w:val="14"/>
                <w:szCs w:val="14"/>
              </w:rPr>
            </w:pP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right"/>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xml:space="preserve">Indirecte kosten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Algemene kosten</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6"/>
                <w:szCs w:val="16"/>
              </w:rPr>
            </w:pPr>
            <w:r w:rsidRPr="000262E6">
              <w:rPr>
                <w:rFonts w:eastAsia="Times New Roman"/>
                <w:color w:val="000000"/>
                <w:sz w:val="16"/>
                <w:szCs w:val="16"/>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37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Winst (waaronder een eventuele projectkorting)</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6"/>
                <w:szCs w:val="16"/>
              </w:rPr>
            </w:pPr>
            <w:r w:rsidRPr="000262E6">
              <w:rPr>
                <w:rFonts w:eastAsia="Times New Roman"/>
                <w:color w:val="000000"/>
                <w:sz w:val="16"/>
                <w:szCs w:val="16"/>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Risico</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6"/>
                <w:szCs w:val="16"/>
              </w:rPr>
            </w:pPr>
            <w:r w:rsidRPr="000262E6">
              <w:rPr>
                <w:rFonts w:eastAsia="Times New Roman"/>
                <w:color w:val="000000"/>
                <w:sz w:val="16"/>
                <w:szCs w:val="16"/>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25"/>
        </w:trPr>
        <w:tc>
          <w:tcPr>
            <w:tcW w:w="2500" w:type="dxa"/>
            <w:vMerge w:val="restart"/>
            <w:tcBorders>
              <w:top w:val="nil"/>
              <w:left w:val="single" w:sz="8" w:space="0" w:color="auto"/>
              <w:bottom w:val="single" w:sz="8" w:space="0" w:color="000000"/>
              <w:right w:val="single" w:sz="8" w:space="0" w:color="auto"/>
            </w:tcBorders>
            <w:shd w:val="clear" w:color="auto" w:fill="auto"/>
            <w:vAlign w:val="center"/>
            <w:hideMark/>
          </w:tcPr>
          <w:p w:rsidR="000262E6" w:rsidRPr="000262E6" w:rsidRDefault="000262E6" w:rsidP="000262E6">
            <w:pPr>
              <w:spacing w:line="240" w:lineRule="auto"/>
              <w:jc w:val="right"/>
              <w:rPr>
                <w:rFonts w:eastAsia="Times New Roman"/>
                <w:color w:val="000000"/>
                <w:sz w:val="14"/>
                <w:szCs w:val="14"/>
              </w:rPr>
            </w:pPr>
            <w:r w:rsidRPr="000262E6">
              <w:rPr>
                <w:rFonts w:eastAsia="Times New Roman"/>
                <w:color w:val="000000"/>
                <w:sz w:val="14"/>
                <w:szCs w:val="14"/>
              </w:rPr>
              <w:t>Inschrijvingssom:</w:t>
            </w:r>
          </w:p>
        </w:tc>
        <w:tc>
          <w:tcPr>
            <w:tcW w:w="1880" w:type="dxa"/>
            <w:vMerge w:val="restart"/>
            <w:tcBorders>
              <w:top w:val="nil"/>
              <w:left w:val="single" w:sz="8" w:space="0" w:color="auto"/>
              <w:bottom w:val="single" w:sz="8" w:space="0" w:color="000000"/>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880" w:type="dxa"/>
            <w:vMerge w:val="restart"/>
            <w:tcBorders>
              <w:top w:val="nil"/>
              <w:left w:val="single" w:sz="8" w:space="0" w:color="auto"/>
              <w:bottom w:val="single" w:sz="8" w:space="0" w:color="000000"/>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nil"/>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Inschrijvingssom 2023</w:t>
            </w:r>
          </w:p>
        </w:tc>
        <w:tc>
          <w:tcPr>
            <w:tcW w:w="1880" w:type="dxa"/>
            <w:vMerge w:val="restart"/>
            <w:tcBorders>
              <w:top w:val="nil"/>
              <w:left w:val="single" w:sz="8" w:space="0" w:color="auto"/>
              <w:bottom w:val="single" w:sz="8" w:space="0" w:color="000000"/>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vMerge/>
            <w:tcBorders>
              <w:top w:val="nil"/>
              <w:left w:val="single" w:sz="8" w:space="0" w:color="auto"/>
              <w:bottom w:val="single" w:sz="8" w:space="0" w:color="000000"/>
              <w:right w:val="single" w:sz="8" w:space="0" w:color="auto"/>
            </w:tcBorders>
            <w:vAlign w:val="center"/>
            <w:hideMark/>
          </w:tcPr>
          <w:p w:rsidR="000262E6" w:rsidRPr="000262E6" w:rsidRDefault="000262E6" w:rsidP="000262E6">
            <w:pPr>
              <w:spacing w:line="240" w:lineRule="auto"/>
              <w:rPr>
                <w:rFonts w:eastAsia="Times New Roman"/>
                <w:color w:val="000000"/>
                <w:sz w:val="14"/>
                <w:szCs w:val="14"/>
              </w:rPr>
            </w:pPr>
          </w:p>
        </w:tc>
        <w:tc>
          <w:tcPr>
            <w:tcW w:w="1880" w:type="dxa"/>
            <w:vMerge/>
            <w:tcBorders>
              <w:top w:val="nil"/>
              <w:left w:val="single" w:sz="8" w:space="0" w:color="auto"/>
              <w:bottom w:val="single" w:sz="8" w:space="0" w:color="000000"/>
              <w:right w:val="single" w:sz="8" w:space="0" w:color="auto"/>
            </w:tcBorders>
            <w:vAlign w:val="center"/>
            <w:hideMark/>
          </w:tcPr>
          <w:p w:rsidR="000262E6" w:rsidRPr="000262E6" w:rsidRDefault="000262E6" w:rsidP="000262E6">
            <w:pPr>
              <w:spacing w:line="240" w:lineRule="auto"/>
              <w:rPr>
                <w:rFonts w:eastAsia="Times New Roman"/>
                <w:color w:val="000000"/>
                <w:sz w:val="16"/>
                <w:szCs w:val="16"/>
              </w:rPr>
            </w:pPr>
          </w:p>
        </w:tc>
        <w:tc>
          <w:tcPr>
            <w:tcW w:w="1880" w:type="dxa"/>
            <w:vMerge/>
            <w:tcBorders>
              <w:top w:val="nil"/>
              <w:left w:val="single" w:sz="8" w:space="0" w:color="auto"/>
              <w:bottom w:val="single" w:sz="8" w:space="0" w:color="000000"/>
              <w:right w:val="single" w:sz="8" w:space="0" w:color="auto"/>
            </w:tcBorders>
            <w:vAlign w:val="center"/>
            <w:hideMark/>
          </w:tcPr>
          <w:p w:rsidR="000262E6" w:rsidRPr="000262E6" w:rsidRDefault="000262E6" w:rsidP="000262E6">
            <w:pPr>
              <w:spacing w:line="240" w:lineRule="auto"/>
              <w:rPr>
                <w:rFonts w:eastAsia="Times New Roman"/>
                <w:color w:val="000000"/>
                <w:sz w:val="14"/>
                <w:szCs w:val="14"/>
              </w:rPr>
            </w:pP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Incl. optioneel (**)</w:t>
            </w:r>
          </w:p>
        </w:tc>
        <w:tc>
          <w:tcPr>
            <w:tcW w:w="1880" w:type="dxa"/>
            <w:vMerge/>
            <w:tcBorders>
              <w:top w:val="nil"/>
              <w:left w:val="single" w:sz="8" w:space="0" w:color="auto"/>
              <w:bottom w:val="single" w:sz="8" w:space="0" w:color="000000"/>
              <w:right w:val="single" w:sz="8" w:space="0" w:color="auto"/>
            </w:tcBorders>
            <w:vAlign w:val="center"/>
            <w:hideMark/>
          </w:tcPr>
          <w:p w:rsidR="000262E6" w:rsidRPr="000262E6" w:rsidRDefault="000262E6" w:rsidP="000262E6">
            <w:pPr>
              <w:spacing w:line="240" w:lineRule="auto"/>
              <w:rPr>
                <w:rFonts w:eastAsia="Times New Roman"/>
                <w:color w:val="000000"/>
                <w:sz w:val="14"/>
                <w:szCs w:val="14"/>
              </w:rPr>
            </w:pPr>
          </w:p>
        </w:tc>
      </w:tr>
    </w:tbl>
    <w:p w:rsidR="0007564D" w:rsidRDefault="0007564D" w:rsidP="0007564D">
      <w:pPr>
        <w:rPr>
          <w:b/>
          <w:sz w:val="16"/>
          <w:szCs w:val="16"/>
        </w:rPr>
      </w:pPr>
      <w:bookmarkStart w:id="3" w:name="_GoBack"/>
      <w:bookmarkEnd w:id="3"/>
    </w:p>
    <w:p w:rsidR="0007564D" w:rsidRDefault="0007564D" w:rsidP="0007564D">
      <w:pPr>
        <w:tabs>
          <w:tab w:val="left" w:pos="1310"/>
        </w:tabs>
        <w:spacing w:line="260" w:lineRule="atLeast"/>
        <w:ind w:left="-284"/>
        <w:jc w:val="both"/>
        <w:rPr>
          <w:b/>
          <w:sz w:val="16"/>
          <w:szCs w:val="16"/>
        </w:rPr>
      </w:pPr>
      <w:r w:rsidRPr="004D0217">
        <w:rPr>
          <w:b/>
          <w:sz w:val="16"/>
          <w:szCs w:val="16"/>
        </w:rPr>
        <w:t>2024** (OPTIONEEL)</w:t>
      </w:r>
    </w:p>
    <w:p w:rsidR="0007564D" w:rsidRPr="004D0217" w:rsidRDefault="0007564D" w:rsidP="0007564D">
      <w:pPr>
        <w:ind w:left="-567"/>
        <w:rPr>
          <w:b/>
          <w:sz w:val="16"/>
          <w:szCs w:val="16"/>
        </w:rPr>
      </w:pPr>
    </w:p>
    <w:tbl>
      <w:tblPr>
        <w:tblW w:w="10020" w:type="dxa"/>
        <w:tblInd w:w="-10" w:type="dxa"/>
        <w:tblCellMar>
          <w:left w:w="70" w:type="dxa"/>
          <w:right w:w="70" w:type="dxa"/>
        </w:tblCellMar>
        <w:tblLook w:val="04A0" w:firstRow="1" w:lastRow="0" w:firstColumn="1" w:lastColumn="0" w:noHBand="0" w:noVBand="1"/>
      </w:tblPr>
      <w:tblGrid>
        <w:gridCol w:w="2500"/>
        <w:gridCol w:w="1880"/>
        <w:gridCol w:w="1880"/>
        <w:gridCol w:w="1880"/>
        <w:gridCol w:w="1880"/>
      </w:tblGrid>
      <w:tr w:rsidR="000262E6" w:rsidRPr="000262E6" w:rsidTr="000262E6">
        <w:trPr>
          <w:trHeight w:val="240"/>
        </w:trPr>
        <w:tc>
          <w:tcPr>
            <w:tcW w:w="25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b/>
                <w:bCs/>
                <w:color w:val="000000"/>
                <w:sz w:val="14"/>
                <w:szCs w:val="14"/>
              </w:rPr>
            </w:pPr>
            <w:r w:rsidRPr="000262E6">
              <w:rPr>
                <w:rFonts w:eastAsia="Times New Roman"/>
                <w:b/>
                <w:bCs/>
                <w:color w:val="000000"/>
                <w:sz w:val="14"/>
                <w:szCs w:val="14"/>
              </w:rPr>
              <w:t>Directe kosten</w:t>
            </w:r>
            <w:r w:rsidRPr="000262E6">
              <w:rPr>
                <w:rFonts w:eastAsia="Times New Roman"/>
                <w:b/>
                <w:bCs/>
                <w:i/>
                <w:iCs/>
                <w:color w:val="000000"/>
                <w:sz w:val="16"/>
                <w:szCs w:val="16"/>
              </w:rPr>
              <w:t xml:space="preserve"> </w:t>
            </w:r>
          </w:p>
        </w:tc>
        <w:tc>
          <w:tcPr>
            <w:tcW w:w="1880" w:type="dxa"/>
            <w:tcBorders>
              <w:top w:val="single" w:sz="8" w:space="0" w:color="auto"/>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VP/NC</w:t>
            </w:r>
          </w:p>
        </w:tc>
        <w:tc>
          <w:tcPr>
            <w:tcW w:w="1880" w:type="dxa"/>
            <w:tcBorders>
              <w:top w:val="single" w:sz="8" w:space="0" w:color="auto"/>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Aantal (ST/D)</w:t>
            </w:r>
          </w:p>
        </w:tc>
        <w:tc>
          <w:tcPr>
            <w:tcW w:w="1880" w:type="dxa"/>
            <w:tcBorders>
              <w:top w:val="single" w:sz="8" w:space="0" w:color="auto"/>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Eenheidsprijs</w:t>
            </w:r>
          </w:p>
        </w:tc>
        <w:tc>
          <w:tcPr>
            <w:tcW w:w="1880" w:type="dxa"/>
            <w:tcBorders>
              <w:top w:val="single" w:sz="8" w:space="0" w:color="auto"/>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Totaal Kosten</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i/>
                <w:iCs/>
                <w:color w:val="000000"/>
                <w:sz w:val="14"/>
                <w:szCs w:val="14"/>
                <w:u w:val="single"/>
              </w:rPr>
            </w:pPr>
            <w:r w:rsidRPr="000262E6">
              <w:rPr>
                <w:rFonts w:eastAsia="Times New Roman"/>
                <w:i/>
                <w:iCs/>
                <w:color w:val="000000"/>
                <w:sz w:val="14"/>
                <w:szCs w:val="14"/>
                <w:u w:val="single"/>
              </w:rPr>
              <w:t>Projectleiding en Analyse</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Actualisatie Projectplan/PSU</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37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Opzet plan van aanpak Veldwerk NEN 5720**</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Milieu hygiënische verklaringen**</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5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55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Integrale projectmanagent, verslagen, dagrapporten, overleggen en voorbereiding.</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Boorplannen</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5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Gebiedsrapportages</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5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37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 xml:space="preserve">Selectie </w:t>
            </w:r>
            <w:proofErr w:type="spellStart"/>
            <w:r w:rsidRPr="000262E6">
              <w:rPr>
                <w:rFonts w:ascii="Calibri" w:eastAsia="Times New Roman" w:hAnsi="Calibri" w:cs="Calibri"/>
                <w:color w:val="000000"/>
                <w:sz w:val="14"/>
                <w:szCs w:val="14"/>
              </w:rPr>
              <w:t>zandwinvakken</w:t>
            </w:r>
            <w:proofErr w:type="spellEnd"/>
            <w:r w:rsidRPr="000262E6">
              <w:rPr>
                <w:rFonts w:ascii="Calibri" w:eastAsia="Times New Roman" w:hAnsi="Calibri" w:cs="Calibri"/>
                <w:color w:val="000000"/>
                <w:sz w:val="14"/>
                <w:szCs w:val="14"/>
              </w:rPr>
              <w:t xml:space="preserve"> binnen </w:t>
            </w:r>
            <w:proofErr w:type="spellStart"/>
            <w:r w:rsidRPr="000262E6">
              <w:rPr>
                <w:rFonts w:ascii="Calibri" w:eastAsia="Times New Roman" w:hAnsi="Calibri" w:cs="Calibri"/>
                <w:color w:val="000000"/>
                <w:sz w:val="14"/>
                <w:szCs w:val="14"/>
              </w:rPr>
              <w:t>zandwinzoekgebieden</w:t>
            </w:r>
            <w:proofErr w:type="spellEnd"/>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2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37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Aansturingen kwaliteitscontrole veldwerk (per week)*</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3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37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Actualisatie generiek vooronderzoek NEN 5717</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Rapportage “Borgingsdocument”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37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Actualisatie IVP (incl. RIE &amp; calamiteitenplan)</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i/>
                <w:iCs/>
                <w:color w:val="000000"/>
                <w:sz w:val="14"/>
                <w:szCs w:val="14"/>
                <w:u w:val="single"/>
              </w:rPr>
            </w:pPr>
            <w:r w:rsidRPr="000262E6">
              <w:rPr>
                <w:rFonts w:eastAsia="Times New Roman"/>
                <w:i/>
                <w:iCs/>
                <w:color w:val="000000"/>
                <w:sz w:val="14"/>
                <w:szCs w:val="14"/>
                <w:u w:val="single"/>
              </w:rPr>
              <w:t>Lab werkzaamheden milieu**</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 xml:space="preserve">Boormeester*/**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10 D</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C3-analyses**</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24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PFAS-analyses**</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24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Transport monsters**</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2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FF0000"/>
                <w:sz w:val="14"/>
                <w:szCs w:val="14"/>
              </w:rPr>
            </w:pPr>
            <w:proofErr w:type="spellStart"/>
            <w:r w:rsidRPr="000262E6">
              <w:rPr>
                <w:rFonts w:ascii="Calibri" w:eastAsia="Times New Roman" w:hAnsi="Calibri" w:cs="Calibri"/>
                <w:color w:val="FF0000"/>
                <w:sz w:val="14"/>
                <w:szCs w:val="14"/>
              </w:rPr>
              <w:t>Labopdracht</w:t>
            </w:r>
            <w:proofErr w:type="spellEnd"/>
            <w:r w:rsidRPr="000262E6">
              <w:rPr>
                <w:rFonts w:ascii="Calibri" w:eastAsia="Times New Roman" w:hAnsi="Calibri" w:cs="Calibri"/>
                <w:color w:val="FF0000"/>
                <w:sz w:val="14"/>
                <w:szCs w:val="14"/>
              </w:rPr>
              <w:t xml:space="preserve"> per veldwerkperiode**</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2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Deelrapportage**</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i/>
                <w:iCs/>
                <w:color w:val="000000"/>
                <w:sz w:val="14"/>
                <w:szCs w:val="14"/>
                <w:u w:val="single"/>
              </w:rPr>
            </w:pPr>
            <w:r w:rsidRPr="000262E6">
              <w:rPr>
                <w:rFonts w:eastAsia="Times New Roman"/>
                <w:i/>
                <w:iCs/>
                <w:color w:val="000000"/>
                <w:sz w:val="14"/>
                <w:szCs w:val="14"/>
                <w:u w:val="single"/>
              </w:rPr>
              <w:t>Lab werkzaamheden korrelgrootte</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Rapportage resultaten</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Rapportage kwaliteitsborging</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Korrelgrootte analyses</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552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37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Aanleveren analyseresultaten aan BRO</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37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i/>
                <w:iCs/>
                <w:color w:val="000000"/>
                <w:sz w:val="14"/>
                <w:szCs w:val="14"/>
                <w:u w:val="single"/>
              </w:rPr>
            </w:pPr>
            <w:r w:rsidRPr="000262E6">
              <w:rPr>
                <w:rFonts w:eastAsia="Times New Roman"/>
                <w:i/>
                <w:iCs/>
                <w:color w:val="000000"/>
                <w:sz w:val="14"/>
                <w:szCs w:val="14"/>
                <w:u w:val="single"/>
              </w:rPr>
              <w:t>Boorbeschrijvingen en Bemonstering</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37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Beschrijven, bemonsteren en fotograferen</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92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Transport boorkernen</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NC</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Afstemmen archeologie</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Tijdelijke opslag monsters</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Rapportage</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Aanleveren beschrijvingen aan BRO</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VP</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1 ST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25"/>
        </w:trPr>
        <w:tc>
          <w:tcPr>
            <w:tcW w:w="2500" w:type="dxa"/>
            <w:vMerge w:val="restart"/>
            <w:tcBorders>
              <w:top w:val="nil"/>
              <w:left w:val="single" w:sz="8" w:space="0" w:color="auto"/>
              <w:bottom w:val="single" w:sz="8" w:space="0" w:color="000000"/>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880" w:type="dxa"/>
            <w:vMerge w:val="restart"/>
            <w:tcBorders>
              <w:top w:val="nil"/>
              <w:left w:val="single" w:sz="8" w:space="0" w:color="auto"/>
              <w:bottom w:val="single" w:sz="8" w:space="0" w:color="000000"/>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880" w:type="dxa"/>
            <w:vMerge w:val="restart"/>
            <w:tcBorders>
              <w:top w:val="nil"/>
              <w:left w:val="single" w:sz="8" w:space="0" w:color="auto"/>
              <w:bottom w:val="single" w:sz="8" w:space="0" w:color="000000"/>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nil"/>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Subtotaal 2024</w:t>
            </w:r>
          </w:p>
        </w:tc>
        <w:tc>
          <w:tcPr>
            <w:tcW w:w="1880" w:type="dxa"/>
            <w:vMerge w:val="restart"/>
            <w:tcBorders>
              <w:top w:val="nil"/>
              <w:left w:val="single" w:sz="8" w:space="0" w:color="auto"/>
              <w:bottom w:val="single" w:sz="8" w:space="0" w:color="000000"/>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vMerge/>
            <w:tcBorders>
              <w:top w:val="nil"/>
              <w:left w:val="single" w:sz="8" w:space="0" w:color="auto"/>
              <w:bottom w:val="single" w:sz="8" w:space="0" w:color="000000"/>
              <w:right w:val="single" w:sz="8" w:space="0" w:color="auto"/>
            </w:tcBorders>
            <w:vAlign w:val="center"/>
            <w:hideMark/>
          </w:tcPr>
          <w:p w:rsidR="000262E6" w:rsidRPr="000262E6" w:rsidRDefault="000262E6" w:rsidP="000262E6">
            <w:pPr>
              <w:spacing w:line="240" w:lineRule="auto"/>
              <w:rPr>
                <w:rFonts w:eastAsia="Times New Roman"/>
                <w:color w:val="000000"/>
                <w:sz w:val="16"/>
                <w:szCs w:val="16"/>
              </w:rPr>
            </w:pPr>
          </w:p>
        </w:tc>
        <w:tc>
          <w:tcPr>
            <w:tcW w:w="1880" w:type="dxa"/>
            <w:vMerge/>
            <w:tcBorders>
              <w:top w:val="nil"/>
              <w:left w:val="single" w:sz="8" w:space="0" w:color="auto"/>
              <w:bottom w:val="single" w:sz="8" w:space="0" w:color="000000"/>
              <w:right w:val="single" w:sz="8" w:space="0" w:color="auto"/>
            </w:tcBorders>
            <w:vAlign w:val="center"/>
            <w:hideMark/>
          </w:tcPr>
          <w:p w:rsidR="000262E6" w:rsidRPr="000262E6" w:rsidRDefault="000262E6" w:rsidP="000262E6">
            <w:pPr>
              <w:spacing w:line="240" w:lineRule="auto"/>
              <w:rPr>
                <w:rFonts w:eastAsia="Times New Roman"/>
                <w:color w:val="000000"/>
                <w:sz w:val="16"/>
                <w:szCs w:val="16"/>
              </w:rPr>
            </w:pPr>
          </w:p>
        </w:tc>
        <w:tc>
          <w:tcPr>
            <w:tcW w:w="1880" w:type="dxa"/>
            <w:vMerge/>
            <w:tcBorders>
              <w:top w:val="nil"/>
              <w:left w:val="single" w:sz="8" w:space="0" w:color="auto"/>
              <w:bottom w:val="single" w:sz="8" w:space="0" w:color="000000"/>
              <w:right w:val="single" w:sz="8" w:space="0" w:color="auto"/>
            </w:tcBorders>
            <w:vAlign w:val="center"/>
            <w:hideMark/>
          </w:tcPr>
          <w:p w:rsidR="000262E6" w:rsidRPr="000262E6" w:rsidRDefault="000262E6" w:rsidP="000262E6">
            <w:pPr>
              <w:spacing w:line="240" w:lineRule="auto"/>
              <w:rPr>
                <w:rFonts w:eastAsia="Times New Roman"/>
                <w:color w:val="000000"/>
                <w:sz w:val="14"/>
                <w:szCs w:val="14"/>
              </w:rPr>
            </w:pP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Incl. optioneel (**)</w:t>
            </w:r>
          </w:p>
        </w:tc>
        <w:tc>
          <w:tcPr>
            <w:tcW w:w="1880" w:type="dxa"/>
            <w:vMerge/>
            <w:tcBorders>
              <w:top w:val="nil"/>
              <w:left w:val="single" w:sz="8" w:space="0" w:color="auto"/>
              <w:bottom w:val="single" w:sz="8" w:space="0" w:color="000000"/>
              <w:right w:val="single" w:sz="8" w:space="0" w:color="auto"/>
            </w:tcBorders>
            <w:vAlign w:val="center"/>
            <w:hideMark/>
          </w:tcPr>
          <w:p w:rsidR="000262E6" w:rsidRPr="000262E6" w:rsidRDefault="000262E6" w:rsidP="000262E6">
            <w:pPr>
              <w:spacing w:line="240" w:lineRule="auto"/>
              <w:rPr>
                <w:rFonts w:eastAsia="Times New Roman"/>
                <w:color w:val="000000"/>
                <w:sz w:val="14"/>
                <w:szCs w:val="14"/>
              </w:rPr>
            </w:pP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right"/>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xml:space="preserve">Indirecte kosten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Algemene kosten</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6"/>
                <w:szCs w:val="16"/>
              </w:rPr>
            </w:pPr>
            <w:r w:rsidRPr="000262E6">
              <w:rPr>
                <w:rFonts w:eastAsia="Times New Roman"/>
                <w:color w:val="000000"/>
                <w:sz w:val="16"/>
                <w:szCs w:val="16"/>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375"/>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Winst (waaronder een eventuele projectkorting)</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6"/>
                <w:szCs w:val="16"/>
              </w:rPr>
            </w:pPr>
            <w:r w:rsidRPr="000262E6">
              <w:rPr>
                <w:rFonts w:eastAsia="Times New Roman"/>
                <w:color w:val="000000"/>
                <w:sz w:val="16"/>
                <w:szCs w:val="16"/>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tcBorders>
              <w:top w:val="nil"/>
              <w:left w:val="single" w:sz="8" w:space="0" w:color="auto"/>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ascii="Calibri" w:eastAsia="Times New Roman" w:hAnsi="Calibri" w:cs="Calibri"/>
                <w:color w:val="000000"/>
                <w:sz w:val="14"/>
                <w:szCs w:val="14"/>
              </w:rPr>
            </w:pPr>
            <w:r w:rsidRPr="000262E6">
              <w:rPr>
                <w:rFonts w:ascii="Calibri" w:eastAsia="Times New Roman" w:hAnsi="Calibri" w:cs="Calibri"/>
                <w:color w:val="000000"/>
                <w:sz w:val="14"/>
                <w:szCs w:val="14"/>
              </w:rPr>
              <w:t>Risico</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6"/>
                <w:szCs w:val="16"/>
              </w:rPr>
            </w:pPr>
            <w:r w:rsidRPr="000262E6">
              <w:rPr>
                <w:rFonts w:eastAsia="Times New Roman"/>
                <w:color w:val="000000"/>
                <w:sz w:val="16"/>
                <w:szCs w:val="16"/>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jc w:val="center"/>
              <w:rPr>
                <w:rFonts w:eastAsia="Times New Roman"/>
                <w:color w:val="000000"/>
                <w:sz w:val="14"/>
                <w:szCs w:val="14"/>
              </w:rPr>
            </w:pPr>
            <w:r w:rsidRPr="000262E6">
              <w:rPr>
                <w:rFonts w:eastAsia="Times New Roman"/>
                <w:color w:val="000000"/>
                <w:sz w:val="14"/>
                <w:szCs w:val="14"/>
              </w:rPr>
              <w:t>-</w:t>
            </w: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25"/>
        </w:trPr>
        <w:tc>
          <w:tcPr>
            <w:tcW w:w="2500" w:type="dxa"/>
            <w:vMerge w:val="restart"/>
            <w:tcBorders>
              <w:top w:val="nil"/>
              <w:left w:val="single" w:sz="8" w:space="0" w:color="auto"/>
              <w:bottom w:val="single" w:sz="8" w:space="0" w:color="000000"/>
              <w:right w:val="single" w:sz="8" w:space="0" w:color="auto"/>
            </w:tcBorders>
            <w:shd w:val="clear" w:color="auto" w:fill="auto"/>
            <w:vAlign w:val="center"/>
            <w:hideMark/>
          </w:tcPr>
          <w:p w:rsidR="000262E6" w:rsidRPr="000262E6" w:rsidRDefault="000262E6" w:rsidP="000262E6">
            <w:pPr>
              <w:spacing w:line="240" w:lineRule="auto"/>
              <w:jc w:val="right"/>
              <w:rPr>
                <w:rFonts w:eastAsia="Times New Roman"/>
                <w:color w:val="000000"/>
                <w:sz w:val="16"/>
                <w:szCs w:val="16"/>
              </w:rPr>
            </w:pPr>
            <w:r w:rsidRPr="000262E6">
              <w:rPr>
                <w:rFonts w:eastAsia="Times New Roman"/>
                <w:color w:val="000000"/>
                <w:sz w:val="16"/>
                <w:szCs w:val="16"/>
              </w:rPr>
              <w:t> </w:t>
            </w:r>
          </w:p>
        </w:tc>
        <w:tc>
          <w:tcPr>
            <w:tcW w:w="1880" w:type="dxa"/>
            <w:vMerge w:val="restart"/>
            <w:tcBorders>
              <w:top w:val="nil"/>
              <w:left w:val="single" w:sz="8" w:space="0" w:color="auto"/>
              <w:bottom w:val="single" w:sz="8" w:space="0" w:color="000000"/>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6"/>
                <w:szCs w:val="16"/>
              </w:rPr>
            </w:pPr>
            <w:r w:rsidRPr="000262E6">
              <w:rPr>
                <w:rFonts w:eastAsia="Times New Roman"/>
                <w:color w:val="000000"/>
                <w:sz w:val="16"/>
                <w:szCs w:val="16"/>
              </w:rPr>
              <w:t> </w:t>
            </w:r>
          </w:p>
        </w:tc>
        <w:tc>
          <w:tcPr>
            <w:tcW w:w="1880" w:type="dxa"/>
            <w:vMerge w:val="restart"/>
            <w:tcBorders>
              <w:top w:val="nil"/>
              <w:left w:val="single" w:sz="8" w:space="0" w:color="auto"/>
              <w:bottom w:val="single" w:sz="8" w:space="0" w:color="000000"/>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 </w:t>
            </w:r>
          </w:p>
        </w:tc>
        <w:tc>
          <w:tcPr>
            <w:tcW w:w="1880" w:type="dxa"/>
            <w:tcBorders>
              <w:top w:val="nil"/>
              <w:left w:val="nil"/>
              <w:bottom w:val="nil"/>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Inschrijvingssom 2024</w:t>
            </w:r>
          </w:p>
        </w:tc>
        <w:tc>
          <w:tcPr>
            <w:tcW w:w="1880" w:type="dxa"/>
            <w:vMerge w:val="restart"/>
            <w:tcBorders>
              <w:top w:val="nil"/>
              <w:left w:val="single" w:sz="8" w:space="0" w:color="auto"/>
              <w:bottom w:val="single" w:sz="8" w:space="0" w:color="000000"/>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w:t>
            </w:r>
          </w:p>
        </w:tc>
      </w:tr>
      <w:tr w:rsidR="000262E6" w:rsidRPr="000262E6" w:rsidTr="000262E6">
        <w:trPr>
          <w:trHeight w:val="240"/>
        </w:trPr>
        <w:tc>
          <w:tcPr>
            <w:tcW w:w="2500" w:type="dxa"/>
            <w:vMerge/>
            <w:tcBorders>
              <w:top w:val="nil"/>
              <w:left w:val="single" w:sz="8" w:space="0" w:color="auto"/>
              <w:bottom w:val="single" w:sz="8" w:space="0" w:color="000000"/>
              <w:right w:val="single" w:sz="8" w:space="0" w:color="auto"/>
            </w:tcBorders>
            <w:vAlign w:val="center"/>
            <w:hideMark/>
          </w:tcPr>
          <w:p w:rsidR="000262E6" w:rsidRPr="000262E6" w:rsidRDefault="000262E6" w:rsidP="000262E6">
            <w:pPr>
              <w:spacing w:line="240" w:lineRule="auto"/>
              <w:rPr>
                <w:rFonts w:eastAsia="Times New Roman"/>
                <w:color w:val="000000"/>
                <w:sz w:val="16"/>
                <w:szCs w:val="16"/>
              </w:rPr>
            </w:pPr>
          </w:p>
        </w:tc>
        <w:tc>
          <w:tcPr>
            <w:tcW w:w="1880" w:type="dxa"/>
            <w:vMerge/>
            <w:tcBorders>
              <w:top w:val="nil"/>
              <w:left w:val="single" w:sz="8" w:space="0" w:color="auto"/>
              <w:bottom w:val="single" w:sz="8" w:space="0" w:color="000000"/>
              <w:right w:val="single" w:sz="8" w:space="0" w:color="auto"/>
            </w:tcBorders>
            <w:vAlign w:val="center"/>
            <w:hideMark/>
          </w:tcPr>
          <w:p w:rsidR="000262E6" w:rsidRPr="000262E6" w:rsidRDefault="000262E6" w:rsidP="000262E6">
            <w:pPr>
              <w:spacing w:line="240" w:lineRule="auto"/>
              <w:rPr>
                <w:rFonts w:eastAsia="Times New Roman"/>
                <w:color w:val="000000"/>
                <w:sz w:val="16"/>
                <w:szCs w:val="16"/>
              </w:rPr>
            </w:pPr>
          </w:p>
        </w:tc>
        <w:tc>
          <w:tcPr>
            <w:tcW w:w="1880" w:type="dxa"/>
            <w:vMerge/>
            <w:tcBorders>
              <w:top w:val="nil"/>
              <w:left w:val="single" w:sz="8" w:space="0" w:color="auto"/>
              <w:bottom w:val="single" w:sz="8" w:space="0" w:color="000000"/>
              <w:right w:val="single" w:sz="8" w:space="0" w:color="auto"/>
            </w:tcBorders>
            <w:vAlign w:val="center"/>
            <w:hideMark/>
          </w:tcPr>
          <w:p w:rsidR="000262E6" w:rsidRPr="000262E6" w:rsidRDefault="000262E6" w:rsidP="000262E6">
            <w:pPr>
              <w:spacing w:line="240" w:lineRule="auto"/>
              <w:rPr>
                <w:rFonts w:eastAsia="Times New Roman"/>
                <w:color w:val="000000"/>
                <w:sz w:val="14"/>
                <w:szCs w:val="14"/>
              </w:rPr>
            </w:pPr>
          </w:p>
        </w:tc>
        <w:tc>
          <w:tcPr>
            <w:tcW w:w="1880" w:type="dxa"/>
            <w:tcBorders>
              <w:top w:val="nil"/>
              <w:left w:val="nil"/>
              <w:bottom w:val="single" w:sz="8" w:space="0" w:color="auto"/>
              <w:right w:val="single" w:sz="8" w:space="0" w:color="auto"/>
            </w:tcBorders>
            <w:shd w:val="clear" w:color="auto" w:fill="auto"/>
            <w:vAlign w:val="center"/>
            <w:hideMark/>
          </w:tcPr>
          <w:p w:rsidR="000262E6" w:rsidRPr="000262E6" w:rsidRDefault="000262E6" w:rsidP="000262E6">
            <w:pPr>
              <w:spacing w:line="240" w:lineRule="auto"/>
              <w:rPr>
                <w:rFonts w:eastAsia="Times New Roman"/>
                <w:color w:val="000000"/>
                <w:sz w:val="14"/>
                <w:szCs w:val="14"/>
              </w:rPr>
            </w:pPr>
            <w:r w:rsidRPr="000262E6">
              <w:rPr>
                <w:rFonts w:eastAsia="Times New Roman"/>
                <w:color w:val="000000"/>
                <w:sz w:val="14"/>
                <w:szCs w:val="14"/>
              </w:rPr>
              <w:t>Incl. optioneel (**)</w:t>
            </w:r>
          </w:p>
        </w:tc>
        <w:tc>
          <w:tcPr>
            <w:tcW w:w="1880" w:type="dxa"/>
            <w:vMerge/>
            <w:tcBorders>
              <w:top w:val="nil"/>
              <w:left w:val="single" w:sz="8" w:space="0" w:color="auto"/>
              <w:bottom w:val="single" w:sz="8" w:space="0" w:color="000000"/>
              <w:right w:val="single" w:sz="8" w:space="0" w:color="auto"/>
            </w:tcBorders>
            <w:vAlign w:val="center"/>
            <w:hideMark/>
          </w:tcPr>
          <w:p w:rsidR="000262E6" w:rsidRPr="000262E6" w:rsidRDefault="000262E6" w:rsidP="000262E6">
            <w:pPr>
              <w:spacing w:line="240" w:lineRule="auto"/>
              <w:rPr>
                <w:rFonts w:eastAsia="Times New Roman"/>
                <w:color w:val="000000"/>
                <w:sz w:val="14"/>
                <w:szCs w:val="14"/>
              </w:rPr>
            </w:pPr>
          </w:p>
        </w:tc>
      </w:tr>
    </w:tbl>
    <w:p w:rsidR="0007564D" w:rsidRPr="00B16B92" w:rsidRDefault="0007564D" w:rsidP="0007564D">
      <w:pPr>
        <w:rPr>
          <w:b/>
          <w:bCs/>
        </w:rPr>
      </w:pPr>
    </w:p>
    <w:p w:rsidR="0007564D" w:rsidRPr="00B16B92" w:rsidRDefault="0007564D" w:rsidP="0007564D">
      <w:pPr>
        <w:rPr>
          <w:rFonts w:eastAsia="Times New Roman" w:cs="Arial"/>
        </w:rPr>
      </w:pPr>
      <w:r w:rsidRPr="00B16B92">
        <w:rPr>
          <w:rFonts w:eastAsia="Times New Roman" w:cs="Arial"/>
        </w:rPr>
        <w:t>*) Bij weersverlet tijdens uitvoering worden 100% van de kosten vergoed (mensen) met een maximum van 1 week. Bij uitstel van de werkzaamheden (vanwege verwachte weer of beschikbaarheid meetschip) binnen 1 week voor geplande start wordt 25% van de kosten (mensen) met een maximum van 1 week.</w:t>
      </w:r>
    </w:p>
    <w:p w:rsidR="0007564D" w:rsidRPr="00B16B92" w:rsidRDefault="0007564D" w:rsidP="0007564D"/>
    <w:p w:rsidR="0007564D" w:rsidRPr="00B16B92" w:rsidRDefault="0007564D" w:rsidP="0007564D">
      <w:r w:rsidRPr="00B16B92">
        <w:t>**) Optioneel. Prijzen zijn wel onderdeel van de inschrijfsom.</w:t>
      </w:r>
    </w:p>
    <w:p w:rsidR="0007564D" w:rsidRPr="00B16B92" w:rsidRDefault="0007564D" w:rsidP="0007564D"/>
    <w:p w:rsidR="0007564D" w:rsidRPr="00B16B92" w:rsidRDefault="0007564D" w:rsidP="0007564D">
      <w:pPr>
        <w:tabs>
          <w:tab w:val="left" w:pos="1310"/>
        </w:tabs>
        <w:spacing w:line="260" w:lineRule="atLeast"/>
        <w:jc w:val="both"/>
        <w:rPr>
          <w:szCs w:val="18"/>
        </w:rPr>
      </w:pPr>
      <w:r w:rsidRPr="00B16B92">
        <w:rPr>
          <w:b/>
          <w:szCs w:val="18"/>
        </w:rPr>
        <w:t>vp =</w:t>
      </w:r>
      <w:r w:rsidRPr="00B16B92">
        <w:rPr>
          <w:szCs w:val="18"/>
        </w:rPr>
        <w:t xml:space="preserve"> op basis van vaste prijs.</w:t>
      </w:r>
    </w:p>
    <w:p w:rsidR="0007564D" w:rsidRPr="00B16B92" w:rsidRDefault="0007564D" w:rsidP="0007564D">
      <w:pPr>
        <w:tabs>
          <w:tab w:val="left" w:pos="1310"/>
        </w:tabs>
        <w:spacing w:line="260" w:lineRule="atLeast"/>
        <w:jc w:val="both"/>
        <w:rPr>
          <w:szCs w:val="18"/>
        </w:rPr>
      </w:pPr>
      <w:proofErr w:type="spellStart"/>
      <w:r w:rsidRPr="00B16B92">
        <w:rPr>
          <w:b/>
          <w:szCs w:val="18"/>
        </w:rPr>
        <w:t>nc</w:t>
      </w:r>
      <w:proofErr w:type="spellEnd"/>
      <w:r w:rsidRPr="00B16B92">
        <w:rPr>
          <w:b/>
          <w:szCs w:val="18"/>
        </w:rPr>
        <w:t xml:space="preserve"> =</w:t>
      </w:r>
      <w:r w:rsidRPr="00B16B92">
        <w:rPr>
          <w:szCs w:val="18"/>
        </w:rPr>
        <w:t xml:space="preserve"> op basis van nacalculatie = vaste prijs per stuk op basis van een verrekenbare hoeveelheid (Aantal). </w:t>
      </w:r>
    </w:p>
    <w:p w:rsidR="0007564D" w:rsidRPr="00B16B92" w:rsidRDefault="0007564D" w:rsidP="0007564D">
      <w:pPr>
        <w:tabs>
          <w:tab w:val="left" w:pos="1310"/>
        </w:tabs>
        <w:spacing w:line="260" w:lineRule="atLeast"/>
        <w:jc w:val="both"/>
        <w:rPr>
          <w:szCs w:val="18"/>
        </w:rPr>
      </w:pPr>
      <w:r w:rsidRPr="00B16B92">
        <w:rPr>
          <w:szCs w:val="18"/>
        </w:rPr>
        <w:t>Betreffende de deelproducten die op basis van nacalculatie worden verrekend wordt met de Opdrachtnemer het in deze Kostenstaat vastgelegde bedrag per stuk overeengekomen. Tijdens de uitvoering wordt de daadwerkelijk uitgevoerde en/of verwerkte hoeveelheid in onderling overleg tussen de Opdrachtnemer en de Projectbegeleider OG schriftelijk vastgesteld. De door de Projectbegeleider OG schriftelijk geaccepteerde hoeveelheid wordt verrekend.</w:t>
      </w:r>
    </w:p>
    <w:p w:rsidR="0007564D" w:rsidRPr="00B16B92" w:rsidRDefault="0007564D" w:rsidP="0007564D"/>
    <w:p w:rsidR="0007564D" w:rsidRPr="00B16B92" w:rsidRDefault="0007564D" w:rsidP="0007564D">
      <w:pPr>
        <w:rPr>
          <w:szCs w:val="18"/>
        </w:rPr>
      </w:pPr>
      <w:r w:rsidRPr="00B16B92">
        <w:rPr>
          <w:szCs w:val="18"/>
        </w:rPr>
        <w:t>De post “Integrale projectmanagent, verslagen, dagrapporten, overleggen en voorbereiding” wordt als 1 enkele post gezien en is onafhankelijk van het aantal veldwerken en mobilisaties dat wordt uitgevoerd.</w:t>
      </w:r>
    </w:p>
    <w:p w:rsidR="0007564D" w:rsidRPr="00B16B92" w:rsidRDefault="0007564D" w:rsidP="0007564D">
      <w:pPr>
        <w:rPr>
          <w:szCs w:val="18"/>
        </w:rPr>
      </w:pPr>
    </w:p>
    <w:p w:rsidR="0007564D" w:rsidRPr="00B16B92" w:rsidRDefault="0007564D" w:rsidP="0007564D">
      <w:pPr>
        <w:tabs>
          <w:tab w:val="left" w:pos="1310"/>
        </w:tabs>
        <w:spacing w:line="260" w:lineRule="atLeast"/>
        <w:jc w:val="both"/>
        <w:rPr>
          <w:b/>
          <w:i/>
          <w:iCs/>
          <w:szCs w:val="18"/>
        </w:rPr>
      </w:pPr>
      <w:r w:rsidRPr="00B16B92">
        <w:rPr>
          <w:b/>
          <w:i/>
          <w:iCs/>
          <w:szCs w:val="18"/>
        </w:rPr>
        <w:t>Verzamelstaat t.b.v. totaal inschrijvingssom.</w:t>
      </w:r>
    </w:p>
    <w:p w:rsidR="0007564D" w:rsidRPr="00B16B92" w:rsidRDefault="0007564D" w:rsidP="0007564D">
      <w:pPr>
        <w:tabs>
          <w:tab w:val="left" w:pos="1310"/>
        </w:tabs>
        <w:spacing w:line="260" w:lineRule="atLeast"/>
        <w:jc w:val="both"/>
        <w:rPr>
          <w:szCs w:val="18"/>
        </w:rPr>
      </w:pPr>
    </w:p>
    <w:tbl>
      <w:tblPr>
        <w:tblStyle w:val="Tabelraster1"/>
        <w:tblW w:w="7366" w:type="dxa"/>
        <w:tblLook w:val="04A0" w:firstRow="1" w:lastRow="0" w:firstColumn="1" w:lastColumn="0" w:noHBand="0" w:noVBand="1"/>
      </w:tblPr>
      <w:tblGrid>
        <w:gridCol w:w="4957"/>
        <w:gridCol w:w="2409"/>
      </w:tblGrid>
      <w:tr w:rsidR="0007564D" w:rsidRPr="00B16B92" w:rsidTr="007F5109">
        <w:trPr>
          <w:cnfStyle w:val="100000000000" w:firstRow="1" w:lastRow="0" w:firstColumn="0" w:lastColumn="0" w:oddVBand="0" w:evenVBand="0" w:oddHBand="0" w:evenHBand="0" w:firstRowFirstColumn="0" w:firstRowLastColumn="0" w:lastRowFirstColumn="0" w:lastRowLastColumn="0"/>
        </w:trPr>
        <w:tc>
          <w:tcPr>
            <w:tcW w:w="4957" w:type="dxa"/>
          </w:tcPr>
          <w:p w:rsidR="0007564D" w:rsidRPr="00B16B92" w:rsidRDefault="0007564D" w:rsidP="007F5109">
            <w:pPr>
              <w:tabs>
                <w:tab w:val="left" w:pos="1310"/>
              </w:tabs>
              <w:spacing w:line="260" w:lineRule="atLeast"/>
              <w:jc w:val="both"/>
              <w:rPr>
                <w:szCs w:val="18"/>
              </w:rPr>
            </w:pPr>
          </w:p>
        </w:tc>
        <w:tc>
          <w:tcPr>
            <w:tcW w:w="2409" w:type="dxa"/>
          </w:tcPr>
          <w:p w:rsidR="0007564D" w:rsidRPr="00B16B92" w:rsidRDefault="0007564D" w:rsidP="007F5109">
            <w:pPr>
              <w:tabs>
                <w:tab w:val="left" w:pos="1310"/>
              </w:tabs>
              <w:spacing w:line="260" w:lineRule="atLeast"/>
              <w:jc w:val="both"/>
              <w:rPr>
                <w:szCs w:val="18"/>
              </w:rPr>
            </w:pPr>
            <w:r w:rsidRPr="00B16B92">
              <w:rPr>
                <w:szCs w:val="18"/>
              </w:rPr>
              <w:t>Bedrag</w:t>
            </w:r>
          </w:p>
        </w:tc>
      </w:tr>
      <w:tr w:rsidR="0007564D" w:rsidRPr="00B16B92" w:rsidTr="007F5109">
        <w:tc>
          <w:tcPr>
            <w:tcW w:w="4957" w:type="dxa"/>
          </w:tcPr>
          <w:p w:rsidR="0007564D" w:rsidRPr="00B16B92" w:rsidRDefault="0007564D" w:rsidP="007F5109">
            <w:pPr>
              <w:tabs>
                <w:tab w:val="left" w:pos="1310"/>
              </w:tabs>
              <w:spacing w:line="260" w:lineRule="atLeast"/>
              <w:jc w:val="both"/>
              <w:rPr>
                <w:szCs w:val="18"/>
              </w:rPr>
            </w:pPr>
            <w:r w:rsidRPr="00B16B92">
              <w:rPr>
                <w:szCs w:val="18"/>
              </w:rPr>
              <w:t>Inschrijvingssom 2022</w:t>
            </w:r>
          </w:p>
        </w:tc>
        <w:tc>
          <w:tcPr>
            <w:tcW w:w="2409" w:type="dxa"/>
          </w:tcPr>
          <w:p w:rsidR="0007564D" w:rsidRPr="00B16B92" w:rsidRDefault="0007564D" w:rsidP="007F5109">
            <w:pPr>
              <w:tabs>
                <w:tab w:val="left" w:pos="1310"/>
              </w:tabs>
              <w:spacing w:line="260" w:lineRule="atLeast"/>
              <w:jc w:val="both"/>
              <w:rPr>
                <w:szCs w:val="18"/>
              </w:rPr>
            </w:pPr>
            <w:r w:rsidRPr="00B16B92">
              <w:rPr>
                <w:rFonts w:cs="Verdana"/>
                <w:szCs w:val="18"/>
              </w:rPr>
              <w:t>€</w:t>
            </w:r>
          </w:p>
        </w:tc>
      </w:tr>
      <w:tr w:rsidR="0007564D" w:rsidRPr="00B16B92" w:rsidTr="007F5109">
        <w:tc>
          <w:tcPr>
            <w:tcW w:w="4957" w:type="dxa"/>
          </w:tcPr>
          <w:p w:rsidR="0007564D" w:rsidRPr="00B16B92" w:rsidRDefault="0007564D" w:rsidP="007F5109">
            <w:pPr>
              <w:tabs>
                <w:tab w:val="left" w:pos="1310"/>
              </w:tabs>
              <w:spacing w:line="260" w:lineRule="atLeast"/>
              <w:jc w:val="both"/>
              <w:rPr>
                <w:szCs w:val="18"/>
              </w:rPr>
            </w:pPr>
            <w:r w:rsidRPr="00B16B92">
              <w:rPr>
                <w:szCs w:val="18"/>
              </w:rPr>
              <w:t>Inschrijvingssom 2023</w:t>
            </w:r>
          </w:p>
        </w:tc>
        <w:tc>
          <w:tcPr>
            <w:tcW w:w="2409" w:type="dxa"/>
          </w:tcPr>
          <w:p w:rsidR="0007564D" w:rsidRPr="00B16B92" w:rsidRDefault="0007564D" w:rsidP="007F5109">
            <w:pPr>
              <w:tabs>
                <w:tab w:val="left" w:pos="1310"/>
              </w:tabs>
              <w:spacing w:line="260" w:lineRule="atLeast"/>
              <w:jc w:val="both"/>
              <w:rPr>
                <w:szCs w:val="18"/>
              </w:rPr>
            </w:pPr>
            <w:r w:rsidRPr="00B16B92">
              <w:rPr>
                <w:rFonts w:cs="Verdana"/>
                <w:szCs w:val="18"/>
              </w:rPr>
              <w:t>€</w:t>
            </w:r>
          </w:p>
        </w:tc>
      </w:tr>
      <w:tr w:rsidR="0007564D" w:rsidRPr="00B16B92" w:rsidTr="007F5109">
        <w:tc>
          <w:tcPr>
            <w:tcW w:w="4957" w:type="dxa"/>
          </w:tcPr>
          <w:p w:rsidR="0007564D" w:rsidRPr="00B16B92" w:rsidRDefault="0007564D" w:rsidP="007F5109">
            <w:pPr>
              <w:tabs>
                <w:tab w:val="left" w:pos="1310"/>
              </w:tabs>
              <w:spacing w:line="260" w:lineRule="atLeast"/>
              <w:jc w:val="both"/>
              <w:rPr>
                <w:szCs w:val="18"/>
              </w:rPr>
            </w:pPr>
            <w:r w:rsidRPr="00B16B92">
              <w:rPr>
                <w:szCs w:val="18"/>
              </w:rPr>
              <w:t>Inschrijvingssom 2024</w:t>
            </w:r>
          </w:p>
        </w:tc>
        <w:tc>
          <w:tcPr>
            <w:tcW w:w="2409" w:type="dxa"/>
          </w:tcPr>
          <w:p w:rsidR="0007564D" w:rsidRPr="00B16B92" w:rsidRDefault="0007564D" w:rsidP="007F5109">
            <w:pPr>
              <w:tabs>
                <w:tab w:val="left" w:pos="1310"/>
              </w:tabs>
              <w:spacing w:line="260" w:lineRule="atLeast"/>
              <w:jc w:val="both"/>
              <w:rPr>
                <w:szCs w:val="18"/>
              </w:rPr>
            </w:pPr>
            <w:r w:rsidRPr="00B16B92">
              <w:rPr>
                <w:rFonts w:cs="Verdana"/>
                <w:szCs w:val="18"/>
              </w:rPr>
              <w:t>€</w:t>
            </w:r>
          </w:p>
        </w:tc>
      </w:tr>
      <w:tr w:rsidR="0007564D" w:rsidRPr="00B16B92" w:rsidTr="007F5109">
        <w:tc>
          <w:tcPr>
            <w:tcW w:w="4957" w:type="dxa"/>
          </w:tcPr>
          <w:p w:rsidR="0007564D" w:rsidRPr="00B16B92" w:rsidRDefault="0007564D" w:rsidP="007F5109">
            <w:pPr>
              <w:tabs>
                <w:tab w:val="left" w:pos="1310"/>
              </w:tabs>
              <w:spacing w:line="260" w:lineRule="atLeast"/>
              <w:jc w:val="both"/>
              <w:rPr>
                <w:szCs w:val="18"/>
              </w:rPr>
            </w:pPr>
            <w:r w:rsidRPr="00B16B92">
              <w:rPr>
                <w:szCs w:val="18"/>
              </w:rPr>
              <w:t>Totale inschrijvingssom</w:t>
            </w:r>
          </w:p>
        </w:tc>
        <w:tc>
          <w:tcPr>
            <w:tcW w:w="2409" w:type="dxa"/>
          </w:tcPr>
          <w:p w:rsidR="0007564D" w:rsidRPr="00B16B92" w:rsidRDefault="0007564D" w:rsidP="007F5109">
            <w:pPr>
              <w:tabs>
                <w:tab w:val="left" w:pos="1310"/>
              </w:tabs>
              <w:spacing w:line="260" w:lineRule="atLeast"/>
              <w:jc w:val="both"/>
              <w:rPr>
                <w:szCs w:val="18"/>
              </w:rPr>
            </w:pPr>
            <w:r w:rsidRPr="00B16B92">
              <w:rPr>
                <w:rFonts w:cs="Verdana"/>
                <w:szCs w:val="18"/>
              </w:rPr>
              <w:t>€</w:t>
            </w:r>
          </w:p>
        </w:tc>
      </w:tr>
    </w:tbl>
    <w:p w:rsidR="0007564D" w:rsidRPr="00B16B92" w:rsidRDefault="0007564D" w:rsidP="0007564D">
      <w:pPr>
        <w:tabs>
          <w:tab w:val="left" w:pos="1310"/>
        </w:tabs>
        <w:spacing w:line="260" w:lineRule="atLeast"/>
        <w:jc w:val="both"/>
        <w:rPr>
          <w:szCs w:val="18"/>
        </w:rPr>
      </w:pPr>
    </w:p>
    <w:p w:rsidR="0007564D" w:rsidRPr="000654B5" w:rsidRDefault="0007564D" w:rsidP="0007564D">
      <w:pPr>
        <w:pStyle w:val="Broodtekst"/>
        <w:rPr>
          <w:color w:val="000000"/>
        </w:rPr>
      </w:pPr>
    </w:p>
    <w:p w:rsidR="003F5EB0" w:rsidRPr="003F5EB0" w:rsidRDefault="003F5EB0" w:rsidP="003F5EB0"/>
    <w:sectPr w:rsidR="003F5EB0" w:rsidRPr="003F5EB0" w:rsidSect="000B3F94">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64D" w:rsidRDefault="0007564D" w:rsidP="0088501B">
      <w:r>
        <w:separator/>
      </w:r>
    </w:p>
  </w:endnote>
  <w:endnote w:type="continuationSeparator" w:id="0">
    <w:p w:rsidR="0007564D" w:rsidRDefault="0007564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64D" w:rsidRPr="00F60CB9" w:rsidRDefault="0007564D" w:rsidP="0007564D">
    <w:pPr>
      <w:pStyle w:val="Voettekst"/>
      <w:tabs>
        <w:tab w:val="right" w:pos="8280"/>
      </w:tabs>
      <w:rPr>
        <w:szCs w:val="13"/>
      </w:rPr>
    </w:pPr>
    <w:r w:rsidRPr="00CC3AB1">
      <w:rPr>
        <w:szCs w:val="13"/>
      </w:rPr>
      <w:t xml:space="preserve">RWS </w:t>
    </w:r>
    <w:r>
      <w:rPr>
        <w:szCs w:val="13"/>
      </w:rPr>
      <w:t>INFORMATIE</w:t>
    </w:r>
    <w:r>
      <w:rPr>
        <w:sz w:val="16"/>
        <w:szCs w:val="16"/>
      </w:rPr>
      <w:tab/>
    </w:r>
    <w:r>
      <w:rPr>
        <w:sz w:val="16"/>
        <w:szCs w:val="16"/>
      </w:rPr>
      <w:tab/>
    </w:r>
    <w:r w:rsidRPr="0007564D">
      <w:rPr>
        <w:sz w:val="16"/>
        <w:szCs w:val="16"/>
      </w:rPr>
      <w:t xml:space="preserve">Pagina </w:t>
    </w:r>
    <w:r w:rsidRPr="0007564D">
      <w:rPr>
        <w:sz w:val="16"/>
        <w:szCs w:val="16"/>
        <w:lang w:val="en-US"/>
      </w:rPr>
      <w:fldChar w:fldCharType="begin"/>
    </w:r>
    <w:r w:rsidRPr="0007564D">
      <w:rPr>
        <w:sz w:val="16"/>
        <w:szCs w:val="16"/>
      </w:rPr>
      <w:instrText xml:space="preserve"> PAGE  </w:instrText>
    </w:r>
    <w:r w:rsidRPr="0007564D">
      <w:rPr>
        <w:sz w:val="16"/>
        <w:szCs w:val="16"/>
        <w:lang w:val="en-US"/>
      </w:rPr>
      <w:fldChar w:fldCharType="separate"/>
    </w:r>
    <w:r w:rsidR="000262E6">
      <w:rPr>
        <w:noProof/>
        <w:sz w:val="16"/>
        <w:szCs w:val="16"/>
      </w:rPr>
      <w:t>5</w:t>
    </w:r>
    <w:r w:rsidRPr="0007564D">
      <w:rPr>
        <w:sz w:val="16"/>
        <w:szCs w:val="16"/>
        <w:lang w:val="en-US"/>
      </w:rPr>
      <w:fldChar w:fldCharType="end"/>
    </w:r>
    <w:r w:rsidRPr="0007564D">
      <w:rPr>
        <w:sz w:val="16"/>
        <w:szCs w:val="16"/>
      </w:rPr>
      <w:t xml:space="preserve"> van </w:t>
    </w:r>
    <w:r w:rsidRPr="0007564D">
      <w:rPr>
        <w:sz w:val="16"/>
        <w:szCs w:val="16"/>
        <w:lang w:val="en-US"/>
      </w:rPr>
      <w:fldChar w:fldCharType="begin"/>
    </w:r>
    <w:r w:rsidRPr="0007564D">
      <w:rPr>
        <w:sz w:val="16"/>
        <w:szCs w:val="16"/>
      </w:rPr>
      <w:instrText xml:space="preserve"> NUMPAGES  </w:instrText>
    </w:r>
    <w:r w:rsidRPr="0007564D">
      <w:rPr>
        <w:sz w:val="16"/>
        <w:szCs w:val="16"/>
        <w:lang w:val="en-US"/>
      </w:rPr>
      <w:fldChar w:fldCharType="separate"/>
    </w:r>
    <w:r w:rsidR="000262E6">
      <w:rPr>
        <w:noProof/>
        <w:sz w:val="16"/>
        <w:szCs w:val="16"/>
      </w:rPr>
      <w:t>5</w:t>
    </w:r>
    <w:r w:rsidRPr="0007564D">
      <w:rPr>
        <w:sz w:val="16"/>
        <w:szCs w:val="16"/>
        <w:lang w:val="en-US"/>
      </w:rPr>
      <w:fldChar w:fldCharType="end"/>
    </w:r>
  </w:p>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64D" w:rsidRDefault="0007564D" w:rsidP="0088501B">
      <w:r>
        <w:separator/>
      </w:r>
    </w:p>
  </w:footnote>
  <w:footnote w:type="continuationSeparator" w:id="0">
    <w:p w:rsidR="0007564D" w:rsidRDefault="0007564D"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64D" w:rsidRPr="00476317" w:rsidRDefault="000262E6" w:rsidP="0007564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07564D" w:rsidRDefault="0007564D" w:rsidP="0007564D">
    <w:pPr>
      <w:tabs>
        <w:tab w:val="left" w:pos="1260"/>
      </w:tabs>
      <w:rPr>
        <w:rFonts w:cs="V&amp;W Syntax (Adobe)"/>
      </w:rPr>
    </w:pPr>
    <w:r w:rsidRPr="00476317">
      <w:rPr>
        <w:rFonts w:cs="V&amp;W Syntax (Adobe)"/>
      </w:rPr>
      <w:t xml:space="preserve">Behoort bij zaaknummer: </w:t>
    </w:r>
    <w:r>
      <w:rPr>
        <w:rFonts w:cs="V&amp;W Syntax (Adobe)"/>
      </w:rPr>
      <w:t>3117420</w:t>
    </w:r>
    <w:r w:rsidR="0057494D">
      <w:rPr>
        <w:rFonts w:cs="V&amp;W Syntax (Adobe)"/>
      </w:rPr>
      <w:t>2</w:t>
    </w:r>
  </w:p>
  <w:p w:rsidR="0007564D" w:rsidRPr="00476317" w:rsidRDefault="0007564D" w:rsidP="0007564D">
    <w:pPr>
      <w:tabs>
        <w:tab w:val="left" w:pos="1260"/>
      </w:tabs>
      <w:rPr>
        <w:rFonts w:cs="V&amp;W Syntax (Adobe)"/>
      </w:rPr>
    </w:pPr>
    <w:r w:rsidRPr="00476317">
      <w:rPr>
        <w:rFonts w:cs="V&amp;W Syntax (Adobe)"/>
      </w:rPr>
      <w:t xml:space="preserve"> </w:t>
    </w:r>
  </w:p>
  <w:p w:rsidR="00E456EE" w:rsidRDefault="000262E6" w:rsidP="0007564D">
    <w:pPr>
      <w:pStyle w:val="Koptekst"/>
    </w:pPr>
    <w:r>
      <w:rPr>
        <w:rFonts w:cs="V&amp;W Syntax (Adobe)"/>
      </w:rPr>
      <w:pict>
        <v:rect id="_x0000_i1026" style="width:0;height:.75pt" o:hralign="center" o:hrstd="t" o:hrnoshade="t" o:hr="t" fillcolor="black" stroked="f">
          <v:imagedata r:id="rId1" o:title=""/>
        </v:rect>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17610D"/>
    <w:multiLevelType w:val="hybridMultilevel"/>
    <w:tmpl w:val="F31862B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abstractNumId w:val="10"/>
  </w:num>
  <w:num w:numId="2">
    <w:abstractNumId w:val="12"/>
  </w:num>
  <w:num w:numId="3">
    <w:abstractNumId w:val="29"/>
  </w:num>
  <w:num w:numId="4">
    <w:abstractNumId w:val="11"/>
  </w:num>
  <w:num w:numId="5">
    <w:abstractNumId w:val="17"/>
  </w:num>
  <w:num w:numId="6">
    <w:abstractNumId w:val="20"/>
  </w:num>
  <w:num w:numId="7">
    <w:abstractNumId w:val="2"/>
  </w:num>
  <w:num w:numId="8">
    <w:abstractNumId w:val="1"/>
  </w:num>
  <w:num w:numId="9">
    <w:abstractNumId w:val="0"/>
  </w:num>
  <w:num w:numId="10">
    <w:abstractNumId w:val="8"/>
  </w:num>
  <w:num w:numId="11">
    <w:abstractNumId w:val="5"/>
  </w:num>
  <w:num w:numId="12">
    <w:abstractNumId w:val="5"/>
  </w:num>
  <w:num w:numId="13">
    <w:abstractNumId w:val="30"/>
  </w:num>
  <w:num w:numId="14">
    <w:abstractNumId w:val="3"/>
  </w:num>
  <w:num w:numId="15">
    <w:abstractNumId w:val="18"/>
  </w:num>
  <w:num w:numId="16">
    <w:abstractNumId w:val="24"/>
  </w:num>
  <w:num w:numId="17">
    <w:abstractNumId w:val="9"/>
  </w:num>
  <w:num w:numId="18">
    <w:abstractNumId w:val="21"/>
  </w:num>
  <w:num w:numId="19">
    <w:abstractNumId w:val="31"/>
  </w:num>
  <w:num w:numId="20">
    <w:abstractNumId w:val="13"/>
  </w:num>
  <w:num w:numId="21">
    <w:abstractNumId w:val="23"/>
  </w:num>
  <w:num w:numId="22">
    <w:abstractNumId w:val="26"/>
  </w:num>
  <w:num w:numId="23">
    <w:abstractNumId w:val="19"/>
  </w:num>
  <w:num w:numId="24">
    <w:abstractNumId w:val="28"/>
  </w:num>
  <w:num w:numId="25">
    <w:abstractNumId w:val="27"/>
  </w:num>
  <w:num w:numId="26">
    <w:abstractNumId w:val="6"/>
  </w:num>
  <w:num w:numId="27">
    <w:abstractNumId w:val="16"/>
  </w:num>
  <w:num w:numId="28">
    <w:abstractNumId w:val="22"/>
  </w:num>
  <w:num w:numId="29">
    <w:abstractNumId w:val="4"/>
  </w:num>
  <w:num w:numId="30">
    <w:abstractNumId w:val="14"/>
  </w:num>
  <w:num w:numId="31">
    <w:abstractNumId w:val="25"/>
  </w:num>
  <w:num w:numId="32">
    <w:abstractNumId w:val="15"/>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64D"/>
    <w:rsid w:val="000262E6"/>
    <w:rsid w:val="00043163"/>
    <w:rsid w:val="00056D70"/>
    <w:rsid w:val="0007564D"/>
    <w:rsid w:val="000B3F94"/>
    <w:rsid w:val="000E1F3B"/>
    <w:rsid w:val="00173156"/>
    <w:rsid w:val="001D6F03"/>
    <w:rsid w:val="002A6578"/>
    <w:rsid w:val="002B1092"/>
    <w:rsid w:val="002E0FD2"/>
    <w:rsid w:val="00316068"/>
    <w:rsid w:val="0038549E"/>
    <w:rsid w:val="003C4BF2"/>
    <w:rsid w:val="003D51FB"/>
    <w:rsid w:val="003F5EB0"/>
    <w:rsid w:val="003F6EDB"/>
    <w:rsid w:val="0040142D"/>
    <w:rsid w:val="0040571B"/>
    <w:rsid w:val="00450447"/>
    <w:rsid w:val="004B0EA1"/>
    <w:rsid w:val="004D766D"/>
    <w:rsid w:val="0057494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3189E054"/>
  <w15:chartTrackingRefBased/>
  <w15:docId w15:val="{2D2429D0-83A0-46AE-B33A-9BC12D343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07564D"/>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qFormat/>
    <w:rsid w:val="0007564D"/>
    <w:pPr>
      <w:tabs>
        <w:tab w:val="left" w:pos="227"/>
        <w:tab w:val="left" w:pos="454"/>
        <w:tab w:val="left" w:pos="680"/>
      </w:tabs>
      <w:autoSpaceDE w:val="0"/>
      <w:autoSpaceDN w:val="0"/>
      <w:adjustRightInd w:val="0"/>
    </w:pPr>
    <w:rPr>
      <w:szCs w:val="18"/>
    </w:rPr>
  </w:style>
  <w:style w:type="paragraph" w:customStyle="1" w:styleId="BijlageGenummerdParagraaf">
    <w:name w:val="BijlageGenummerdParagraaf"/>
    <w:basedOn w:val="Broodtekst"/>
    <w:next w:val="Broodtekst"/>
    <w:uiPriority w:val="12"/>
    <w:qFormat/>
    <w:rsid w:val="0007564D"/>
    <w:pPr>
      <w:numPr>
        <w:ilvl w:val="1"/>
        <w:numId w:val="32"/>
      </w:numPr>
      <w:tabs>
        <w:tab w:val="clear" w:pos="0"/>
        <w:tab w:val="num" w:pos="360"/>
      </w:tabs>
      <w:spacing w:before="240"/>
      <w:ind w:left="454" w:firstLine="0"/>
      <w:outlineLvl w:val="1"/>
    </w:pPr>
    <w:rPr>
      <w:b/>
    </w:rPr>
  </w:style>
  <w:style w:type="paragraph" w:customStyle="1" w:styleId="BijlageGenummerdSubparagraaf">
    <w:name w:val="BijlageGenummerdSubparagraaf"/>
    <w:basedOn w:val="Broodtekst"/>
    <w:next w:val="Broodtekst"/>
    <w:uiPriority w:val="12"/>
    <w:qFormat/>
    <w:rsid w:val="0007564D"/>
    <w:pPr>
      <w:numPr>
        <w:ilvl w:val="2"/>
        <w:numId w:val="32"/>
      </w:numPr>
      <w:tabs>
        <w:tab w:val="clear" w:pos="0"/>
        <w:tab w:val="num" w:pos="360"/>
      </w:tabs>
      <w:spacing w:before="240"/>
      <w:ind w:left="681" w:firstLine="0"/>
      <w:outlineLvl w:val="2"/>
    </w:pPr>
    <w:rPr>
      <w:i/>
    </w:rPr>
  </w:style>
  <w:style w:type="paragraph" w:customStyle="1" w:styleId="BijlageGenummerdKop">
    <w:name w:val="BijlageGenummerdKop"/>
    <w:next w:val="Broodtekst"/>
    <w:link w:val="BijlageGenummerdKopChar"/>
    <w:uiPriority w:val="12"/>
    <w:qFormat/>
    <w:rsid w:val="0007564D"/>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07564D"/>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07564D"/>
    <w:rPr>
      <w:rFonts w:ascii="Verdana" w:eastAsia="DejaVu Sans" w:hAnsi="Verdana" w:cs="Times New Roman"/>
      <w:sz w:val="24"/>
      <w:lang w:eastAsia="nl-NL"/>
    </w:rPr>
  </w:style>
  <w:style w:type="table" w:customStyle="1" w:styleId="Tabelraster1">
    <w:name w:val="Tabelraster1"/>
    <w:basedOn w:val="Standaardtabel"/>
    <w:next w:val="Tabelraster"/>
    <w:uiPriority w:val="59"/>
    <w:rsid w:val="0007564D"/>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paragraph" w:customStyle="1" w:styleId="Huisstijl-Voorwaarden">
    <w:name w:val="Huisstijl-Voorwaarden"/>
    <w:basedOn w:val="Broodtekst"/>
    <w:rsid w:val="0007564D"/>
    <w:pPr>
      <w:spacing w:line="180" w:lineRule="exact"/>
    </w:pPr>
    <w:rPr>
      <w:rFonts w:eastAsia="Times New Roman"/>
      <w:i/>
      <w:noProof/>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1845">
      <w:bodyDiv w:val="1"/>
      <w:marLeft w:val="0"/>
      <w:marRight w:val="0"/>
      <w:marTop w:val="0"/>
      <w:marBottom w:val="0"/>
      <w:divBdr>
        <w:top w:val="none" w:sz="0" w:space="0" w:color="auto"/>
        <w:left w:val="none" w:sz="0" w:space="0" w:color="auto"/>
        <w:bottom w:val="none" w:sz="0" w:space="0" w:color="auto"/>
        <w:right w:val="none" w:sz="0" w:space="0" w:color="auto"/>
      </w:divBdr>
    </w:div>
    <w:div w:id="195778876">
      <w:bodyDiv w:val="1"/>
      <w:marLeft w:val="0"/>
      <w:marRight w:val="0"/>
      <w:marTop w:val="0"/>
      <w:marBottom w:val="0"/>
      <w:divBdr>
        <w:top w:val="none" w:sz="0" w:space="0" w:color="auto"/>
        <w:left w:val="none" w:sz="0" w:space="0" w:color="auto"/>
        <w:bottom w:val="none" w:sz="0" w:space="0" w:color="auto"/>
        <w:right w:val="none" w:sz="0" w:space="0" w:color="auto"/>
      </w:divBdr>
    </w:div>
    <w:div w:id="181544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7</TotalTime>
  <Pages>5</Pages>
  <Words>1357</Words>
  <Characters>7468</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Berghout, Martine (PPO)</dc:creator>
  <cp:keywords/>
  <dc:description/>
  <cp:lastModifiedBy>Berghout, Martine (PPO)</cp:lastModifiedBy>
  <cp:revision>3</cp:revision>
  <dcterms:created xsi:type="dcterms:W3CDTF">2022-01-31T08:12:00Z</dcterms:created>
  <dcterms:modified xsi:type="dcterms:W3CDTF">2022-01-31T08:18:00Z</dcterms:modified>
</cp:coreProperties>
</file>