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5632" w14:textId="14C4B142" w:rsidR="00152688" w:rsidRPr="00E82A25" w:rsidRDefault="00DD4F0B" w:rsidP="00DD4F0B">
      <w:pPr>
        <w:pStyle w:val="Duidelijkcitaat"/>
        <w:rPr>
          <w:sz w:val="32"/>
          <w:szCs w:val="32"/>
        </w:rPr>
      </w:pPr>
      <w:r w:rsidRPr="00E82A25">
        <w:rPr>
          <w:sz w:val="32"/>
          <w:szCs w:val="32"/>
        </w:rPr>
        <w:t xml:space="preserve">Bijlage </w:t>
      </w:r>
      <w:r w:rsidR="009B3604">
        <w:rPr>
          <w:sz w:val="32"/>
          <w:szCs w:val="32"/>
        </w:rPr>
        <w:t>IV</w:t>
      </w:r>
      <w:r w:rsidRPr="00E82A25">
        <w:rPr>
          <w:sz w:val="32"/>
          <w:szCs w:val="32"/>
        </w:rPr>
        <w:t xml:space="preserve">. Programma van Eisen </w:t>
      </w:r>
      <w:r w:rsidR="00A614EE" w:rsidRPr="00E82A25">
        <w:rPr>
          <w:sz w:val="32"/>
          <w:szCs w:val="32"/>
        </w:rPr>
        <w:t xml:space="preserve">m.b.t. de beveiliging en de productie van </w:t>
      </w:r>
      <w:r w:rsidRPr="00E82A25">
        <w:rPr>
          <w:sz w:val="32"/>
          <w:szCs w:val="32"/>
        </w:rPr>
        <w:t xml:space="preserve">Covid </w:t>
      </w:r>
      <w:r w:rsidR="00D66EE3" w:rsidRPr="00E82A25">
        <w:rPr>
          <w:sz w:val="32"/>
          <w:szCs w:val="32"/>
        </w:rPr>
        <w:t xml:space="preserve">test- &amp; </w:t>
      </w:r>
      <w:r w:rsidRPr="00E82A25">
        <w:rPr>
          <w:sz w:val="32"/>
          <w:szCs w:val="32"/>
        </w:rPr>
        <w:t>vaccinatie</w:t>
      </w:r>
      <w:r w:rsidR="00D66EE3" w:rsidRPr="00E82A25">
        <w:rPr>
          <w:sz w:val="32"/>
          <w:szCs w:val="32"/>
        </w:rPr>
        <w:t>locaties</w:t>
      </w:r>
    </w:p>
    <w:tbl>
      <w:tblPr>
        <w:tblStyle w:val="Tabelraster"/>
        <w:tblW w:w="992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8369"/>
        <w:gridCol w:w="994"/>
      </w:tblGrid>
      <w:tr w:rsidR="00152688" w:rsidRPr="00E82A25" w14:paraId="210D5889" w14:textId="77777777" w:rsidTr="007C1855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6CA4132" w14:textId="3BE2D344" w:rsidR="00152688" w:rsidRPr="00E82A25" w:rsidRDefault="00DD4F0B" w:rsidP="00152688">
            <w:pPr>
              <w:rPr>
                <w:b/>
                <w:bCs/>
              </w:rPr>
            </w:pPr>
            <w:r w:rsidRPr="00E82A25">
              <w:rPr>
                <w:b/>
                <w:bCs/>
              </w:rPr>
              <w:t>Eisn</w:t>
            </w:r>
            <w:r w:rsidR="00152688" w:rsidRPr="00E82A25">
              <w:rPr>
                <w:b/>
                <w:bCs/>
              </w:rPr>
              <w:t>r.</w:t>
            </w:r>
          </w:p>
        </w:tc>
        <w:tc>
          <w:tcPr>
            <w:tcW w:w="8369" w:type="dxa"/>
            <w:shd w:val="clear" w:color="auto" w:fill="D9D9D9" w:themeFill="background1" w:themeFillShade="D9"/>
            <w:vAlign w:val="center"/>
          </w:tcPr>
          <w:p w14:paraId="2833F468" w14:textId="25D85656" w:rsidR="00152688" w:rsidRPr="00E82A25" w:rsidRDefault="00152688" w:rsidP="00152688">
            <w:pPr>
              <w:rPr>
                <w:b/>
                <w:bCs/>
              </w:rPr>
            </w:pPr>
            <w:r w:rsidRPr="00E82A25">
              <w:rPr>
                <w:b/>
                <w:bCs/>
              </w:rPr>
              <w:t>Omschrijving eis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38FDC68B" w14:textId="4A8FC14D" w:rsidR="00152688" w:rsidRPr="00E82A25" w:rsidRDefault="00DD4F0B" w:rsidP="00152688">
            <w:pPr>
              <w:rPr>
                <w:b/>
                <w:bCs/>
              </w:rPr>
            </w:pPr>
            <w:r w:rsidRPr="00E82A25">
              <w:rPr>
                <w:b/>
                <w:bCs/>
              </w:rPr>
              <w:t>A</w:t>
            </w:r>
            <w:r w:rsidR="00152688" w:rsidRPr="00E82A25">
              <w:rPr>
                <w:b/>
                <w:bCs/>
              </w:rPr>
              <w:t>kkoord</w:t>
            </w:r>
          </w:p>
          <w:p w14:paraId="6C33FA11" w14:textId="03CA022B" w:rsidR="00DD4F0B" w:rsidRPr="00E82A25" w:rsidRDefault="00DD4F0B" w:rsidP="00152688">
            <w:pPr>
              <w:rPr>
                <w:b/>
                <w:bCs/>
              </w:rPr>
            </w:pPr>
            <w:r w:rsidRPr="00E82A25">
              <w:rPr>
                <w:b/>
                <w:bCs/>
              </w:rPr>
              <w:t>Ja/nee</w:t>
            </w:r>
          </w:p>
        </w:tc>
      </w:tr>
      <w:tr w:rsidR="00152688" w:rsidRPr="00E82A25" w14:paraId="10221450" w14:textId="77777777" w:rsidTr="007C1855">
        <w:tc>
          <w:tcPr>
            <w:tcW w:w="562" w:type="dxa"/>
          </w:tcPr>
          <w:p w14:paraId="180A4B13" w14:textId="44B2E07D" w:rsidR="00152688" w:rsidRPr="00E82A25" w:rsidRDefault="00DD4F0B" w:rsidP="004A55FE">
            <w:pPr>
              <w:jc w:val="both"/>
            </w:pPr>
            <w:r w:rsidRPr="00E82A25">
              <w:t>1.</w:t>
            </w:r>
          </w:p>
        </w:tc>
        <w:tc>
          <w:tcPr>
            <w:tcW w:w="8369" w:type="dxa"/>
          </w:tcPr>
          <w:p w14:paraId="5DEEE06E" w14:textId="0955C4A3" w:rsidR="00152688" w:rsidRPr="00E82A25" w:rsidRDefault="00CC0374" w:rsidP="0039724B">
            <w:r w:rsidRPr="00E82A25">
              <w:t>Opdrachtnemer is in het bezit van het keurmerk evenementenbeveiliging</w:t>
            </w:r>
            <w:r w:rsidR="001417FC" w:rsidRPr="00E82A25">
              <w:t xml:space="preserve"> </w:t>
            </w:r>
          </w:p>
        </w:tc>
        <w:tc>
          <w:tcPr>
            <w:tcW w:w="994" w:type="dxa"/>
          </w:tcPr>
          <w:p w14:paraId="3024D592" w14:textId="77777777" w:rsidR="00152688" w:rsidRPr="00E82A25" w:rsidRDefault="00152688" w:rsidP="004A55FE">
            <w:pPr>
              <w:jc w:val="both"/>
            </w:pPr>
          </w:p>
        </w:tc>
      </w:tr>
      <w:tr w:rsidR="00CC754C" w:rsidRPr="00E82A25" w14:paraId="2A72867A" w14:textId="77777777" w:rsidTr="007C1855">
        <w:tc>
          <w:tcPr>
            <w:tcW w:w="562" w:type="dxa"/>
          </w:tcPr>
          <w:p w14:paraId="2D767990" w14:textId="478192E6" w:rsidR="00CC754C" w:rsidRPr="007E5E30" w:rsidRDefault="00CC754C" w:rsidP="00CC754C">
            <w:pPr>
              <w:jc w:val="both"/>
            </w:pPr>
            <w:r w:rsidRPr="007E5E30">
              <w:t xml:space="preserve">2. </w:t>
            </w:r>
          </w:p>
        </w:tc>
        <w:tc>
          <w:tcPr>
            <w:tcW w:w="8369" w:type="dxa"/>
          </w:tcPr>
          <w:p w14:paraId="352258E3" w14:textId="3A9E08E5" w:rsidR="00CC754C" w:rsidRPr="00E82A25" w:rsidRDefault="00CC754C" w:rsidP="00CC754C">
            <w:r w:rsidRPr="007E5E30">
              <w:t xml:space="preserve">Opdrachtnemer zet uitsluitend personeelsleden in die beschikken over een VOG profiel 45 </w:t>
            </w:r>
          </w:p>
        </w:tc>
        <w:tc>
          <w:tcPr>
            <w:tcW w:w="994" w:type="dxa"/>
          </w:tcPr>
          <w:p w14:paraId="01B8D290" w14:textId="77777777" w:rsidR="00CC754C" w:rsidRPr="00E82A25" w:rsidRDefault="00CC754C" w:rsidP="00CC754C">
            <w:pPr>
              <w:jc w:val="both"/>
            </w:pPr>
          </w:p>
        </w:tc>
      </w:tr>
      <w:tr w:rsidR="00CC754C" w:rsidRPr="00E82A25" w14:paraId="6C8FA01E" w14:textId="77777777" w:rsidTr="007C1855">
        <w:tc>
          <w:tcPr>
            <w:tcW w:w="562" w:type="dxa"/>
          </w:tcPr>
          <w:p w14:paraId="0672057A" w14:textId="1107814B" w:rsidR="00CC754C" w:rsidRPr="00E82A25" w:rsidRDefault="008428C6" w:rsidP="00CC754C">
            <w:pPr>
              <w:jc w:val="both"/>
            </w:pPr>
            <w:r w:rsidRPr="00E82A25">
              <w:t>3</w:t>
            </w:r>
            <w:r w:rsidR="00CC754C" w:rsidRPr="00E82A25">
              <w:t>.</w:t>
            </w:r>
          </w:p>
        </w:tc>
        <w:tc>
          <w:tcPr>
            <w:tcW w:w="8369" w:type="dxa"/>
          </w:tcPr>
          <w:p w14:paraId="687374B1" w14:textId="65E8A53C" w:rsidR="00CC754C" w:rsidRPr="00E82A25" w:rsidRDefault="00CC754C" w:rsidP="00CC754C">
            <w:r w:rsidRPr="00E82A25">
              <w:t xml:space="preserve">Opdrachtnemer is in staat om in de GGD regio Noord-Limburg maximaal gelijktijdig: </w:t>
            </w:r>
          </w:p>
          <w:p w14:paraId="07484933" w14:textId="77777777" w:rsidR="00CC754C" w:rsidRPr="00E82A25" w:rsidRDefault="00CC754C" w:rsidP="00CC754C">
            <w:pPr>
              <w:pStyle w:val="Lijstalinea"/>
              <w:numPr>
                <w:ilvl w:val="0"/>
                <w:numId w:val="1"/>
              </w:numPr>
            </w:pPr>
            <w:r w:rsidRPr="00E82A25">
              <w:t>Twee vaste gecombineerde test- en vaccinatie locaties</w:t>
            </w:r>
          </w:p>
          <w:p w14:paraId="70D740B2" w14:textId="77777777" w:rsidR="00CC754C" w:rsidRPr="00E82A25" w:rsidRDefault="00CC754C" w:rsidP="00CC754C">
            <w:pPr>
              <w:pStyle w:val="Lijstalinea"/>
              <w:numPr>
                <w:ilvl w:val="0"/>
                <w:numId w:val="1"/>
              </w:numPr>
            </w:pPr>
            <w:r w:rsidRPr="00E82A25">
              <w:t>Twee vaste testlocaties</w:t>
            </w:r>
          </w:p>
          <w:p w14:paraId="0B2BFEEC" w14:textId="77777777" w:rsidR="00CC754C" w:rsidRPr="00E82A25" w:rsidRDefault="00CC754C" w:rsidP="00CC754C">
            <w:pPr>
              <w:pStyle w:val="Lijstalinea"/>
              <w:numPr>
                <w:ilvl w:val="0"/>
                <w:numId w:val="1"/>
              </w:numPr>
            </w:pPr>
            <w:r w:rsidRPr="00E82A25">
              <w:t>Twee vaste vaccinatielocaties</w:t>
            </w:r>
          </w:p>
          <w:p w14:paraId="5F48C693" w14:textId="34F13BF7" w:rsidR="00CC754C" w:rsidRPr="00E82A25" w:rsidRDefault="00E82A25" w:rsidP="00CC754C">
            <w:r w:rsidRPr="00E82A25">
              <w:t>t</w:t>
            </w:r>
            <w:r w:rsidR="00CC754C" w:rsidRPr="00E82A25">
              <w:t xml:space="preserve">e bewaken en te beveiligen, en de productionele-/locatieverantwoordelijkheid voor die die locaties te garanderen.  Dit in voorkomend geval volledig zelfstandig en onder eigen leiding en toezicht (dus inclusief de volledige daarmee gemoeide projectorganisatie). </w:t>
            </w:r>
          </w:p>
        </w:tc>
        <w:tc>
          <w:tcPr>
            <w:tcW w:w="994" w:type="dxa"/>
          </w:tcPr>
          <w:p w14:paraId="05F6EA85" w14:textId="77777777" w:rsidR="00CC754C" w:rsidRPr="00E82A25" w:rsidRDefault="00CC754C" w:rsidP="00CC754C">
            <w:pPr>
              <w:jc w:val="both"/>
            </w:pPr>
          </w:p>
        </w:tc>
      </w:tr>
      <w:tr w:rsidR="00864C60" w:rsidRPr="00E82A25" w14:paraId="23591E99" w14:textId="77777777" w:rsidTr="007C1855">
        <w:tc>
          <w:tcPr>
            <w:tcW w:w="562" w:type="dxa"/>
          </w:tcPr>
          <w:p w14:paraId="3BD42E58" w14:textId="0FFCEEA9" w:rsidR="00864C60" w:rsidRPr="00E82A25" w:rsidRDefault="0031236D" w:rsidP="00CC754C">
            <w:pPr>
              <w:jc w:val="both"/>
            </w:pPr>
            <w:r w:rsidRPr="00E82A25">
              <w:t xml:space="preserve">4. </w:t>
            </w:r>
          </w:p>
        </w:tc>
        <w:tc>
          <w:tcPr>
            <w:tcW w:w="8369" w:type="dxa"/>
          </w:tcPr>
          <w:p w14:paraId="5602CCB2" w14:textId="6A53DDE8" w:rsidR="00864C60" w:rsidRPr="00E82A25" w:rsidRDefault="0031236D" w:rsidP="0031236D">
            <w:r w:rsidRPr="00E82A25">
              <w:t>Opdrachtnemer is in staat een object te beoordel</w:t>
            </w:r>
            <w:r w:rsidR="00E82A25">
              <w:t>en</w:t>
            </w:r>
            <w:r w:rsidRPr="00E82A25">
              <w:t xml:space="preserve"> op veiligheidsaspecten en hier een  advies over te geven</w:t>
            </w:r>
            <w:r w:rsidR="00E82A25">
              <w:t xml:space="preserve"> e</w:t>
            </w:r>
            <w:r w:rsidRPr="00E82A25">
              <w:t xml:space="preserve">n </w:t>
            </w:r>
            <w:r w:rsidR="00E82A25">
              <w:t xml:space="preserve">dit advies </w:t>
            </w:r>
            <w:r w:rsidRPr="00E82A25">
              <w:t xml:space="preserve">in voorkomend geval te vertalen naar een volledig uitgewerkt en door partijen gedragen calamiteitenplan.  </w:t>
            </w:r>
          </w:p>
        </w:tc>
        <w:tc>
          <w:tcPr>
            <w:tcW w:w="994" w:type="dxa"/>
          </w:tcPr>
          <w:p w14:paraId="4473A3A1" w14:textId="77777777" w:rsidR="00864C60" w:rsidRPr="00E82A25" w:rsidRDefault="00864C60" w:rsidP="00CC754C">
            <w:pPr>
              <w:jc w:val="both"/>
            </w:pPr>
          </w:p>
        </w:tc>
      </w:tr>
      <w:tr w:rsidR="00B04325" w:rsidRPr="00E82A25" w14:paraId="71A737B1" w14:textId="77777777" w:rsidTr="007C1855">
        <w:tc>
          <w:tcPr>
            <w:tcW w:w="562" w:type="dxa"/>
          </w:tcPr>
          <w:p w14:paraId="2147C6F2" w14:textId="61046711" w:rsidR="00B04325" w:rsidRPr="00E82A25" w:rsidRDefault="007F233A" w:rsidP="00CC754C">
            <w:pPr>
              <w:jc w:val="both"/>
            </w:pPr>
            <w:r w:rsidRPr="00E82A25">
              <w:t>5</w:t>
            </w:r>
            <w:r w:rsidR="00460BF0" w:rsidRPr="00E82A25">
              <w:t xml:space="preserve">. </w:t>
            </w:r>
          </w:p>
        </w:tc>
        <w:tc>
          <w:tcPr>
            <w:tcW w:w="8369" w:type="dxa"/>
          </w:tcPr>
          <w:p w14:paraId="4654BEBD" w14:textId="4FB4E8CD" w:rsidR="00E77592" w:rsidRDefault="00460BF0" w:rsidP="007E5E30">
            <w:r w:rsidRPr="00E82A25">
              <w:t>Opdrachtnemer is in staat qua personeel het hele palet van bewaken en beveiligen aan te bieden</w:t>
            </w:r>
            <w:r w:rsidR="00E82A25">
              <w:t>, waaronder in ieder geval:</w:t>
            </w:r>
            <w:r w:rsidRPr="00E82A25">
              <w:t xml:space="preserve"> </w:t>
            </w:r>
          </w:p>
          <w:p w14:paraId="3AC0E464" w14:textId="2089176F" w:rsidR="00E77592" w:rsidRDefault="00E77592" w:rsidP="00E77592">
            <w:pPr>
              <w:pStyle w:val="Lijstalinea"/>
              <w:numPr>
                <w:ilvl w:val="0"/>
                <w:numId w:val="2"/>
              </w:numPr>
            </w:pPr>
            <w:r>
              <w:t>veiligheidscoördinator</w:t>
            </w:r>
          </w:p>
          <w:p w14:paraId="1506B629" w14:textId="77777777" w:rsidR="00E77592" w:rsidRDefault="00E77592" w:rsidP="00E77592">
            <w:pPr>
              <w:pStyle w:val="Lijstalinea"/>
              <w:numPr>
                <w:ilvl w:val="0"/>
                <w:numId w:val="2"/>
              </w:numPr>
            </w:pPr>
            <w:r>
              <w:t>productiecoördinator</w:t>
            </w:r>
          </w:p>
          <w:p w14:paraId="3D86F09A" w14:textId="77777777" w:rsidR="00E77592" w:rsidRDefault="00E77592" w:rsidP="00E77592">
            <w:pPr>
              <w:pStyle w:val="Lijstalinea"/>
              <w:numPr>
                <w:ilvl w:val="0"/>
                <w:numId w:val="2"/>
              </w:numPr>
            </w:pPr>
            <w:r>
              <w:t>securitycoördinator</w:t>
            </w:r>
          </w:p>
          <w:p w14:paraId="7CC91623" w14:textId="77777777" w:rsidR="00E77592" w:rsidRDefault="00E77592" w:rsidP="00E77592">
            <w:pPr>
              <w:pStyle w:val="Lijstalinea"/>
              <w:numPr>
                <w:ilvl w:val="0"/>
                <w:numId w:val="2"/>
              </w:numPr>
            </w:pPr>
            <w:r>
              <w:t>beveiliger/locatiebewaker</w:t>
            </w:r>
          </w:p>
          <w:p w14:paraId="59A7F234" w14:textId="496346E2" w:rsidR="00E77592" w:rsidRPr="00E82A25" w:rsidRDefault="00E77592" w:rsidP="00E77592">
            <w:pPr>
              <w:pStyle w:val="Lijstalinea"/>
              <w:numPr>
                <w:ilvl w:val="0"/>
                <w:numId w:val="2"/>
              </w:numPr>
            </w:pPr>
            <w:r>
              <w:t>verkeersregelaar</w:t>
            </w:r>
          </w:p>
        </w:tc>
        <w:tc>
          <w:tcPr>
            <w:tcW w:w="994" w:type="dxa"/>
          </w:tcPr>
          <w:p w14:paraId="1B0388E3" w14:textId="77777777" w:rsidR="00B04325" w:rsidRPr="00E82A25" w:rsidRDefault="00B04325" w:rsidP="00CC754C">
            <w:pPr>
              <w:jc w:val="both"/>
            </w:pPr>
          </w:p>
        </w:tc>
      </w:tr>
      <w:tr w:rsidR="00460BF0" w:rsidRPr="00E82A25" w14:paraId="6C8E7218" w14:textId="77777777" w:rsidTr="007C1855">
        <w:tc>
          <w:tcPr>
            <w:tcW w:w="562" w:type="dxa"/>
          </w:tcPr>
          <w:p w14:paraId="7DFDE87B" w14:textId="03653D49" w:rsidR="00460BF0" w:rsidRPr="00E82A25" w:rsidRDefault="007F233A" w:rsidP="00CC754C">
            <w:pPr>
              <w:jc w:val="both"/>
            </w:pPr>
            <w:r w:rsidRPr="00E82A25">
              <w:t>6</w:t>
            </w:r>
            <w:r w:rsidR="00460BF0" w:rsidRPr="00E82A25">
              <w:t xml:space="preserve">. </w:t>
            </w:r>
          </w:p>
        </w:tc>
        <w:tc>
          <w:tcPr>
            <w:tcW w:w="8369" w:type="dxa"/>
          </w:tcPr>
          <w:p w14:paraId="10CCB2B1" w14:textId="778C8293" w:rsidR="00460BF0" w:rsidRPr="00E82A25" w:rsidRDefault="00750DF1" w:rsidP="00452190">
            <w:r w:rsidRPr="00750DF1">
              <w:t>Opdrachtnemer kan in alle middelen voorzien om noodzakelijke in- en externe communicatie en coördinatie van bovenstaande mogelijk te maken zoals in ieder geval (doch niet alleen) 24/7 digitale logging van alle relevante werkzaamheden en incidenten, portofoons, telefonie en mailfaciliteiten, videobewaking.</w:t>
            </w:r>
          </w:p>
        </w:tc>
        <w:tc>
          <w:tcPr>
            <w:tcW w:w="994" w:type="dxa"/>
          </w:tcPr>
          <w:p w14:paraId="17EFFB75" w14:textId="77777777" w:rsidR="00460BF0" w:rsidRPr="00E82A25" w:rsidRDefault="00460BF0" w:rsidP="00CC754C">
            <w:pPr>
              <w:jc w:val="both"/>
            </w:pPr>
          </w:p>
        </w:tc>
      </w:tr>
      <w:tr w:rsidR="00CC754C" w:rsidRPr="00E82A25" w14:paraId="1CDCE53E" w14:textId="77777777" w:rsidTr="007C1855">
        <w:tc>
          <w:tcPr>
            <w:tcW w:w="562" w:type="dxa"/>
          </w:tcPr>
          <w:p w14:paraId="5CFE9AC1" w14:textId="6125086F" w:rsidR="00CC754C" w:rsidRPr="00E82A25" w:rsidRDefault="007F233A" w:rsidP="00CC754C">
            <w:pPr>
              <w:jc w:val="both"/>
            </w:pPr>
            <w:r w:rsidRPr="00E82A25">
              <w:t>7.</w:t>
            </w:r>
          </w:p>
        </w:tc>
        <w:tc>
          <w:tcPr>
            <w:tcW w:w="8369" w:type="dxa"/>
          </w:tcPr>
          <w:p w14:paraId="2E83C1B2" w14:textId="76BA1FA9" w:rsidR="00CC754C" w:rsidRPr="00E82A25" w:rsidRDefault="00A57057" w:rsidP="00A57057">
            <w:r w:rsidRPr="00E82A25">
              <w:t xml:space="preserve">Opdrachtnemer is in staat om voor </w:t>
            </w:r>
            <w:r w:rsidR="00E82A25">
              <w:t xml:space="preserve">en binnen het verzorgingsgebied van </w:t>
            </w:r>
            <w:r w:rsidRPr="00E82A25">
              <w:t>opdrachtgever</w:t>
            </w:r>
            <w:r w:rsidR="00E82A25">
              <w:t xml:space="preserve"> in haar rol van hoofdaannemer</w:t>
            </w:r>
            <w:r w:rsidRPr="00E82A25">
              <w:t xml:space="preserve"> locaties zo</w:t>
            </w:r>
            <w:r w:rsidR="00E82A25">
              <w:t>danig</w:t>
            </w:r>
            <w:r w:rsidRPr="00E82A25">
              <w:t xml:space="preserve"> te ontwerpen dat  onderaannemers op basis van d</w:t>
            </w:r>
            <w:r w:rsidR="00E82A25">
              <w:t>i</w:t>
            </w:r>
            <w:r w:rsidRPr="00E82A25">
              <w:t>e ontwerpen offertes uit kunnen brengen</w:t>
            </w:r>
            <w:r w:rsidR="001D5635">
              <w:t>, waarna</w:t>
            </w:r>
            <w:r w:rsidR="007E5E30">
              <w:t xml:space="preserve"> </w:t>
            </w:r>
            <w:r w:rsidR="00970D6B">
              <w:t>dat ontwerp</w:t>
            </w:r>
            <w:r w:rsidRPr="00E82A25">
              <w:t xml:space="preserve"> onder </w:t>
            </w:r>
            <w:r w:rsidR="00DD687B">
              <w:t>directie</w:t>
            </w:r>
            <w:r w:rsidR="007E5E30">
              <w:t>-</w:t>
            </w:r>
            <w:r w:rsidR="00DD687B">
              <w:t>voering</w:t>
            </w:r>
            <w:r w:rsidRPr="00E82A25">
              <w:t xml:space="preserve"> van opdrachtnemer </w:t>
            </w:r>
            <w:r w:rsidR="00970D6B">
              <w:t xml:space="preserve">(in haar rol </w:t>
            </w:r>
            <w:r w:rsidR="00E82A25">
              <w:t>als hoofdaannemer</w:t>
            </w:r>
            <w:r w:rsidR="00970D6B">
              <w:t>)</w:t>
            </w:r>
            <w:r w:rsidR="00E82A25">
              <w:t xml:space="preserve"> </w:t>
            </w:r>
            <w:r w:rsidRPr="00E82A25">
              <w:t>gerealiseerd kan worden</w:t>
            </w:r>
          </w:p>
        </w:tc>
        <w:tc>
          <w:tcPr>
            <w:tcW w:w="994" w:type="dxa"/>
          </w:tcPr>
          <w:p w14:paraId="0FAA8C81" w14:textId="77777777" w:rsidR="00CC754C" w:rsidRPr="00E82A25" w:rsidRDefault="00CC754C" w:rsidP="00CC754C">
            <w:pPr>
              <w:jc w:val="both"/>
            </w:pPr>
          </w:p>
        </w:tc>
      </w:tr>
      <w:tr w:rsidR="00CC754C" w:rsidRPr="00E82A25" w14:paraId="3E73D327" w14:textId="77777777" w:rsidTr="007C1855">
        <w:tc>
          <w:tcPr>
            <w:tcW w:w="562" w:type="dxa"/>
          </w:tcPr>
          <w:p w14:paraId="61532DB9" w14:textId="3D46D57D" w:rsidR="00CC754C" w:rsidRPr="00E82A25" w:rsidRDefault="007F233A" w:rsidP="00CC754C">
            <w:pPr>
              <w:jc w:val="both"/>
            </w:pPr>
            <w:r w:rsidRPr="00E82A25">
              <w:t>8.</w:t>
            </w:r>
          </w:p>
        </w:tc>
        <w:tc>
          <w:tcPr>
            <w:tcW w:w="8369" w:type="dxa"/>
          </w:tcPr>
          <w:p w14:paraId="4F0E06DF" w14:textId="5C99FA08" w:rsidR="00CC754C" w:rsidRPr="00E82A25" w:rsidRDefault="00CC754C" w:rsidP="00CC754C">
            <w:pPr>
              <w:jc w:val="both"/>
            </w:pPr>
            <w:r w:rsidRPr="00E82A25">
              <w:t xml:space="preserve">Opdrachtnemer voldoet te allen tijde aan </w:t>
            </w:r>
            <w:r w:rsidR="0093495F" w:rsidRPr="00E82A25">
              <w:t>het landelijk handboek Werkprocessen</w:t>
            </w:r>
            <w:r w:rsidR="000348E9" w:rsidRPr="00E82A25">
              <w:t xml:space="preserve"> van GGDGHOR Nederland zoals die </w:t>
            </w:r>
            <w:r w:rsidRPr="00E82A25">
              <w:t xml:space="preserve">als bijlage VII </w:t>
            </w:r>
            <w:r w:rsidR="009851DC" w:rsidRPr="00E82A25">
              <w:t>a</w:t>
            </w:r>
            <w:r w:rsidRPr="00E82A25">
              <w:t>an het aanbestedingsdocument met kenmerk VRLN-2021-VRLN-HS-03</w:t>
            </w:r>
            <w:r w:rsidR="00970D6B">
              <w:t>1</w:t>
            </w:r>
            <w:r w:rsidRPr="00E82A25">
              <w:t xml:space="preserve"> is toegevoegd. </w:t>
            </w:r>
          </w:p>
        </w:tc>
        <w:tc>
          <w:tcPr>
            <w:tcW w:w="994" w:type="dxa"/>
          </w:tcPr>
          <w:p w14:paraId="682A6BBB" w14:textId="77777777" w:rsidR="00CC754C" w:rsidRPr="00E82A25" w:rsidRDefault="00CC754C" w:rsidP="00CC754C">
            <w:pPr>
              <w:jc w:val="both"/>
            </w:pPr>
          </w:p>
        </w:tc>
      </w:tr>
      <w:tr w:rsidR="00CC754C" w:rsidRPr="00E82A25" w14:paraId="053C6C96" w14:textId="77777777" w:rsidTr="007C1855">
        <w:tc>
          <w:tcPr>
            <w:tcW w:w="562" w:type="dxa"/>
          </w:tcPr>
          <w:p w14:paraId="7C78606C" w14:textId="6F3E3E13" w:rsidR="00CC754C" w:rsidRPr="00E82A25" w:rsidRDefault="007F233A" w:rsidP="00CC754C">
            <w:pPr>
              <w:jc w:val="both"/>
            </w:pPr>
            <w:r w:rsidRPr="00E82A25">
              <w:t>9.</w:t>
            </w:r>
          </w:p>
        </w:tc>
        <w:tc>
          <w:tcPr>
            <w:tcW w:w="8369" w:type="dxa"/>
          </w:tcPr>
          <w:p w14:paraId="31180699" w14:textId="5B80BB0F" w:rsidR="00CC754C" w:rsidRPr="00E82A25" w:rsidRDefault="00CC754C" w:rsidP="00CC754C">
            <w:pPr>
              <w:jc w:val="both"/>
            </w:pPr>
            <w:r w:rsidRPr="00E82A25">
              <w:t xml:space="preserve">De te leveren dienstverlening en organisatie daaromheen van opdrachtnemer is - middels referentie - aantoonbaar robuust alsook flexibel, </w:t>
            </w:r>
            <w:r w:rsidR="00DD687B">
              <w:t>e</w:t>
            </w:r>
            <w:r w:rsidRPr="00E82A25">
              <w:t xml:space="preserve">n wel in die zin dat opdrachtnemer te allen tijde de gevraagde dienstverleningsbehoefte tot het gestelde maximum kan leveren. </w:t>
            </w:r>
          </w:p>
        </w:tc>
        <w:tc>
          <w:tcPr>
            <w:tcW w:w="994" w:type="dxa"/>
          </w:tcPr>
          <w:p w14:paraId="01C1DCB3" w14:textId="77777777" w:rsidR="00CC754C" w:rsidRPr="00E82A25" w:rsidRDefault="00CC754C" w:rsidP="00CC754C">
            <w:pPr>
              <w:jc w:val="both"/>
            </w:pPr>
          </w:p>
        </w:tc>
      </w:tr>
      <w:tr w:rsidR="00CC754C" w:rsidRPr="00E82A25" w14:paraId="62D70E5C" w14:textId="77777777" w:rsidTr="007C1855">
        <w:tc>
          <w:tcPr>
            <w:tcW w:w="562" w:type="dxa"/>
          </w:tcPr>
          <w:p w14:paraId="042FB977" w14:textId="6E2BDFB1" w:rsidR="00CC754C" w:rsidRPr="00E82A25" w:rsidRDefault="00515ABE" w:rsidP="00CC754C">
            <w:pPr>
              <w:jc w:val="both"/>
            </w:pPr>
            <w:r w:rsidRPr="00E82A25">
              <w:t>10.</w:t>
            </w:r>
          </w:p>
        </w:tc>
        <w:tc>
          <w:tcPr>
            <w:tcW w:w="8369" w:type="dxa"/>
          </w:tcPr>
          <w:p w14:paraId="35EABF81" w14:textId="3B5201C2" w:rsidR="00CC754C" w:rsidRPr="00E82A25" w:rsidRDefault="00CC754C" w:rsidP="00CC754C">
            <w:pPr>
              <w:jc w:val="both"/>
            </w:pPr>
            <w:r w:rsidRPr="00E82A25">
              <w:t>Opdrachtnemer is in staat om opdrachtgever permanent inzicht te geven in de status van de personele planning</w:t>
            </w:r>
            <w:r w:rsidR="00473624" w:rsidRPr="00E82A25">
              <w:t>.</w:t>
            </w:r>
          </w:p>
        </w:tc>
        <w:tc>
          <w:tcPr>
            <w:tcW w:w="994" w:type="dxa"/>
          </w:tcPr>
          <w:p w14:paraId="09C19753" w14:textId="77777777" w:rsidR="00CC754C" w:rsidRPr="00E82A25" w:rsidRDefault="00CC754C" w:rsidP="00CC754C">
            <w:pPr>
              <w:jc w:val="both"/>
            </w:pPr>
          </w:p>
        </w:tc>
      </w:tr>
      <w:tr w:rsidR="00CC754C" w:rsidRPr="00E82A25" w14:paraId="012650B5" w14:textId="77777777" w:rsidTr="007C1855">
        <w:tc>
          <w:tcPr>
            <w:tcW w:w="562" w:type="dxa"/>
          </w:tcPr>
          <w:p w14:paraId="7EE0827F" w14:textId="53B8D648" w:rsidR="00CC754C" w:rsidRPr="00E82A25" w:rsidRDefault="00515ABE" w:rsidP="00CC754C">
            <w:pPr>
              <w:jc w:val="both"/>
            </w:pPr>
            <w:r w:rsidRPr="00E82A25">
              <w:t>1</w:t>
            </w:r>
            <w:r w:rsidR="00DD687B">
              <w:t>1</w:t>
            </w:r>
            <w:r w:rsidR="00CC754C" w:rsidRPr="00E82A25">
              <w:t>.</w:t>
            </w:r>
          </w:p>
        </w:tc>
        <w:tc>
          <w:tcPr>
            <w:tcW w:w="8369" w:type="dxa"/>
          </w:tcPr>
          <w:p w14:paraId="05FB384D" w14:textId="3C23329B" w:rsidR="00CC754C" w:rsidRPr="00E82A25" w:rsidRDefault="00CC754C" w:rsidP="00CC754C">
            <w:pPr>
              <w:jc w:val="both"/>
            </w:pPr>
            <w:r w:rsidRPr="00E82A25">
              <w:t>Opdrachtnemer is in staat om op elk gewenst moment inzicht te geven in de registratie van bevoegdheid en bekwaamheid van ingezet personeel</w:t>
            </w:r>
            <w:r w:rsidR="007B7D9D">
              <w:t>, voorzover m.b.t. bevoegdheden en veronderstelde bekwaamheid van het in te zetten personeel wettelijke eisen worden gesteld.</w:t>
            </w:r>
          </w:p>
        </w:tc>
        <w:tc>
          <w:tcPr>
            <w:tcW w:w="994" w:type="dxa"/>
          </w:tcPr>
          <w:p w14:paraId="11ABA6AF" w14:textId="77777777" w:rsidR="00CC754C" w:rsidRPr="00E82A25" w:rsidRDefault="00CC754C" w:rsidP="00CC754C">
            <w:pPr>
              <w:jc w:val="both"/>
            </w:pPr>
          </w:p>
        </w:tc>
      </w:tr>
      <w:tr w:rsidR="00CC754C" w:rsidRPr="00E82A25" w14:paraId="4FFA0FB4" w14:textId="77777777" w:rsidTr="007C1855">
        <w:trPr>
          <w:trHeight w:val="58"/>
        </w:trPr>
        <w:tc>
          <w:tcPr>
            <w:tcW w:w="562" w:type="dxa"/>
          </w:tcPr>
          <w:p w14:paraId="26F3DE50" w14:textId="506D8F1C" w:rsidR="00CC754C" w:rsidRPr="00E82A25" w:rsidRDefault="00CC754C" w:rsidP="00CC754C">
            <w:pPr>
              <w:jc w:val="both"/>
            </w:pPr>
            <w:r w:rsidRPr="00E82A25">
              <w:t>1</w:t>
            </w:r>
            <w:r w:rsidR="007B7D9D">
              <w:t>2</w:t>
            </w:r>
            <w:r w:rsidRPr="00E82A25">
              <w:t>.</w:t>
            </w:r>
          </w:p>
        </w:tc>
        <w:tc>
          <w:tcPr>
            <w:tcW w:w="8369" w:type="dxa"/>
          </w:tcPr>
          <w:p w14:paraId="74A46AC4" w14:textId="7133A8E3" w:rsidR="00CC754C" w:rsidRPr="00E82A25" w:rsidRDefault="00CC754C" w:rsidP="00CC754C">
            <w:pPr>
              <w:jc w:val="both"/>
            </w:pPr>
            <w:r w:rsidRPr="00E82A25">
              <w:t xml:space="preserve">Opdrachtnemer is 24 uur per dag en 7 dagen per week bereikbaar voor opdrachtgever. </w:t>
            </w:r>
          </w:p>
        </w:tc>
        <w:tc>
          <w:tcPr>
            <w:tcW w:w="994" w:type="dxa"/>
          </w:tcPr>
          <w:p w14:paraId="62A0DAE3" w14:textId="77777777" w:rsidR="00CC754C" w:rsidRPr="00E82A25" w:rsidRDefault="00CC754C" w:rsidP="00CC754C">
            <w:pPr>
              <w:jc w:val="both"/>
            </w:pPr>
          </w:p>
        </w:tc>
      </w:tr>
      <w:tr w:rsidR="00CC754C" w:rsidRPr="00E82A25" w14:paraId="69ACB614" w14:textId="77777777" w:rsidTr="007C1855">
        <w:trPr>
          <w:trHeight w:val="58"/>
        </w:trPr>
        <w:tc>
          <w:tcPr>
            <w:tcW w:w="562" w:type="dxa"/>
          </w:tcPr>
          <w:p w14:paraId="6D578A41" w14:textId="330BF757" w:rsidR="00CC754C" w:rsidRPr="00E82A25" w:rsidRDefault="00CC754C" w:rsidP="00CC754C">
            <w:pPr>
              <w:jc w:val="both"/>
            </w:pPr>
            <w:r w:rsidRPr="00E82A25">
              <w:t>1</w:t>
            </w:r>
            <w:r w:rsidR="007B7D9D">
              <w:t>3</w:t>
            </w:r>
            <w:r w:rsidRPr="00E82A25">
              <w:t>.</w:t>
            </w:r>
          </w:p>
        </w:tc>
        <w:tc>
          <w:tcPr>
            <w:tcW w:w="8369" w:type="dxa"/>
          </w:tcPr>
          <w:p w14:paraId="525FC909" w14:textId="711271D6" w:rsidR="00CC754C" w:rsidRPr="00E82A25" w:rsidRDefault="00CC754C" w:rsidP="00CC754C">
            <w:pPr>
              <w:jc w:val="both"/>
            </w:pPr>
            <w:r w:rsidRPr="00E82A25">
              <w:t>Opdrachtnemer verloont minimaal 2% van de aanneemsom d.m.v. het inzetten van leden van de onder paragraaf 2.5 van het beschrijvend document genoemde doelgroepen.</w:t>
            </w:r>
          </w:p>
        </w:tc>
        <w:tc>
          <w:tcPr>
            <w:tcW w:w="994" w:type="dxa"/>
          </w:tcPr>
          <w:p w14:paraId="3FB04DFD" w14:textId="77777777" w:rsidR="00CC754C" w:rsidRPr="00E82A25" w:rsidRDefault="00CC754C" w:rsidP="00CC754C">
            <w:pPr>
              <w:jc w:val="both"/>
            </w:pPr>
          </w:p>
        </w:tc>
      </w:tr>
      <w:tr w:rsidR="00CC754C" w14:paraId="71C0632D" w14:textId="77777777" w:rsidTr="007C1855">
        <w:trPr>
          <w:trHeight w:val="58"/>
        </w:trPr>
        <w:tc>
          <w:tcPr>
            <w:tcW w:w="562" w:type="dxa"/>
          </w:tcPr>
          <w:p w14:paraId="1016AF81" w14:textId="77777777" w:rsidR="00CC754C" w:rsidRPr="00E82A25" w:rsidRDefault="00CC754C" w:rsidP="00CC754C">
            <w:pPr>
              <w:jc w:val="both"/>
            </w:pPr>
          </w:p>
        </w:tc>
        <w:tc>
          <w:tcPr>
            <w:tcW w:w="8369" w:type="dxa"/>
          </w:tcPr>
          <w:p w14:paraId="5157B2A4" w14:textId="033EA498" w:rsidR="00CC754C" w:rsidRPr="008B03E1" w:rsidRDefault="00CC754C" w:rsidP="00CC754C">
            <w:pPr>
              <w:jc w:val="both"/>
            </w:pPr>
            <w:r w:rsidRPr="00E82A25">
              <w:t>Einde.</w:t>
            </w:r>
          </w:p>
        </w:tc>
        <w:tc>
          <w:tcPr>
            <w:tcW w:w="994" w:type="dxa"/>
          </w:tcPr>
          <w:p w14:paraId="2C6D220F" w14:textId="77777777" w:rsidR="00CC754C" w:rsidRDefault="00CC754C" w:rsidP="00CC754C">
            <w:pPr>
              <w:jc w:val="both"/>
            </w:pPr>
          </w:p>
        </w:tc>
      </w:tr>
    </w:tbl>
    <w:p w14:paraId="43682D80" w14:textId="77777777" w:rsidR="00152688" w:rsidRDefault="00152688" w:rsidP="004A55FE">
      <w:pPr>
        <w:jc w:val="both"/>
      </w:pPr>
    </w:p>
    <w:p w14:paraId="1F5B9F01" w14:textId="31F531C1" w:rsidR="00152688" w:rsidRPr="00FD7B4C" w:rsidRDefault="00FD7B4C" w:rsidP="00152688">
      <w:pPr>
        <w:rPr>
          <w:b/>
          <w:bCs/>
          <w:sz w:val="28"/>
          <w:szCs w:val="28"/>
        </w:rPr>
      </w:pPr>
      <w:r w:rsidRPr="00FD7B4C">
        <w:rPr>
          <w:b/>
          <w:bCs/>
          <w:sz w:val="28"/>
          <w:szCs w:val="28"/>
        </w:rPr>
        <w:t>Inschrijver:</w:t>
      </w:r>
    </w:p>
    <w:tbl>
      <w:tblPr>
        <w:tblW w:w="781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7"/>
        <w:gridCol w:w="5213"/>
      </w:tblGrid>
      <w:tr w:rsidR="00FD7B4C" w:rsidRPr="00FD7B4C" w14:paraId="3C35AB7B" w14:textId="77777777" w:rsidTr="00FD7B4C">
        <w:trPr>
          <w:trHeight w:val="495"/>
        </w:trPr>
        <w:tc>
          <w:tcPr>
            <w:tcW w:w="2597" w:type="dxa"/>
            <w:shd w:val="clear" w:color="000000" w:fill="D8D8D8"/>
            <w:vAlign w:val="center"/>
          </w:tcPr>
          <w:p w14:paraId="5C22BD6A" w14:textId="77777777" w:rsidR="00FD7B4C" w:rsidRPr="00FD7B4C" w:rsidRDefault="00FD7B4C" w:rsidP="00FD7B4C">
            <w:pPr>
              <w:tabs>
                <w:tab w:val="left" w:pos="567"/>
              </w:tabs>
              <w:spacing w:after="0" w:line="312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r w:rsidRPr="00FD7B4C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 Naam</w:t>
            </w:r>
          </w:p>
        </w:tc>
        <w:tc>
          <w:tcPr>
            <w:tcW w:w="5213" w:type="dxa"/>
            <w:shd w:val="clear" w:color="auto" w:fill="auto"/>
            <w:noWrap/>
            <w:vAlign w:val="center"/>
          </w:tcPr>
          <w:p w14:paraId="3BC97FB9" w14:textId="77777777" w:rsidR="00FD7B4C" w:rsidRPr="00FD7B4C" w:rsidRDefault="00FD7B4C" w:rsidP="00FD7B4C">
            <w:pPr>
              <w:tabs>
                <w:tab w:val="left" w:pos="567"/>
              </w:tabs>
              <w:spacing w:after="0" w:line="312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</w:p>
        </w:tc>
      </w:tr>
      <w:tr w:rsidR="00FD7B4C" w:rsidRPr="00FD7B4C" w14:paraId="444EFD3F" w14:textId="77777777" w:rsidTr="00FD7B4C">
        <w:trPr>
          <w:trHeight w:val="495"/>
        </w:trPr>
        <w:tc>
          <w:tcPr>
            <w:tcW w:w="2597" w:type="dxa"/>
            <w:shd w:val="clear" w:color="000000" w:fill="D8D8D8"/>
            <w:vAlign w:val="center"/>
          </w:tcPr>
          <w:p w14:paraId="72006E43" w14:textId="77777777" w:rsidR="00FD7B4C" w:rsidRPr="00FD7B4C" w:rsidRDefault="00FD7B4C" w:rsidP="00FD7B4C">
            <w:pPr>
              <w:tabs>
                <w:tab w:val="left" w:pos="567"/>
              </w:tabs>
              <w:spacing w:after="0" w:line="312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r w:rsidRPr="00FD7B4C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 Functie</w:t>
            </w:r>
          </w:p>
        </w:tc>
        <w:tc>
          <w:tcPr>
            <w:tcW w:w="5213" w:type="dxa"/>
            <w:shd w:val="clear" w:color="auto" w:fill="auto"/>
            <w:noWrap/>
            <w:vAlign w:val="center"/>
          </w:tcPr>
          <w:p w14:paraId="159305B7" w14:textId="77777777" w:rsidR="00FD7B4C" w:rsidRPr="00FD7B4C" w:rsidRDefault="00FD7B4C" w:rsidP="00FD7B4C">
            <w:pPr>
              <w:tabs>
                <w:tab w:val="left" w:pos="567"/>
              </w:tabs>
              <w:spacing w:after="0" w:line="312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</w:p>
        </w:tc>
      </w:tr>
      <w:tr w:rsidR="00FD7B4C" w:rsidRPr="00FD7B4C" w14:paraId="0AC9B9A4" w14:textId="77777777" w:rsidTr="00FD7B4C">
        <w:trPr>
          <w:trHeight w:val="495"/>
        </w:trPr>
        <w:tc>
          <w:tcPr>
            <w:tcW w:w="2597" w:type="dxa"/>
            <w:shd w:val="clear" w:color="000000" w:fill="D8D8D8"/>
            <w:vAlign w:val="center"/>
          </w:tcPr>
          <w:p w14:paraId="25562378" w14:textId="77777777" w:rsidR="00FD7B4C" w:rsidRPr="00FD7B4C" w:rsidRDefault="00FD7B4C" w:rsidP="00FD7B4C">
            <w:pPr>
              <w:tabs>
                <w:tab w:val="left" w:pos="567"/>
              </w:tabs>
              <w:spacing w:after="0" w:line="312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r w:rsidRPr="00FD7B4C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 Onderneming</w:t>
            </w:r>
          </w:p>
        </w:tc>
        <w:tc>
          <w:tcPr>
            <w:tcW w:w="5213" w:type="dxa"/>
            <w:shd w:val="clear" w:color="auto" w:fill="auto"/>
            <w:noWrap/>
            <w:vAlign w:val="center"/>
          </w:tcPr>
          <w:p w14:paraId="749B744E" w14:textId="77777777" w:rsidR="00FD7B4C" w:rsidRPr="00FD7B4C" w:rsidRDefault="00FD7B4C" w:rsidP="00FD7B4C">
            <w:pPr>
              <w:tabs>
                <w:tab w:val="left" w:pos="567"/>
              </w:tabs>
              <w:spacing w:after="0" w:line="312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</w:p>
        </w:tc>
      </w:tr>
      <w:tr w:rsidR="00FD7B4C" w:rsidRPr="00FD7B4C" w14:paraId="3FE3B9A7" w14:textId="77777777" w:rsidTr="00FD7B4C">
        <w:trPr>
          <w:trHeight w:val="990"/>
        </w:trPr>
        <w:tc>
          <w:tcPr>
            <w:tcW w:w="2597" w:type="dxa"/>
            <w:shd w:val="clear" w:color="000000" w:fill="D8D8D8"/>
            <w:vAlign w:val="center"/>
          </w:tcPr>
          <w:p w14:paraId="77E3923B" w14:textId="77777777" w:rsidR="00FD7B4C" w:rsidRPr="00FD7B4C" w:rsidRDefault="00FD7B4C" w:rsidP="00FD7B4C">
            <w:pPr>
              <w:tabs>
                <w:tab w:val="left" w:pos="567"/>
              </w:tabs>
              <w:spacing w:after="0" w:line="312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r w:rsidRPr="00FD7B4C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 Handtekening</w:t>
            </w:r>
          </w:p>
        </w:tc>
        <w:tc>
          <w:tcPr>
            <w:tcW w:w="5213" w:type="dxa"/>
            <w:shd w:val="clear" w:color="auto" w:fill="auto"/>
            <w:noWrap/>
            <w:vAlign w:val="center"/>
          </w:tcPr>
          <w:p w14:paraId="706DD07A" w14:textId="77777777" w:rsidR="00FD7B4C" w:rsidRPr="00FD7B4C" w:rsidRDefault="00FD7B4C" w:rsidP="00FD7B4C">
            <w:pPr>
              <w:tabs>
                <w:tab w:val="left" w:pos="567"/>
              </w:tabs>
              <w:spacing w:after="0" w:line="312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</w:p>
        </w:tc>
      </w:tr>
      <w:tr w:rsidR="00FD7B4C" w:rsidRPr="00FD7B4C" w14:paraId="74B07C91" w14:textId="77777777" w:rsidTr="00FD7B4C">
        <w:trPr>
          <w:trHeight w:val="495"/>
        </w:trPr>
        <w:tc>
          <w:tcPr>
            <w:tcW w:w="2597" w:type="dxa"/>
            <w:shd w:val="clear" w:color="000000" w:fill="D8D8D8"/>
            <w:vAlign w:val="center"/>
          </w:tcPr>
          <w:p w14:paraId="1E5613B6" w14:textId="77777777" w:rsidR="00FD7B4C" w:rsidRPr="00FD7B4C" w:rsidRDefault="00FD7B4C" w:rsidP="00FD7B4C">
            <w:pPr>
              <w:tabs>
                <w:tab w:val="left" w:pos="567"/>
              </w:tabs>
              <w:spacing w:after="0" w:line="312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r w:rsidRPr="00FD7B4C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 Plaats en datum</w:t>
            </w:r>
          </w:p>
        </w:tc>
        <w:tc>
          <w:tcPr>
            <w:tcW w:w="5213" w:type="dxa"/>
            <w:shd w:val="clear" w:color="auto" w:fill="auto"/>
            <w:noWrap/>
            <w:vAlign w:val="center"/>
          </w:tcPr>
          <w:p w14:paraId="673EF100" w14:textId="77777777" w:rsidR="00FD7B4C" w:rsidRPr="00FD7B4C" w:rsidRDefault="00FD7B4C" w:rsidP="00FD7B4C">
            <w:pPr>
              <w:tabs>
                <w:tab w:val="left" w:pos="567"/>
              </w:tabs>
              <w:spacing w:after="0" w:line="312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</w:p>
        </w:tc>
      </w:tr>
    </w:tbl>
    <w:p w14:paraId="2C9A3EA1" w14:textId="10E15264" w:rsidR="00CC3B36" w:rsidRDefault="00CC3B36" w:rsidP="00FD7B4C"/>
    <w:sectPr w:rsidR="00CC3B36" w:rsidSect="007C18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4BBDF" w14:textId="77777777" w:rsidR="00C26B4C" w:rsidRDefault="00C26B4C" w:rsidP="00152688">
      <w:pPr>
        <w:spacing w:after="0" w:line="240" w:lineRule="auto"/>
      </w:pPr>
      <w:r>
        <w:separator/>
      </w:r>
    </w:p>
  </w:endnote>
  <w:endnote w:type="continuationSeparator" w:id="0">
    <w:p w14:paraId="0FDA0E46" w14:textId="77777777" w:rsidR="00C26B4C" w:rsidRDefault="00C26B4C" w:rsidP="00152688">
      <w:pPr>
        <w:spacing w:after="0" w:line="240" w:lineRule="auto"/>
      </w:pPr>
      <w:r>
        <w:continuationSeparator/>
      </w:r>
    </w:p>
  </w:endnote>
  <w:endnote w:type="continuationNotice" w:id="1">
    <w:p w14:paraId="448EE0B8" w14:textId="77777777" w:rsidR="00C26B4C" w:rsidRDefault="00C26B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AD19" w14:textId="77777777" w:rsidR="00152688" w:rsidRDefault="00152688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00C58E8" wp14:editId="54BBB88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7145"/>
              <wp:wrapSquare wrapText="bothSides"/>
              <wp:docPr id="2" name="Tekstvak 2" descr="Bedrijfsvertrouwelijk (BBN1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21AA7" w14:textId="77777777" w:rsidR="00152688" w:rsidRPr="00152688" w:rsidRDefault="0015268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15268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C58E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Bedrijfsvertrouwelijk (BBN1)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" filled="f" stroked="f">
              <v:textbox style="mso-fit-shape-to-text:t" inset="0,0,0,0">
                <w:txbxContent>
                  <w:p w14:paraId="4C421AA7" w14:textId="77777777" w:rsidR="00152688" w:rsidRPr="00152688" w:rsidRDefault="0015268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15268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7667" w14:textId="77777777" w:rsidR="00152688" w:rsidRDefault="00152688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0A25993" wp14:editId="2F532A0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7145"/>
              <wp:wrapSquare wrapText="bothSides"/>
              <wp:docPr id="3" name="Tekstvak 3" descr="Bedrijfsvertrouwelijk (BBN1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5A807" w14:textId="77777777" w:rsidR="00152688" w:rsidRPr="00152688" w:rsidRDefault="0015268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15268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2599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Bedrijfsvertrouwelijk (BBN1)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B0rvVs4AgAAYQQAAA4AAAAAAAAAAAAAAAAALgIA&#10;AGRycy9lMm9Eb2MueG1sUEsBAi0AFAAGAAgAAAAhAISw0yjWAAAAAwEAAA8AAAAAAAAAAAAAAAAA&#10;kgQAAGRycy9kb3ducmV2LnhtbFBLBQYAAAAABAAEAPMAAACVBQAAAAA=&#10;" filled="f" stroked="f">
              <v:textbox style="mso-fit-shape-to-text:t" inset="0,0,0,0">
                <w:txbxContent>
                  <w:p w14:paraId="2B85A807" w14:textId="77777777" w:rsidR="00152688" w:rsidRPr="00152688" w:rsidRDefault="0015268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15268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30BA" w14:textId="77777777" w:rsidR="00152688" w:rsidRDefault="00152688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802F47" wp14:editId="64A27D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7145"/>
              <wp:wrapSquare wrapText="bothSides"/>
              <wp:docPr id="1" name="Tekstvak 1" descr="Bedrijfsvertrouwelijk (BBN1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0A9C3" w14:textId="77777777" w:rsidR="00152688" w:rsidRPr="00152688" w:rsidRDefault="0015268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15268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02F47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Bedrijfsvertrouwelijk (BBN1)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Nvi51I4AgAAYQQAAA4AAAAAAAAAAAAAAAAALgIA&#10;AGRycy9lMm9Eb2MueG1sUEsBAi0AFAAGAAgAAAAhAISw0yjWAAAAAwEAAA8AAAAAAAAAAAAAAAAA&#10;kgQAAGRycy9kb3ducmV2LnhtbFBLBQYAAAAABAAEAPMAAACVBQAAAAA=&#10;" filled="f" stroked="f">
              <v:textbox style="mso-fit-shape-to-text:t" inset="0,0,0,0">
                <w:txbxContent>
                  <w:p w14:paraId="48B0A9C3" w14:textId="77777777" w:rsidR="00152688" w:rsidRPr="00152688" w:rsidRDefault="0015268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15268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EED2" w14:textId="77777777" w:rsidR="00C26B4C" w:rsidRDefault="00C26B4C" w:rsidP="00152688">
      <w:pPr>
        <w:spacing w:after="0" w:line="240" w:lineRule="auto"/>
      </w:pPr>
      <w:r>
        <w:separator/>
      </w:r>
    </w:p>
  </w:footnote>
  <w:footnote w:type="continuationSeparator" w:id="0">
    <w:p w14:paraId="2614A9BD" w14:textId="77777777" w:rsidR="00C26B4C" w:rsidRDefault="00C26B4C" w:rsidP="00152688">
      <w:pPr>
        <w:spacing w:after="0" w:line="240" w:lineRule="auto"/>
      </w:pPr>
      <w:r>
        <w:continuationSeparator/>
      </w:r>
    </w:p>
  </w:footnote>
  <w:footnote w:type="continuationNotice" w:id="1">
    <w:p w14:paraId="510B4AA8" w14:textId="77777777" w:rsidR="00C26B4C" w:rsidRDefault="00C26B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4C0C" w14:textId="77777777" w:rsidR="00152688" w:rsidRDefault="001526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5BB3" w14:textId="77777777" w:rsidR="00152688" w:rsidRDefault="0015268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F375" w14:textId="77777777" w:rsidR="00152688" w:rsidRDefault="0015268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68B9"/>
    <w:multiLevelType w:val="hybridMultilevel"/>
    <w:tmpl w:val="BCB4D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351B3"/>
    <w:multiLevelType w:val="hybridMultilevel"/>
    <w:tmpl w:val="305C96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88"/>
    <w:rsid w:val="00004D3C"/>
    <w:rsid w:val="000348E9"/>
    <w:rsid w:val="00057A81"/>
    <w:rsid w:val="0006373D"/>
    <w:rsid w:val="000E2978"/>
    <w:rsid w:val="00132B6E"/>
    <w:rsid w:val="001417FC"/>
    <w:rsid w:val="00152688"/>
    <w:rsid w:val="001646FD"/>
    <w:rsid w:val="001D29BA"/>
    <w:rsid w:val="001D5635"/>
    <w:rsid w:val="00235E6D"/>
    <w:rsid w:val="00277D5E"/>
    <w:rsid w:val="002B17B6"/>
    <w:rsid w:val="002C4E09"/>
    <w:rsid w:val="002C5FB1"/>
    <w:rsid w:val="0031236D"/>
    <w:rsid w:val="00363022"/>
    <w:rsid w:val="0039724B"/>
    <w:rsid w:val="003D2EAA"/>
    <w:rsid w:val="004002BF"/>
    <w:rsid w:val="00420F0A"/>
    <w:rsid w:val="00452190"/>
    <w:rsid w:val="00460BF0"/>
    <w:rsid w:val="00466FD4"/>
    <w:rsid w:val="00473624"/>
    <w:rsid w:val="004A1A48"/>
    <w:rsid w:val="004A55FE"/>
    <w:rsid w:val="00515ABE"/>
    <w:rsid w:val="00544EAB"/>
    <w:rsid w:val="00557FAF"/>
    <w:rsid w:val="005C21D1"/>
    <w:rsid w:val="005F36B0"/>
    <w:rsid w:val="00616235"/>
    <w:rsid w:val="00625043"/>
    <w:rsid w:val="00640743"/>
    <w:rsid w:val="00694B49"/>
    <w:rsid w:val="006B4A55"/>
    <w:rsid w:val="006B51D7"/>
    <w:rsid w:val="0073416F"/>
    <w:rsid w:val="00750DF1"/>
    <w:rsid w:val="007B7D9D"/>
    <w:rsid w:val="007C1855"/>
    <w:rsid w:val="007E5E30"/>
    <w:rsid w:val="007F0C93"/>
    <w:rsid w:val="007F233A"/>
    <w:rsid w:val="00813576"/>
    <w:rsid w:val="008223F0"/>
    <w:rsid w:val="008428C6"/>
    <w:rsid w:val="00864C60"/>
    <w:rsid w:val="008B03E1"/>
    <w:rsid w:val="008C0E28"/>
    <w:rsid w:val="008C153A"/>
    <w:rsid w:val="0093495F"/>
    <w:rsid w:val="00970D6B"/>
    <w:rsid w:val="00982D25"/>
    <w:rsid w:val="009851DC"/>
    <w:rsid w:val="009B3604"/>
    <w:rsid w:val="00A36636"/>
    <w:rsid w:val="00A47127"/>
    <w:rsid w:val="00A57057"/>
    <w:rsid w:val="00A614EE"/>
    <w:rsid w:val="00A924D5"/>
    <w:rsid w:val="00B04325"/>
    <w:rsid w:val="00B60034"/>
    <w:rsid w:val="00B60A88"/>
    <w:rsid w:val="00BA1ED6"/>
    <w:rsid w:val="00BC018D"/>
    <w:rsid w:val="00C26B4C"/>
    <w:rsid w:val="00C54DEB"/>
    <w:rsid w:val="00C568CF"/>
    <w:rsid w:val="00C6168A"/>
    <w:rsid w:val="00CC0374"/>
    <w:rsid w:val="00CC3B36"/>
    <w:rsid w:val="00CC754C"/>
    <w:rsid w:val="00CF3C77"/>
    <w:rsid w:val="00D25044"/>
    <w:rsid w:val="00D66EE3"/>
    <w:rsid w:val="00D9476B"/>
    <w:rsid w:val="00DC26C5"/>
    <w:rsid w:val="00DD4F0B"/>
    <w:rsid w:val="00DD687B"/>
    <w:rsid w:val="00DE5EDE"/>
    <w:rsid w:val="00DF77BC"/>
    <w:rsid w:val="00E00F4D"/>
    <w:rsid w:val="00E01A21"/>
    <w:rsid w:val="00E77592"/>
    <w:rsid w:val="00E82A25"/>
    <w:rsid w:val="00EB4BBC"/>
    <w:rsid w:val="00F27C71"/>
    <w:rsid w:val="00F90DD8"/>
    <w:rsid w:val="00F97BEF"/>
    <w:rsid w:val="00FD7B4C"/>
    <w:rsid w:val="00FF1A05"/>
    <w:rsid w:val="00FF2895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DD99"/>
  <w15:chartTrackingRefBased/>
  <w15:docId w15:val="{C93F2144-265F-481C-A19A-AC35184C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5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2688"/>
  </w:style>
  <w:style w:type="paragraph" w:styleId="Voettekst">
    <w:name w:val="footer"/>
    <w:basedOn w:val="Standaard"/>
    <w:link w:val="VoettekstChar"/>
    <w:uiPriority w:val="99"/>
    <w:unhideWhenUsed/>
    <w:rsid w:val="0015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2688"/>
  </w:style>
  <w:style w:type="table" w:styleId="Tabelraster">
    <w:name w:val="Table Grid"/>
    <w:basedOn w:val="Standaardtabel"/>
    <w:uiPriority w:val="39"/>
    <w:rsid w:val="0015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4F0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4F0B"/>
    <w:rPr>
      <w:i/>
      <w:iCs/>
      <w:color w:val="4472C4" w:themeColor="accent1"/>
    </w:rPr>
  </w:style>
  <w:style w:type="paragraph" w:styleId="Lijstalinea">
    <w:name w:val="List Paragraph"/>
    <w:basedOn w:val="Standaard"/>
    <w:uiPriority w:val="34"/>
    <w:qFormat/>
    <w:rsid w:val="00CC754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70D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0D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0D6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0D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0D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95266C841FD4090D400BB70D2B7AC" ma:contentTypeVersion="14" ma:contentTypeDescription="Een nieuw document maken." ma:contentTypeScope="" ma:versionID="2c7a9d8e551c6eb720382a28fe6dc8aa">
  <xsd:schema xmlns:xsd="http://www.w3.org/2001/XMLSchema" xmlns:xs="http://www.w3.org/2001/XMLSchema" xmlns:p="http://schemas.microsoft.com/office/2006/metadata/properties" xmlns:ns1="http://schemas.microsoft.com/sharepoint/v3" xmlns:ns2="004b75e5-79d6-495b-b654-3ad238d6a266" xmlns:ns3="6f8f5957-8489-4028-a1d3-30017013c825" targetNamespace="http://schemas.microsoft.com/office/2006/metadata/properties" ma:root="true" ma:fieldsID="0f6f82c00ba0cb49e3d6d7de4afa9763" ns1:_="" ns2:_="" ns3:_="">
    <xsd:import namespace="http://schemas.microsoft.com/sharepoint/v3"/>
    <xsd:import namespace="004b75e5-79d6-495b-b654-3ad238d6a266"/>
    <xsd:import namespace="6f8f5957-8489-4028-a1d3-30017013c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b75e5-79d6-495b-b654-3ad238d6a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f5957-8489-4028-a1d3-30017013c8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E11E8-9D6C-4DEA-8812-CAD7A0964F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21F87C-034C-4677-A3BF-C7ABF3BCA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580CB-1B8F-4F75-A84B-E5F11BAC591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6f8f5957-8489-4028-a1d3-30017013c825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004b75e5-79d6-495b-b654-3ad238d6a266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67B225D-462C-4979-A02F-4DDDCB5DF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4b75e5-79d6-495b-b654-3ad238d6a266"/>
    <ds:schemaRef ds:uri="6f8f5957-8489-4028-a1d3-30017013c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Stams, Hans</dc:creator>
  <cp:keywords/>
  <dc:description/>
  <cp:lastModifiedBy>Stams, Hans</cp:lastModifiedBy>
  <cp:revision>4</cp:revision>
  <dcterms:created xsi:type="dcterms:W3CDTF">2022-04-25T07:40:00Z</dcterms:created>
  <dcterms:modified xsi:type="dcterms:W3CDTF">2022-04-25T13:11:00Z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Bedrijfsvertrouwelijk (BBN1)</vt:lpwstr>
  </property>
  <property fmtid="{D5CDD505-2E9C-101B-9397-08002B2CF9AE}" pid="5" name="MSIP_Label_ce8bfa01-cc62-4e0e-8713-2f7da2586bef_Enabled">
    <vt:lpwstr>true</vt:lpwstr>
  </property>
  <property fmtid="{D5CDD505-2E9C-101B-9397-08002B2CF9AE}" pid="6" name="MSIP_Label_ce8bfa01-cc62-4e0e-8713-2f7da2586bef_SetDate">
    <vt:lpwstr>2022-01-20T09:43:04Z</vt:lpwstr>
  </property>
  <property fmtid="{D5CDD505-2E9C-101B-9397-08002B2CF9AE}" pid="7" name="MSIP_Label_ce8bfa01-cc62-4e0e-8713-2f7da2586bef_Method">
    <vt:lpwstr>Standard</vt:lpwstr>
  </property>
  <property fmtid="{D5CDD505-2E9C-101B-9397-08002B2CF9AE}" pid="8" name="MSIP_Label_ce8bfa01-cc62-4e0e-8713-2f7da2586bef_Name">
    <vt:lpwstr>Bedrijfsvertrouwelijk (BBN1)</vt:lpwstr>
  </property>
  <property fmtid="{D5CDD505-2E9C-101B-9397-08002B2CF9AE}" pid="9" name="MSIP_Label_ce8bfa01-cc62-4e0e-8713-2f7da2586bef_SiteId">
    <vt:lpwstr>e90fbc72-bc3b-4475-8f41-70d1d17ccf33</vt:lpwstr>
  </property>
  <property fmtid="{D5CDD505-2E9C-101B-9397-08002B2CF9AE}" pid="10" name="MSIP_Label_ce8bfa01-cc62-4e0e-8713-2f7da2586bef_ActionId">
    <vt:lpwstr>0edb4824-5261-4d27-bf50-88c6b5d239d0</vt:lpwstr>
  </property>
  <property fmtid="{D5CDD505-2E9C-101B-9397-08002B2CF9AE}" pid="11" name="MSIP_Label_ce8bfa01-cc62-4e0e-8713-2f7da2586bef_ContentBits">
    <vt:lpwstr>2</vt:lpwstr>
  </property>
  <property fmtid="{D5CDD505-2E9C-101B-9397-08002B2CF9AE}" pid="12" name="ContentTypeId">
    <vt:lpwstr>0x010100ACD95266C841FD4090D400BB70D2B7AC</vt:lpwstr>
  </property>
</Properties>
</file>