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bl>
      <w:tblPr>
        <w:tblW w:w="16428" w:type="dxa"/>
        <w:tblCellMar>
          <w:left w:w="70" w:type="dxa"/>
          <w:right w:w="70" w:type="dxa"/>
        </w:tblCellMar>
        <w:tblLook w:val="04A0" w:firstRow="1" w:lastRow="0" w:firstColumn="1" w:lastColumn="0" w:noHBand="0" w:noVBand="1"/>
      </w:tblPr>
      <w:tblGrid>
        <w:gridCol w:w="185"/>
        <w:gridCol w:w="5485"/>
        <w:gridCol w:w="851"/>
        <w:gridCol w:w="1134"/>
        <w:gridCol w:w="1134"/>
        <w:gridCol w:w="1134"/>
        <w:gridCol w:w="1134"/>
        <w:gridCol w:w="1134"/>
        <w:gridCol w:w="1134"/>
        <w:gridCol w:w="1134"/>
        <w:gridCol w:w="1969"/>
      </w:tblGrid>
      <w:tr w:rsidR="0095139B" w:rsidRPr="0095139B" w:rsidTr="0095139B">
        <w:trPr>
          <w:trHeight w:val="330"/>
        </w:trPr>
        <w:tc>
          <w:tcPr>
            <w:tcW w:w="5670" w:type="dxa"/>
            <w:gridSpan w:val="2"/>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b/>
                <w:bCs/>
                <w:color w:val="FFFFFF"/>
                <w:sz w:val="22"/>
                <w:lang w:eastAsia="nl-NL"/>
              </w:rPr>
            </w:pPr>
            <w:r w:rsidRPr="0095139B">
              <w:rPr>
                <w:rFonts w:ascii="Segoe UI" w:eastAsia="Times New Roman" w:hAnsi="Segoe UI" w:cs="Segoe UI"/>
                <w:b/>
                <w:bCs/>
                <w:color w:val="FFFFFF"/>
                <w:sz w:val="22"/>
                <w:lang w:eastAsia="nl-NL"/>
              </w:rPr>
              <w:t xml:space="preserve">Berekening gewogen kostprijs huishoudelijke hulp </w:t>
            </w:r>
          </w:p>
        </w:tc>
        <w:tc>
          <w:tcPr>
            <w:tcW w:w="851" w:type="dxa"/>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b/>
                <w:bCs/>
                <w:color w:val="FFFFFF"/>
                <w:sz w:val="22"/>
                <w:lang w:eastAsia="nl-NL"/>
              </w:rPr>
            </w:pPr>
            <w:r w:rsidRPr="0095139B">
              <w:rPr>
                <w:rFonts w:ascii="Segoe UI" w:eastAsia="Times New Roman" w:hAnsi="Segoe UI" w:cs="Segoe UI"/>
                <w:b/>
                <w:bCs/>
                <w:color w:val="FFFFFF"/>
                <w:sz w:val="22"/>
                <w:lang w:eastAsia="nl-NL"/>
              </w:rPr>
              <w:t> </w:t>
            </w:r>
          </w:p>
        </w:tc>
        <w:tc>
          <w:tcPr>
            <w:tcW w:w="1134" w:type="dxa"/>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color w:val="1A3877"/>
                <w:sz w:val="22"/>
                <w:lang w:eastAsia="nl-NL"/>
              </w:rPr>
            </w:pPr>
            <w:r w:rsidRPr="0095139B">
              <w:rPr>
                <w:rFonts w:ascii="Segoe UI" w:eastAsia="Times New Roman" w:hAnsi="Segoe UI" w:cs="Segoe UI"/>
                <w:color w:val="1A3877"/>
                <w:sz w:val="22"/>
                <w:lang w:eastAsia="nl-NL"/>
              </w:rPr>
              <w:t> </w:t>
            </w:r>
          </w:p>
        </w:tc>
        <w:tc>
          <w:tcPr>
            <w:tcW w:w="1134" w:type="dxa"/>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color w:val="1A3877"/>
                <w:sz w:val="22"/>
                <w:lang w:eastAsia="nl-NL"/>
              </w:rPr>
            </w:pPr>
            <w:r w:rsidRPr="0095139B">
              <w:rPr>
                <w:rFonts w:ascii="Segoe UI" w:eastAsia="Times New Roman" w:hAnsi="Segoe UI" w:cs="Segoe UI"/>
                <w:color w:val="1A3877"/>
                <w:sz w:val="22"/>
                <w:lang w:eastAsia="nl-NL"/>
              </w:rPr>
              <w:t> </w:t>
            </w:r>
          </w:p>
        </w:tc>
        <w:tc>
          <w:tcPr>
            <w:tcW w:w="1134" w:type="dxa"/>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color w:val="1A3877"/>
                <w:sz w:val="22"/>
                <w:lang w:eastAsia="nl-NL"/>
              </w:rPr>
            </w:pPr>
            <w:r w:rsidRPr="0095139B">
              <w:rPr>
                <w:rFonts w:ascii="Segoe UI" w:eastAsia="Times New Roman" w:hAnsi="Segoe UI" w:cs="Segoe UI"/>
                <w:color w:val="1A3877"/>
                <w:sz w:val="22"/>
                <w:lang w:eastAsia="nl-NL"/>
              </w:rPr>
              <w:t> </w:t>
            </w:r>
          </w:p>
        </w:tc>
        <w:tc>
          <w:tcPr>
            <w:tcW w:w="1134" w:type="dxa"/>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color w:val="1A3877"/>
                <w:sz w:val="22"/>
                <w:lang w:eastAsia="nl-NL"/>
              </w:rPr>
            </w:pPr>
            <w:r w:rsidRPr="0095139B">
              <w:rPr>
                <w:rFonts w:ascii="Segoe UI" w:eastAsia="Times New Roman" w:hAnsi="Segoe UI" w:cs="Segoe UI"/>
                <w:color w:val="1A3877"/>
                <w:sz w:val="22"/>
                <w:lang w:eastAsia="nl-NL"/>
              </w:rPr>
              <w:t> </w:t>
            </w:r>
          </w:p>
        </w:tc>
        <w:tc>
          <w:tcPr>
            <w:tcW w:w="1134" w:type="dxa"/>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color w:val="1A3877"/>
                <w:sz w:val="22"/>
                <w:lang w:eastAsia="nl-NL"/>
              </w:rPr>
            </w:pPr>
            <w:r w:rsidRPr="0095139B">
              <w:rPr>
                <w:rFonts w:ascii="Segoe UI" w:eastAsia="Times New Roman" w:hAnsi="Segoe UI" w:cs="Segoe UI"/>
                <w:color w:val="1A3877"/>
                <w:sz w:val="22"/>
                <w:lang w:eastAsia="nl-NL"/>
              </w:rPr>
              <w:t> </w:t>
            </w:r>
          </w:p>
        </w:tc>
        <w:tc>
          <w:tcPr>
            <w:tcW w:w="1134" w:type="dxa"/>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color w:val="1A3877"/>
                <w:sz w:val="22"/>
                <w:lang w:eastAsia="nl-NL"/>
              </w:rPr>
            </w:pPr>
            <w:r w:rsidRPr="0095139B">
              <w:rPr>
                <w:rFonts w:ascii="Segoe UI" w:eastAsia="Times New Roman" w:hAnsi="Segoe UI" w:cs="Segoe UI"/>
                <w:color w:val="1A3877"/>
                <w:sz w:val="22"/>
                <w:lang w:eastAsia="nl-NL"/>
              </w:rPr>
              <w:t> </w:t>
            </w:r>
          </w:p>
        </w:tc>
        <w:tc>
          <w:tcPr>
            <w:tcW w:w="1134" w:type="dxa"/>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color w:val="1A3877"/>
                <w:sz w:val="22"/>
                <w:lang w:eastAsia="nl-NL"/>
              </w:rPr>
            </w:pPr>
            <w:r w:rsidRPr="0095139B">
              <w:rPr>
                <w:rFonts w:ascii="Segoe UI" w:eastAsia="Times New Roman" w:hAnsi="Segoe UI" w:cs="Segoe UI"/>
                <w:color w:val="1A3877"/>
                <w:sz w:val="22"/>
                <w:lang w:eastAsia="nl-NL"/>
              </w:rPr>
              <w:t> </w:t>
            </w:r>
          </w:p>
        </w:tc>
        <w:tc>
          <w:tcPr>
            <w:tcW w:w="1969" w:type="dxa"/>
            <w:tcBorders>
              <w:top w:val="nil"/>
              <w:left w:val="nil"/>
              <w:bottom w:val="nil"/>
              <w:right w:val="nil"/>
            </w:tcBorders>
            <w:shd w:val="clear" w:color="000000" w:fill="808080"/>
            <w:noWrap/>
            <w:vAlign w:val="bottom"/>
            <w:hideMark/>
          </w:tcPr>
          <w:p w:rsidR="0095139B" w:rsidRPr="0095139B" w:rsidRDefault="0095139B" w:rsidP="0095139B">
            <w:pPr>
              <w:spacing w:after="0" w:line="240" w:lineRule="auto"/>
              <w:rPr>
                <w:rFonts w:ascii="Segoe UI" w:eastAsia="Times New Roman" w:hAnsi="Segoe UI" w:cs="Segoe UI"/>
                <w:color w:val="1A3877"/>
                <w:sz w:val="22"/>
                <w:lang w:eastAsia="nl-NL"/>
              </w:rPr>
            </w:pPr>
            <w:r w:rsidRPr="0095139B">
              <w:rPr>
                <w:rFonts w:ascii="Segoe UI" w:eastAsia="Times New Roman" w:hAnsi="Segoe UI" w:cs="Segoe UI"/>
                <w:color w:val="1A3877"/>
                <w:sz w:val="22"/>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851"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single" w:sz="4" w:space="0" w:color="A6A6A6"/>
              <w:left w:val="single" w:sz="4" w:space="0" w:color="A6A6A6"/>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Gewogen kostprijs</w:t>
            </w:r>
          </w:p>
        </w:tc>
        <w:tc>
          <w:tcPr>
            <w:tcW w:w="851"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nil"/>
              <w:right w:val="nil"/>
            </w:tcBorders>
            <w:shd w:val="clear" w:color="000000" w:fill="F2F2F2"/>
            <w:noWrap/>
            <w:vAlign w:val="bottom"/>
            <w:hideMark/>
          </w:tcPr>
          <w:p w:rsidR="0095139B" w:rsidRPr="0095139B" w:rsidRDefault="00950A7E" w:rsidP="0095139B">
            <w:pPr>
              <w:spacing w:after="0" w:line="240" w:lineRule="auto"/>
              <w:rPr>
                <w:rFonts w:ascii="Segoe UI" w:eastAsia="Times New Roman" w:hAnsi="Segoe UI" w:cs="Segoe UI"/>
                <w:color w:val="1A3877"/>
                <w:sz w:val="16"/>
                <w:szCs w:val="16"/>
                <w:lang w:eastAsia="nl-NL"/>
              </w:rPr>
            </w:pPr>
            <w:hyperlink r:id="rId4" w:anchor="RANGE!B42" w:history="1">
              <w:r w:rsidR="0095139B" w:rsidRPr="0095139B">
                <w:rPr>
                  <w:rFonts w:ascii="Segoe UI" w:eastAsia="Times New Roman" w:hAnsi="Segoe UI" w:cs="Segoe UI"/>
                  <w:color w:val="1A3877"/>
                  <w:sz w:val="16"/>
                  <w:szCs w:val="16"/>
                  <w:lang w:eastAsia="nl-NL"/>
                </w:rPr>
                <w:t>Salarislasten per uur</w:t>
              </w:r>
            </w:hyperlink>
          </w:p>
        </w:tc>
        <w:tc>
          <w:tcPr>
            <w:tcW w:w="851" w:type="dxa"/>
            <w:tcBorders>
              <w:top w:val="nil"/>
              <w:left w:val="nil"/>
              <w:bottom w:val="single" w:sz="4" w:space="0" w:color="auto"/>
              <w:right w:val="nil"/>
            </w:tcBorders>
            <w:shd w:val="clear" w:color="000000" w:fill="F2F2F2"/>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uto"/>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uto"/>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uto"/>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uto"/>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uto"/>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uto"/>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uto"/>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969" w:type="dxa"/>
            <w:tcBorders>
              <w:top w:val="nil"/>
              <w:left w:val="nil"/>
              <w:bottom w:val="single" w:sz="4" w:space="0" w:color="auto"/>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single" w:sz="4" w:space="0" w:color="auto"/>
              <w:left w:val="single" w:sz="4" w:space="0" w:color="A6A6A6"/>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851"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cao</w:t>
            </w:r>
          </w:p>
        </w:tc>
        <w:tc>
          <w:tcPr>
            <w:tcW w:w="851" w:type="dxa"/>
            <w:tcBorders>
              <w:top w:val="single" w:sz="4" w:space="0" w:color="A6A6A6"/>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VVT</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851"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single" w:sz="4" w:space="0" w:color="A6A6A6"/>
              <w:left w:val="single" w:sz="4" w:space="0" w:color="A6A6A6"/>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Schaal</w:t>
            </w:r>
          </w:p>
        </w:tc>
        <w:tc>
          <w:tcPr>
            <w:tcW w:w="851"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proofErr w:type="spellStart"/>
            <w:r w:rsidRPr="0095139B">
              <w:rPr>
                <w:rFonts w:ascii="Segoe UI" w:eastAsia="Times New Roman" w:hAnsi="Segoe UI" w:cs="Segoe UI"/>
                <w:b/>
                <w:bCs/>
                <w:color w:val="1A3877"/>
                <w:sz w:val="16"/>
                <w:szCs w:val="16"/>
                <w:lang w:eastAsia="nl-NL"/>
              </w:rPr>
              <w:t>hbh</w:t>
            </w:r>
            <w:proofErr w:type="spellEnd"/>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proofErr w:type="spellStart"/>
            <w:r w:rsidRPr="0095139B">
              <w:rPr>
                <w:rFonts w:ascii="Segoe UI" w:eastAsia="Times New Roman" w:hAnsi="Segoe UI" w:cs="Segoe UI"/>
                <w:b/>
                <w:bCs/>
                <w:color w:val="1A3877"/>
                <w:sz w:val="16"/>
                <w:szCs w:val="16"/>
                <w:lang w:eastAsia="nl-NL"/>
              </w:rPr>
              <w:t>hbh</w:t>
            </w:r>
            <w:proofErr w:type="spellEnd"/>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proofErr w:type="spellStart"/>
            <w:r w:rsidRPr="0095139B">
              <w:rPr>
                <w:rFonts w:ascii="Segoe UI" w:eastAsia="Times New Roman" w:hAnsi="Segoe UI" w:cs="Segoe UI"/>
                <w:b/>
                <w:bCs/>
                <w:color w:val="1A3877"/>
                <w:sz w:val="16"/>
                <w:szCs w:val="16"/>
                <w:lang w:eastAsia="nl-NL"/>
              </w:rPr>
              <w:t>hbh</w:t>
            </w:r>
            <w:proofErr w:type="spellEnd"/>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proofErr w:type="spellStart"/>
            <w:r w:rsidRPr="0095139B">
              <w:rPr>
                <w:rFonts w:ascii="Segoe UI" w:eastAsia="Times New Roman" w:hAnsi="Segoe UI" w:cs="Segoe UI"/>
                <w:b/>
                <w:bCs/>
                <w:color w:val="1A3877"/>
                <w:sz w:val="16"/>
                <w:szCs w:val="16"/>
                <w:lang w:eastAsia="nl-NL"/>
              </w:rPr>
              <w:t>hbh</w:t>
            </w:r>
            <w:proofErr w:type="spellEnd"/>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proofErr w:type="spellStart"/>
            <w:r w:rsidRPr="0095139B">
              <w:rPr>
                <w:rFonts w:ascii="Segoe UI" w:eastAsia="Times New Roman" w:hAnsi="Segoe UI" w:cs="Segoe UI"/>
                <w:b/>
                <w:bCs/>
                <w:color w:val="1A3877"/>
                <w:sz w:val="16"/>
                <w:szCs w:val="16"/>
                <w:lang w:eastAsia="nl-NL"/>
              </w:rPr>
              <w:t>hbh</w:t>
            </w:r>
            <w:proofErr w:type="spellEnd"/>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proofErr w:type="spellStart"/>
            <w:r w:rsidRPr="0095139B">
              <w:rPr>
                <w:rFonts w:ascii="Segoe UI" w:eastAsia="Times New Roman" w:hAnsi="Segoe UI" w:cs="Segoe UI"/>
                <w:b/>
                <w:bCs/>
                <w:color w:val="1A3877"/>
                <w:sz w:val="16"/>
                <w:szCs w:val="16"/>
                <w:lang w:eastAsia="nl-NL"/>
              </w:rPr>
              <w:t>hbh</w:t>
            </w:r>
            <w:proofErr w:type="spellEnd"/>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proofErr w:type="spellStart"/>
            <w:r w:rsidRPr="0095139B">
              <w:rPr>
                <w:rFonts w:ascii="Segoe UI" w:eastAsia="Times New Roman" w:hAnsi="Segoe UI" w:cs="Segoe UI"/>
                <w:b/>
                <w:bCs/>
                <w:color w:val="1A3877"/>
                <w:sz w:val="16"/>
                <w:szCs w:val="16"/>
                <w:lang w:eastAsia="nl-NL"/>
              </w:rPr>
              <w:t>hbh</w:t>
            </w:r>
            <w:proofErr w:type="spellEnd"/>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Totaal</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Periodiek</w:t>
            </w:r>
          </w:p>
        </w:tc>
        <w:tc>
          <w:tcPr>
            <w:tcW w:w="851"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0</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1</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2</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3</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4</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5</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5+</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Bruto uurloon</w:t>
            </w:r>
          </w:p>
        </w:tc>
        <w:tc>
          <w:tcPr>
            <w:tcW w:w="851" w:type="dxa"/>
            <w:tcBorders>
              <w:top w:val="nil"/>
              <w:left w:val="nil"/>
              <w:bottom w:val="single" w:sz="4" w:space="0" w:color="A6A6A6"/>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11,47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12,05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12,62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13,20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13,77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14,34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12,97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Opslag eindejaarsuitkering</w:t>
            </w:r>
          </w:p>
        </w:tc>
        <w:tc>
          <w:tcPr>
            <w:tcW w:w="851"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8,33%</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1,15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1,19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1,14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Opslag vakantiegeld</w:t>
            </w:r>
          </w:p>
        </w:tc>
        <w:tc>
          <w:tcPr>
            <w:tcW w:w="851"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8,00%</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1,07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1,07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1,07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1,07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1,10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1,15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1,07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Eenmalige uitkeringen</w:t>
            </w:r>
          </w:p>
        </w:tc>
        <w:tc>
          <w:tcPr>
            <w:tcW w:w="851" w:type="dxa"/>
            <w:tcBorders>
              <w:top w:val="single" w:sz="4" w:space="0" w:color="A6A6A6"/>
              <w:left w:val="nil"/>
              <w:bottom w:val="double" w:sz="6" w:space="0" w:color="A6A6A6"/>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double" w:sz="6" w:space="0" w:color="A6A6A6"/>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Totale bruto uurloon</w:t>
            </w:r>
          </w:p>
        </w:tc>
        <w:tc>
          <w:tcPr>
            <w:tcW w:w="851" w:type="dxa"/>
            <w:tcBorders>
              <w:top w:val="nil"/>
              <w:left w:val="nil"/>
              <w:bottom w:val="single" w:sz="4" w:space="0" w:color="A6A6A6"/>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13,67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14,25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14,82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15,40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16,02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16,68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2,20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Opslag sociale lasten</w:t>
            </w:r>
          </w:p>
        </w:tc>
        <w:tc>
          <w:tcPr>
            <w:tcW w:w="851" w:type="dxa"/>
            <w:tcBorders>
              <w:top w:val="nil"/>
              <w:left w:val="nil"/>
              <w:bottom w:val="nil"/>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single" w:sz="4" w:space="0" w:color="A6A6A6"/>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3,40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3,56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3,72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3,88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4,06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4,24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0,42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r>
      <w:tr w:rsidR="0095139B" w:rsidRPr="0095139B" w:rsidTr="0095139B">
        <w:trPr>
          <w:trHeight w:val="24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double" w:sz="6" w:space="0" w:color="A6A6A6"/>
              <w:left w:val="single" w:sz="4" w:space="0" w:color="A6A6A6"/>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Totale bruto uurloon incl. sociale lasten</w:t>
            </w:r>
          </w:p>
        </w:tc>
        <w:tc>
          <w:tcPr>
            <w:tcW w:w="851" w:type="dxa"/>
            <w:tcBorders>
              <w:top w:val="double" w:sz="6" w:space="0" w:color="A6A6A6"/>
              <w:left w:val="nil"/>
              <w:bottom w:val="nil"/>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double" w:sz="6" w:space="0" w:color="A6A6A6"/>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17,07 </w:t>
            </w:r>
          </w:p>
        </w:tc>
        <w:tc>
          <w:tcPr>
            <w:tcW w:w="1134" w:type="dxa"/>
            <w:tcBorders>
              <w:top w:val="double" w:sz="6" w:space="0" w:color="A6A6A6"/>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17,81 </w:t>
            </w:r>
          </w:p>
        </w:tc>
        <w:tc>
          <w:tcPr>
            <w:tcW w:w="1134" w:type="dxa"/>
            <w:tcBorders>
              <w:top w:val="double" w:sz="6" w:space="0" w:color="A6A6A6"/>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18,54 </w:t>
            </w:r>
          </w:p>
        </w:tc>
        <w:tc>
          <w:tcPr>
            <w:tcW w:w="1134" w:type="dxa"/>
            <w:tcBorders>
              <w:top w:val="double" w:sz="6" w:space="0" w:color="A6A6A6"/>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19,28 </w:t>
            </w:r>
          </w:p>
        </w:tc>
        <w:tc>
          <w:tcPr>
            <w:tcW w:w="1134" w:type="dxa"/>
            <w:tcBorders>
              <w:top w:val="double" w:sz="6" w:space="0" w:color="A6A6A6"/>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20,07 </w:t>
            </w:r>
          </w:p>
        </w:tc>
        <w:tc>
          <w:tcPr>
            <w:tcW w:w="1134" w:type="dxa"/>
            <w:tcBorders>
              <w:top w:val="double" w:sz="6" w:space="0" w:color="A6A6A6"/>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20,92 </w:t>
            </w:r>
          </w:p>
        </w:tc>
        <w:tc>
          <w:tcPr>
            <w:tcW w:w="1134" w:type="dxa"/>
            <w:tcBorders>
              <w:top w:val="double" w:sz="6" w:space="0" w:color="A6A6A6"/>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2,62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double" w:sz="6" w:space="0" w:color="A6A6A6"/>
              <w:left w:val="single" w:sz="4" w:space="0" w:color="A6A6A6"/>
              <w:bottom w:val="single" w:sz="4" w:space="0" w:color="A6A6A6"/>
              <w:right w:val="nil"/>
            </w:tcBorders>
            <w:shd w:val="clear" w:color="auto" w:fill="auto"/>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Gecorrigeerd voor productiviteit (p)</w:t>
            </w:r>
          </w:p>
        </w:tc>
        <w:tc>
          <w:tcPr>
            <w:tcW w:w="851" w:type="dxa"/>
            <w:tcBorders>
              <w:top w:val="double" w:sz="6" w:space="0" w:color="A6A6A6"/>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77,9%</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21,93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22,88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23,82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24,77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25,78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26,87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3,37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Reiskosten (m)</w:t>
            </w:r>
          </w:p>
        </w:tc>
        <w:tc>
          <w:tcPr>
            <w:tcW w:w="851" w:type="dxa"/>
            <w:tcBorders>
              <w:top w:val="nil"/>
              <w:left w:val="nil"/>
              <w:bottom w:val="double" w:sz="6" w:space="0" w:color="A6A6A6"/>
              <w:right w:val="nil"/>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single" w:sz="4" w:space="0" w:color="A6A6A6"/>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0,40 </w:t>
            </w:r>
          </w:p>
        </w:tc>
        <w:tc>
          <w:tcPr>
            <w:tcW w:w="1134" w:type="dxa"/>
            <w:tcBorders>
              <w:top w:val="nil"/>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0,40 </w:t>
            </w:r>
          </w:p>
        </w:tc>
        <w:tc>
          <w:tcPr>
            <w:tcW w:w="1134" w:type="dxa"/>
            <w:tcBorders>
              <w:top w:val="nil"/>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0,40 </w:t>
            </w:r>
          </w:p>
        </w:tc>
        <w:tc>
          <w:tcPr>
            <w:tcW w:w="1134" w:type="dxa"/>
            <w:tcBorders>
              <w:top w:val="nil"/>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0,40 </w:t>
            </w:r>
          </w:p>
        </w:tc>
        <w:tc>
          <w:tcPr>
            <w:tcW w:w="1134" w:type="dxa"/>
            <w:tcBorders>
              <w:top w:val="nil"/>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0,40 </w:t>
            </w:r>
          </w:p>
        </w:tc>
        <w:tc>
          <w:tcPr>
            <w:tcW w:w="1134" w:type="dxa"/>
            <w:tcBorders>
              <w:top w:val="nil"/>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0,40 </w:t>
            </w:r>
          </w:p>
        </w:tc>
        <w:tc>
          <w:tcPr>
            <w:tcW w:w="1134" w:type="dxa"/>
            <w:tcBorders>
              <w:top w:val="nil"/>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0,40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Totale bruto uurloon incl. reiskosten</w:t>
            </w:r>
          </w:p>
        </w:tc>
        <w:tc>
          <w:tcPr>
            <w:tcW w:w="851" w:type="dxa"/>
            <w:tcBorders>
              <w:top w:val="nil"/>
              <w:left w:val="nil"/>
              <w:bottom w:val="nil"/>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22,33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23,28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24,22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25,17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26,18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27,27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3,77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single" w:sz="4" w:space="0" w:color="A6A6A6"/>
              <w:left w:val="single" w:sz="4" w:space="0" w:color="A6A6A6"/>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FF0000"/>
                <w:sz w:val="16"/>
                <w:szCs w:val="16"/>
                <w:lang w:eastAsia="nl-NL"/>
              </w:rPr>
            </w:pPr>
            <w:r w:rsidRPr="0095139B">
              <w:rPr>
                <w:rFonts w:ascii="Segoe UI" w:eastAsia="Times New Roman" w:hAnsi="Segoe UI" w:cs="Segoe UI"/>
                <w:color w:val="FF0000"/>
                <w:sz w:val="16"/>
                <w:szCs w:val="16"/>
                <w:lang w:eastAsia="nl-NL"/>
              </w:rPr>
              <w:t> </w:t>
            </w:r>
          </w:p>
        </w:tc>
        <w:tc>
          <w:tcPr>
            <w:tcW w:w="851" w:type="dxa"/>
            <w:tcBorders>
              <w:top w:val="single" w:sz="4" w:space="0" w:color="A6A6A6"/>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1134" w:type="dxa"/>
            <w:tcBorders>
              <w:top w:val="single" w:sz="4" w:space="0" w:color="A6A6A6"/>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single" w:sz="4" w:space="0" w:color="A6A6A6"/>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Opslag voor overheadkosten (p / m)</w:t>
            </w:r>
          </w:p>
        </w:tc>
        <w:tc>
          <w:tcPr>
            <w:tcW w:w="851"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14,1%</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3,14 </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3,28 </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3,41 </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3,54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3,69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3,84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0,53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Opslag kosten voor vastgoed (m)</w:t>
            </w:r>
          </w:p>
        </w:tc>
        <w:tc>
          <w:tcPr>
            <w:tcW w:w="851"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0,6%</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0,13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0,14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0,14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0,15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0,15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0,16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0,02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Opslag overige personele kosten (m)</w:t>
            </w:r>
          </w:p>
        </w:tc>
        <w:tc>
          <w:tcPr>
            <w:tcW w:w="851"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2,7%</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0,60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0,63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0,65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0,68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0,71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0,74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0,10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double" w:sz="6" w:space="0" w:color="A6A6A6"/>
              <w:left w:val="single" w:sz="4" w:space="0" w:color="A6A6A6"/>
              <w:bottom w:val="single" w:sz="4" w:space="0" w:color="A6A6A6"/>
              <w:right w:val="nil"/>
            </w:tcBorders>
            <w:shd w:val="clear" w:color="auto" w:fill="auto"/>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Totale kosten per uur</w:t>
            </w:r>
          </w:p>
        </w:tc>
        <w:tc>
          <w:tcPr>
            <w:tcW w:w="851" w:type="dxa"/>
            <w:tcBorders>
              <w:top w:val="double" w:sz="6" w:space="0" w:color="A6A6A6"/>
              <w:left w:val="single" w:sz="4" w:space="0" w:color="A6A6A6"/>
              <w:bottom w:val="single" w:sz="4" w:space="0" w:color="A6A6A6"/>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i/>
                <w:iCs/>
                <w:color w:val="1A3877"/>
                <w:sz w:val="16"/>
                <w:szCs w:val="16"/>
                <w:lang w:eastAsia="nl-NL"/>
              </w:rPr>
            </w:pPr>
            <w:r w:rsidRPr="0095139B">
              <w:rPr>
                <w:rFonts w:ascii="Segoe UI" w:eastAsia="Times New Roman" w:hAnsi="Segoe UI" w:cs="Segoe UI"/>
                <w:b/>
                <w:bCs/>
                <w:i/>
                <w:iCs/>
                <w:color w:val="1A3877"/>
                <w:sz w:val="16"/>
                <w:szCs w:val="16"/>
                <w:lang w:eastAsia="nl-NL"/>
              </w:rPr>
              <w:t>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26,21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27,32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28,42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29,54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30,73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32,01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4,42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nil"/>
              <w:left w:val="single" w:sz="4" w:space="0" w:color="A6A6A6"/>
              <w:bottom w:val="nil"/>
              <w:right w:val="nil"/>
            </w:tcBorders>
            <w:shd w:val="clear" w:color="auto" w:fill="auto"/>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Opslag kosten gemeentelijke eisen</w:t>
            </w:r>
          </w:p>
        </w:tc>
        <w:tc>
          <w:tcPr>
            <w:tcW w:w="851"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0,0%</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134" w:type="dxa"/>
            <w:tcBorders>
              <w:top w:val="nil"/>
              <w:left w:val="nil"/>
              <w:bottom w:val="nil"/>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single" w:sz="4" w:space="0" w:color="A6A6A6"/>
              <w:left w:val="single" w:sz="4" w:space="0" w:color="A6A6A6"/>
              <w:bottom w:val="double" w:sz="6" w:space="0" w:color="A6A6A6"/>
              <w:right w:val="single" w:sz="4" w:space="0" w:color="A6A6A6"/>
            </w:tcBorders>
            <w:shd w:val="clear" w:color="auto" w:fill="auto"/>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Opslag voor risico, innovatie en marge</w:t>
            </w:r>
          </w:p>
        </w:tc>
        <w:tc>
          <w:tcPr>
            <w:tcW w:w="851"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3,0%</w:t>
            </w:r>
          </w:p>
        </w:tc>
        <w:tc>
          <w:tcPr>
            <w:tcW w:w="1134" w:type="dxa"/>
            <w:tcBorders>
              <w:top w:val="single" w:sz="4" w:space="0" w:color="A6A6A6"/>
              <w:left w:val="single" w:sz="4" w:space="0" w:color="A6A6A6"/>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0,79 </w:t>
            </w:r>
          </w:p>
        </w:tc>
        <w:tc>
          <w:tcPr>
            <w:tcW w:w="1134" w:type="dxa"/>
            <w:tcBorders>
              <w:top w:val="single" w:sz="4" w:space="0" w:color="A6A6A6"/>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0,82 </w:t>
            </w:r>
          </w:p>
        </w:tc>
        <w:tc>
          <w:tcPr>
            <w:tcW w:w="1134" w:type="dxa"/>
            <w:tcBorders>
              <w:top w:val="single" w:sz="4" w:space="0" w:color="A6A6A6"/>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0,85 </w:t>
            </w:r>
          </w:p>
        </w:tc>
        <w:tc>
          <w:tcPr>
            <w:tcW w:w="1134" w:type="dxa"/>
            <w:tcBorders>
              <w:top w:val="single" w:sz="4" w:space="0" w:color="A6A6A6"/>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0,89 </w:t>
            </w:r>
          </w:p>
        </w:tc>
        <w:tc>
          <w:tcPr>
            <w:tcW w:w="1134" w:type="dxa"/>
            <w:tcBorders>
              <w:top w:val="single" w:sz="4" w:space="0" w:color="A6A6A6"/>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0,92 </w:t>
            </w:r>
          </w:p>
        </w:tc>
        <w:tc>
          <w:tcPr>
            <w:tcW w:w="1134" w:type="dxa"/>
            <w:tcBorders>
              <w:top w:val="single" w:sz="4" w:space="0" w:color="A6A6A6"/>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0,96 </w:t>
            </w:r>
          </w:p>
        </w:tc>
        <w:tc>
          <w:tcPr>
            <w:tcW w:w="1134" w:type="dxa"/>
            <w:tcBorders>
              <w:top w:val="single" w:sz="4" w:space="0" w:color="A6A6A6"/>
              <w:left w:val="nil"/>
              <w:bottom w:val="double" w:sz="6"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0,13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nil"/>
              <w:left w:val="single" w:sz="4" w:space="0" w:color="A6A6A6"/>
              <w:bottom w:val="single" w:sz="4" w:space="0" w:color="A6A6A6"/>
              <w:right w:val="nil"/>
            </w:tcBorders>
            <w:shd w:val="clear" w:color="auto" w:fill="auto"/>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Totale kosten per uur incl. risico, innovatie en marge en gem. eisen</w:t>
            </w:r>
          </w:p>
        </w:tc>
        <w:tc>
          <w:tcPr>
            <w:tcW w:w="851" w:type="dxa"/>
            <w:tcBorders>
              <w:top w:val="double" w:sz="6" w:space="0" w:color="A6A6A6"/>
              <w:left w:val="single" w:sz="4" w:space="0" w:color="A6A6A6"/>
              <w:bottom w:val="single" w:sz="4" w:space="0" w:color="A6A6A6"/>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i/>
                <w:iCs/>
                <w:color w:val="1A3877"/>
                <w:sz w:val="16"/>
                <w:szCs w:val="16"/>
                <w:lang w:eastAsia="nl-NL"/>
              </w:rPr>
            </w:pPr>
            <w:r w:rsidRPr="0095139B">
              <w:rPr>
                <w:rFonts w:ascii="Segoe UI" w:eastAsia="Times New Roman" w:hAnsi="Segoe UI" w:cs="Segoe UI"/>
                <w:b/>
                <w:bCs/>
                <w:i/>
                <w:iCs/>
                <w:color w:val="1A3877"/>
                <w:sz w:val="16"/>
                <w:szCs w:val="16"/>
                <w:lang w:eastAsia="nl-NL"/>
              </w:rPr>
              <w:t>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26,99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28,14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29,28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30,43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31,65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32,97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4,55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nil"/>
              <w:left w:val="single" w:sz="4" w:space="0" w:color="A6A6A6"/>
              <w:bottom w:val="nil"/>
              <w:right w:val="nil"/>
            </w:tcBorders>
            <w:shd w:val="clear" w:color="auto" w:fill="auto"/>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851"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i/>
                <w:iCs/>
                <w:color w:val="1A3877"/>
                <w:sz w:val="16"/>
                <w:szCs w:val="16"/>
                <w:lang w:eastAsia="nl-NL"/>
              </w:rPr>
            </w:pPr>
            <w:r w:rsidRPr="0095139B">
              <w:rPr>
                <w:rFonts w:ascii="Segoe UI" w:eastAsia="Times New Roman" w:hAnsi="Segoe UI" w:cs="Segoe UI"/>
                <w:b/>
                <w:bCs/>
                <w:i/>
                <w:iCs/>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single" w:sz="4" w:space="0" w:color="A6A6A6"/>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Periodiekmix (2021)</w:t>
            </w:r>
          </w:p>
        </w:tc>
        <w:tc>
          <w:tcPr>
            <w:tcW w:w="851" w:type="dxa"/>
            <w:tcBorders>
              <w:top w:val="single" w:sz="4" w:space="0" w:color="A6A6A6"/>
              <w:left w:val="nil"/>
              <w:bottom w:val="single" w:sz="4" w:space="0" w:color="A6A6A6"/>
              <w:right w:val="single" w:sz="4" w:space="0" w:color="A6A6A6"/>
            </w:tcBorders>
            <w:shd w:val="clear" w:color="000000" w:fill="F2F2F2"/>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10%</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15%</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25%</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20%</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15%</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15%</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0%</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jc w:val="right"/>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nil"/>
              <w:left w:val="single" w:sz="4" w:space="0" w:color="A6A6A6"/>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Gewogen totale kosten per uur (2021)</w:t>
            </w:r>
          </w:p>
        </w:tc>
        <w:tc>
          <w:tcPr>
            <w:tcW w:w="851"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30,0</w:t>
            </w:r>
            <w:r>
              <w:rPr>
                <w:rFonts w:ascii="Segoe UI" w:eastAsia="Times New Roman" w:hAnsi="Segoe UI" w:cs="Segoe UI"/>
                <w:b/>
                <w:bCs/>
                <w:color w:val="1A3877"/>
                <w:sz w:val="16"/>
                <w:szCs w:val="16"/>
                <w:lang w:eastAsia="nl-NL"/>
              </w:rPr>
              <w:t>2</w:t>
            </w:r>
            <w:r w:rsidRPr="0095139B">
              <w:rPr>
                <w:rFonts w:ascii="Segoe UI" w:eastAsia="Times New Roman" w:hAnsi="Segoe UI" w:cs="Segoe UI"/>
                <w:b/>
                <w:bCs/>
                <w:color w:val="1A3877"/>
                <w:sz w:val="16"/>
                <w:szCs w:val="16"/>
                <w:lang w:eastAsia="nl-NL"/>
              </w:rPr>
              <w:t xml:space="preserve">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nil"/>
              <w:left w:val="single" w:sz="4" w:space="0" w:color="A6A6A6"/>
              <w:bottom w:val="nil"/>
              <w:right w:val="nil"/>
            </w:tcBorders>
            <w:shd w:val="clear" w:color="000000" w:fill="FFFFFF"/>
            <w:noWrap/>
            <w:vAlign w:val="bottom"/>
            <w:hideMark/>
          </w:tcPr>
          <w:p w:rsidR="0095139B" w:rsidRDefault="0095139B" w:rsidP="0095139B">
            <w:pPr>
              <w:spacing w:after="0" w:line="240" w:lineRule="auto"/>
              <w:rPr>
                <w:rFonts w:ascii="Segoe UI" w:eastAsia="Times New Roman" w:hAnsi="Segoe UI" w:cs="Segoe UI"/>
                <w:b/>
                <w:bCs/>
                <w:color w:val="1A3877"/>
                <w:sz w:val="16"/>
                <w:szCs w:val="16"/>
                <w:lang w:eastAsia="nl-NL"/>
              </w:rPr>
            </w:pPr>
          </w:p>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851"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FFFF"/>
                <w:sz w:val="16"/>
                <w:szCs w:val="16"/>
                <w:lang w:eastAsia="nl-NL"/>
              </w:rPr>
            </w:pPr>
            <w:r w:rsidRPr="0095139B">
              <w:rPr>
                <w:rFonts w:ascii="Segoe UI" w:eastAsia="Times New Roman" w:hAnsi="Segoe UI" w:cs="Segoe UI"/>
                <w:b/>
                <w:bCs/>
                <w:color w:val="FFFFFF"/>
                <w:sz w:val="16"/>
                <w:szCs w:val="16"/>
                <w:lang w:eastAsia="nl-NL"/>
              </w:rPr>
              <w:t> </w:t>
            </w:r>
          </w:p>
        </w:tc>
        <w:tc>
          <w:tcPr>
            <w:tcW w:w="5485" w:type="dxa"/>
            <w:tcBorders>
              <w:top w:val="single" w:sz="4" w:space="0" w:color="A6A6A6"/>
              <w:left w:val="single" w:sz="4" w:space="0" w:color="A6A6A6"/>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proofErr w:type="spellStart"/>
            <w:r w:rsidRPr="0095139B">
              <w:rPr>
                <w:rFonts w:ascii="Segoe UI" w:eastAsia="Times New Roman" w:hAnsi="Segoe UI" w:cs="Segoe UI"/>
                <w:b/>
                <w:bCs/>
                <w:color w:val="1A3877"/>
                <w:sz w:val="16"/>
                <w:szCs w:val="16"/>
                <w:lang w:eastAsia="nl-NL"/>
              </w:rPr>
              <w:t>Geindexeerde</w:t>
            </w:r>
            <w:proofErr w:type="spellEnd"/>
            <w:r w:rsidRPr="0095139B">
              <w:rPr>
                <w:rFonts w:ascii="Segoe UI" w:eastAsia="Times New Roman" w:hAnsi="Segoe UI" w:cs="Segoe UI"/>
                <w:b/>
                <w:bCs/>
                <w:color w:val="1A3877"/>
                <w:sz w:val="16"/>
                <w:szCs w:val="16"/>
                <w:lang w:eastAsia="nl-NL"/>
              </w:rPr>
              <w:t xml:space="preserve"> kostprijzen</w:t>
            </w:r>
          </w:p>
        </w:tc>
        <w:tc>
          <w:tcPr>
            <w:tcW w:w="851"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nil"/>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uto"/>
              <w:right w:val="single" w:sz="4" w:space="0" w:color="A6A6A6"/>
            </w:tcBorders>
            <w:shd w:val="clear" w:color="000000" w:fill="D9D9D9"/>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single" w:sz="4" w:space="0" w:color="A6A6A6"/>
              <w:left w:val="single" w:sz="4" w:space="0" w:color="A6A6A6"/>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851"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Jaar 1</w:t>
            </w:r>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Jaar 2</w:t>
            </w:r>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Jaar 3</w:t>
            </w:r>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Jaar 4</w:t>
            </w:r>
          </w:p>
        </w:tc>
        <w:tc>
          <w:tcPr>
            <w:tcW w:w="1134" w:type="dxa"/>
            <w:tcBorders>
              <w:top w:val="single" w:sz="4" w:space="0" w:color="A6A6A6"/>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Jaar 5</w:t>
            </w:r>
          </w:p>
        </w:tc>
        <w:tc>
          <w:tcPr>
            <w:tcW w:w="1134" w:type="dxa"/>
            <w:tcBorders>
              <w:top w:val="single" w:sz="4"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Jaar 6</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Gewogen personele kosten per uur </w:t>
            </w:r>
            <w:proofErr w:type="spellStart"/>
            <w:r w:rsidRPr="0095139B">
              <w:rPr>
                <w:rFonts w:ascii="Segoe UI" w:eastAsia="Times New Roman" w:hAnsi="Segoe UI" w:cs="Segoe UI"/>
                <w:color w:val="1A3877"/>
                <w:sz w:val="16"/>
                <w:szCs w:val="16"/>
                <w:lang w:eastAsia="nl-NL"/>
              </w:rPr>
              <w:t>geindexeerd</w:t>
            </w:r>
            <w:proofErr w:type="spellEnd"/>
          </w:p>
        </w:tc>
        <w:tc>
          <w:tcPr>
            <w:tcW w:w="851" w:type="dxa"/>
            <w:tcBorders>
              <w:top w:val="nil"/>
              <w:left w:val="nil"/>
              <w:bottom w:val="single" w:sz="4" w:space="0" w:color="A6A6A6"/>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26,76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26,76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26,76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26,76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26,76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26,76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Gewogen materiële kosten per uur </w:t>
            </w:r>
            <w:proofErr w:type="spellStart"/>
            <w:r w:rsidRPr="0095139B">
              <w:rPr>
                <w:rFonts w:ascii="Segoe UI" w:eastAsia="Times New Roman" w:hAnsi="Segoe UI" w:cs="Segoe UI"/>
                <w:color w:val="1A3877"/>
                <w:sz w:val="16"/>
                <w:szCs w:val="16"/>
                <w:lang w:eastAsia="nl-NL"/>
              </w:rPr>
              <w:t>geindexeerd</w:t>
            </w:r>
            <w:proofErr w:type="spellEnd"/>
          </w:p>
        </w:tc>
        <w:tc>
          <w:tcPr>
            <w:tcW w:w="851" w:type="dxa"/>
            <w:tcBorders>
              <w:top w:val="nil"/>
              <w:left w:val="nil"/>
              <w:bottom w:val="single" w:sz="4" w:space="0" w:color="A6A6A6"/>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2,38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2,38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2,38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2,38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2,38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2,38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double" w:sz="6" w:space="0" w:color="A6A6A6"/>
              <w:left w:val="single" w:sz="4" w:space="0" w:color="A6A6A6"/>
              <w:bottom w:val="single" w:sz="4" w:space="0" w:color="A6A6A6"/>
              <w:right w:val="nil"/>
            </w:tcBorders>
            <w:shd w:val="clear" w:color="auto" w:fill="auto"/>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Gewogen totale kosten per uur </w:t>
            </w:r>
            <w:proofErr w:type="spellStart"/>
            <w:r w:rsidRPr="0095139B">
              <w:rPr>
                <w:rFonts w:ascii="Segoe UI" w:eastAsia="Times New Roman" w:hAnsi="Segoe UI" w:cs="Segoe UI"/>
                <w:b/>
                <w:bCs/>
                <w:color w:val="1A3877"/>
                <w:sz w:val="16"/>
                <w:szCs w:val="16"/>
                <w:lang w:eastAsia="nl-NL"/>
              </w:rPr>
              <w:t>geindexeerd</w:t>
            </w:r>
            <w:proofErr w:type="spellEnd"/>
            <w:r w:rsidRPr="0095139B">
              <w:rPr>
                <w:rFonts w:ascii="Segoe UI" w:eastAsia="Times New Roman" w:hAnsi="Segoe UI" w:cs="Segoe UI"/>
                <w:b/>
                <w:bCs/>
                <w:color w:val="1A3877"/>
                <w:sz w:val="16"/>
                <w:szCs w:val="16"/>
                <w:lang w:eastAsia="nl-NL"/>
              </w:rPr>
              <w:t xml:space="preserve"> excl. opslagen</w:t>
            </w:r>
          </w:p>
        </w:tc>
        <w:tc>
          <w:tcPr>
            <w:tcW w:w="851" w:type="dxa"/>
            <w:tcBorders>
              <w:top w:val="double" w:sz="6" w:space="0" w:color="A6A6A6"/>
              <w:left w:val="single" w:sz="4" w:space="0" w:color="A6A6A6"/>
              <w:bottom w:val="single" w:sz="4" w:space="0" w:color="A6A6A6"/>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i/>
                <w:iCs/>
                <w:color w:val="1A3877"/>
                <w:sz w:val="16"/>
                <w:szCs w:val="16"/>
                <w:lang w:eastAsia="nl-NL"/>
              </w:rPr>
            </w:pPr>
            <w:r w:rsidRPr="0095139B">
              <w:rPr>
                <w:rFonts w:ascii="Segoe UI" w:eastAsia="Times New Roman" w:hAnsi="Segoe UI" w:cs="Segoe UI"/>
                <w:b/>
                <w:bCs/>
                <w:i/>
                <w:iCs/>
                <w:color w:val="1A3877"/>
                <w:sz w:val="16"/>
                <w:szCs w:val="16"/>
                <w:lang w:eastAsia="nl-NL"/>
              </w:rPr>
              <w:t>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29,14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29,14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29,14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29,14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29,14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29,14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nil"/>
              <w:left w:val="single" w:sz="4" w:space="0" w:color="A6A6A6"/>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Opslagen gemeentelijke eisen &amp; risico, innovatie en marge</w:t>
            </w:r>
          </w:p>
        </w:tc>
        <w:tc>
          <w:tcPr>
            <w:tcW w:w="851" w:type="dxa"/>
            <w:tcBorders>
              <w:top w:val="nil"/>
              <w:left w:val="single" w:sz="4" w:space="0" w:color="A6A6A6"/>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jc w:val="center"/>
              <w:rPr>
                <w:rFonts w:ascii="Segoe UI" w:eastAsia="Times New Roman" w:hAnsi="Segoe UI" w:cs="Segoe UI"/>
                <w:i/>
                <w:iCs/>
                <w:color w:val="1A3877"/>
                <w:sz w:val="16"/>
                <w:szCs w:val="16"/>
                <w:lang w:eastAsia="nl-NL"/>
              </w:rPr>
            </w:pPr>
            <w:r w:rsidRPr="0095139B">
              <w:rPr>
                <w:rFonts w:ascii="Segoe UI" w:eastAsia="Times New Roman" w:hAnsi="Segoe UI" w:cs="Segoe UI"/>
                <w:i/>
                <w:iCs/>
                <w:color w:val="1A3877"/>
                <w:sz w:val="16"/>
                <w:szCs w:val="16"/>
                <w:lang w:eastAsia="nl-NL"/>
              </w:rPr>
              <w:t>3,0%</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0,87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0,87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0,87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0,87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0,87 </w:t>
            </w:r>
          </w:p>
        </w:tc>
        <w:tc>
          <w:tcPr>
            <w:tcW w:w="1134" w:type="dxa"/>
            <w:tcBorders>
              <w:top w:val="nil"/>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xml:space="preserve"> €           0,87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25"/>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double" w:sz="6" w:space="0" w:color="A6A6A6"/>
              <w:left w:val="single" w:sz="4" w:space="0" w:color="A6A6A6"/>
              <w:bottom w:val="single" w:sz="4" w:space="0" w:color="A6A6A6"/>
              <w:right w:val="nil"/>
            </w:tcBorders>
            <w:shd w:val="clear" w:color="auto" w:fill="auto"/>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Gewogen totale kosten per uur </w:t>
            </w:r>
            <w:proofErr w:type="spellStart"/>
            <w:r w:rsidRPr="0095139B">
              <w:rPr>
                <w:rFonts w:ascii="Segoe UI" w:eastAsia="Times New Roman" w:hAnsi="Segoe UI" w:cs="Segoe UI"/>
                <w:b/>
                <w:bCs/>
                <w:color w:val="1A3877"/>
                <w:sz w:val="16"/>
                <w:szCs w:val="16"/>
                <w:lang w:eastAsia="nl-NL"/>
              </w:rPr>
              <w:t>geindexeerd</w:t>
            </w:r>
            <w:proofErr w:type="spellEnd"/>
            <w:r w:rsidRPr="0095139B">
              <w:rPr>
                <w:rFonts w:ascii="Segoe UI" w:eastAsia="Times New Roman" w:hAnsi="Segoe UI" w:cs="Segoe UI"/>
                <w:b/>
                <w:bCs/>
                <w:color w:val="1A3877"/>
                <w:sz w:val="16"/>
                <w:szCs w:val="16"/>
                <w:lang w:eastAsia="nl-NL"/>
              </w:rPr>
              <w:t xml:space="preserve"> incl. opslagen</w:t>
            </w:r>
          </w:p>
        </w:tc>
        <w:tc>
          <w:tcPr>
            <w:tcW w:w="851" w:type="dxa"/>
            <w:tcBorders>
              <w:top w:val="double" w:sz="6" w:space="0" w:color="A6A6A6"/>
              <w:left w:val="single" w:sz="4" w:space="0" w:color="A6A6A6"/>
              <w:bottom w:val="single" w:sz="4" w:space="0" w:color="A6A6A6"/>
              <w:right w:val="single" w:sz="4" w:space="0" w:color="A6A6A6"/>
            </w:tcBorders>
            <w:shd w:val="clear" w:color="000000" w:fill="F2F2F2"/>
            <w:noWrap/>
            <w:vAlign w:val="bottom"/>
            <w:hideMark/>
          </w:tcPr>
          <w:p w:rsidR="0095139B" w:rsidRPr="0095139B" w:rsidRDefault="0095139B" w:rsidP="0095139B">
            <w:pPr>
              <w:spacing w:after="0" w:line="240" w:lineRule="auto"/>
              <w:jc w:val="center"/>
              <w:rPr>
                <w:rFonts w:ascii="Segoe UI" w:eastAsia="Times New Roman" w:hAnsi="Segoe UI" w:cs="Segoe UI"/>
                <w:b/>
                <w:bCs/>
                <w:i/>
                <w:iCs/>
                <w:color w:val="1A3877"/>
                <w:sz w:val="16"/>
                <w:szCs w:val="16"/>
                <w:lang w:eastAsia="nl-NL"/>
              </w:rPr>
            </w:pPr>
            <w:r w:rsidRPr="0095139B">
              <w:rPr>
                <w:rFonts w:ascii="Segoe UI" w:eastAsia="Times New Roman" w:hAnsi="Segoe UI" w:cs="Segoe UI"/>
                <w:b/>
                <w:bCs/>
                <w:i/>
                <w:iCs/>
                <w:color w:val="1A3877"/>
                <w:sz w:val="16"/>
                <w:szCs w:val="16"/>
                <w:lang w:eastAsia="nl-NL"/>
              </w:rPr>
              <w:t>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30,02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30,02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30,02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30,02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30,02 </w:t>
            </w:r>
          </w:p>
        </w:tc>
        <w:tc>
          <w:tcPr>
            <w:tcW w:w="1134" w:type="dxa"/>
            <w:tcBorders>
              <w:top w:val="double" w:sz="6" w:space="0" w:color="A6A6A6"/>
              <w:left w:val="nil"/>
              <w:bottom w:val="single" w:sz="4" w:space="0" w:color="A6A6A6"/>
              <w:right w:val="single" w:sz="4" w:space="0" w:color="A6A6A6"/>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xml:space="preserve"> €         30,02 </w:t>
            </w:r>
          </w:p>
        </w:tc>
        <w:tc>
          <w:tcPr>
            <w:tcW w:w="1134"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r w:rsidR="0095139B" w:rsidRPr="0095139B" w:rsidTr="0095139B">
        <w:trPr>
          <w:trHeight w:val="210"/>
        </w:trPr>
        <w:tc>
          <w:tcPr>
            <w:tcW w:w="185" w:type="dxa"/>
            <w:tcBorders>
              <w:top w:val="nil"/>
              <w:left w:val="nil"/>
              <w:bottom w:val="nil"/>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FF0000"/>
                <w:sz w:val="16"/>
                <w:szCs w:val="16"/>
                <w:lang w:eastAsia="nl-NL"/>
              </w:rPr>
            </w:pPr>
            <w:r w:rsidRPr="0095139B">
              <w:rPr>
                <w:rFonts w:ascii="Segoe UI" w:eastAsia="Times New Roman" w:hAnsi="Segoe UI" w:cs="Segoe UI"/>
                <w:b/>
                <w:bCs/>
                <w:color w:val="FF0000"/>
                <w:sz w:val="16"/>
                <w:szCs w:val="16"/>
                <w:lang w:eastAsia="nl-NL"/>
              </w:rPr>
              <w:t> </w:t>
            </w:r>
          </w:p>
        </w:tc>
        <w:tc>
          <w:tcPr>
            <w:tcW w:w="5485" w:type="dxa"/>
            <w:tcBorders>
              <w:top w:val="nil"/>
              <w:left w:val="single" w:sz="4" w:space="0" w:color="A6A6A6"/>
              <w:bottom w:val="single" w:sz="4" w:space="0" w:color="A6A6A6"/>
              <w:right w:val="nil"/>
            </w:tcBorders>
            <w:shd w:val="clear" w:color="auto" w:fill="auto"/>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851"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b/>
                <w:bCs/>
                <w:color w:val="1A3877"/>
                <w:sz w:val="16"/>
                <w:szCs w:val="16"/>
                <w:lang w:eastAsia="nl-NL"/>
              </w:rPr>
            </w:pPr>
            <w:r w:rsidRPr="0095139B">
              <w:rPr>
                <w:rFonts w:ascii="Segoe UI" w:eastAsia="Times New Roman" w:hAnsi="Segoe UI" w:cs="Segoe UI"/>
                <w:b/>
                <w:bCs/>
                <w:color w:val="1A3877"/>
                <w:sz w:val="16"/>
                <w:szCs w:val="16"/>
                <w:lang w:eastAsia="nl-NL"/>
              </w:rPr>
              <w:t> </w:t>
            </w:r>
          </w:p>
        </w:tc>
        <w:tc>
          <w:tcPr>
            <w:tcW w:w="1134"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c>
          <w:tcPr>
            <w:tcW w:w="1969" w:type="dxa"/>
            <w:tcBorders>
              <w:top w:val="nil"/>
              <w:left w:val="nil"/>
              <w:bottom w:val="single" w:sz="4" w:space="0" w:color="A6A6A6"/>
              <w:right w:val="nil"/>
            </w:tcBorders>
            <w:shd w:val="clear" w:color="000000" w:fill="FFFFFF"/>
            <w:noWrap/>
            <w:vAlign w:val="bottom"/>
            <w:hideMark/>
          </w:tcPr>
          <w:p w:rsidR="0095139B" w:rsidRPr="0095139B" w:rsidRDefault="0095139B" w:rsidP="0095139B">
            <w:pPr>
              <w:spacing w:after="0" w:line="240" w:lineRule="auto"/>
              <w:rPr>
                <w:rFonts w:ascii="Segoe UI" w:eastAsia="Times New Roman" w:hAnsi="Segoe UI" w:cs="Segoe UI"/>
                <w:color w:val="1A3877"/>
                <w:sz w:val="16"/>
                <w:szCs w:val="16"/>
                <w:lang w:eastAsia="nl-NL"/>
              </w:rPr>
            </w:pPr>
            <w:r w:rsidRPr="0095139B">
              <w:rPr>
                <w:rFonts w:ascii="Segoe UI" w:eastAsia="Times New Roman" w:hAnsi="Segoe UI" w:cs="Segoe UI"/>
                <w:color w:val="1A3877"/>
                <w:sz w:val="16"/>
                <w:szCs w:val="16"/>
                <w:lang w:eastAsia="nl-NL"/>
              </w:rPr>
              <w:t> </w:t>
            </w:r>
          </w:p>
        </w:tc>
      </w:tr>
    </w:tbl>
    <w:p w:rsidR="00950A7E" w:rsidRDefault="00950A7E"/>
    <w:p w:rsidR="00950A7E" w:rsidRDefault="00950A7E">
      <w:r>
        <w:br w:type="page"/>
      </w:r>
    </w:p>
    <w:p w:rsidR="00950A7E" w:rsidRPr="0039573D" w:rsidRDefault="00950A7E" w:rsidP="00950A7E">
      <w:pPr>
        <w:rPr>
          <w:b/>
        </w:rPr>
      </w:pPr>
      <w:r w:rsidRPr="0039573D">
        <w:rPr>
          <w:b/>
        </w:rPr>
        <w:lastRenderedPageBreak/>
        <w:t>Memorie van toelichting</w:t>
      </w:r>
    </w:p>
    <w:p w:rsidR="00950A7E" w:rsidRDefault="00950A7E" w:rsidP="00950A7E">
      <w:r>
        <w:t>Als inkoopregio wijken we op de volgende punten af van het advies tarief van Berenschot.</w:t>
      </w:r>
    </w:p>
    <w:p w:rsidR="00950A7E" w:rsidRDefault="00950A7E" w:rsidP="00950A7E">
      <w:pPr>
        <w:ind w:left="705"/>
      </w:pPr>
      <w:r w:rsidRPr="00E2599C">
        <w:rPr>
          <w:b/>
          <w:i/>
        </w:rPr>
        <w:t>Gemiddelde inschaling</w:t>
      </w:r>
      <w:r>
        <w:br/>
        <w:t>Berenschot heeft haar inschalingsadvies gebaseerd op de informatie van 13 aanbieders, waarbij het accent ligt op de hoogste schalen. Dit accent komt niet overeen met de informatie die we als gemeenten hebben uit een eigen onderzoek van 1,5 jaar geleden waarbij de inschaling gemiddeld lager uitkwam. Het voorgestelde tarief is dan ook gebaseerd op de inschaling uit 2021.</w:t>
      </w:r>
    </w:p>
    <w:tbl>
      <w:tblPr>
        <w:tblStyle w:val="Tabelraster"/>
        <w:tblW w:w="0" w:type="auto"/>
        <w:tblInd w:w="705" w:type="dxa"/>
        <w:tblLook w:val="04A0" w:firstRow="1" w:lastRow="0" w:firstColumn="1" w:lastColumn="0" w:noHBand="0" w:noVBand="1"/>
      </w:tblPr>
      <w:tblGrid>
        <w:gridCol w:w="3020"/>
        <w:gridCol w:w="3021"/>
        <w:gridCol w:w="3021"/>
      </w:tblGrid>
      <w:tr w:rsidR="00950A7E" w:rsidTr="00AD64B3">
        <w:tc>
          <w:tcPr>
            <w:tcW w:w="3020" w:type="dxa"/>
          </w:tcPr>
          <w:p w:rsidR="00950A7E" w:rsidRDefault="00950A7E" w:rsidP="00AD64B3">
            <w:r>
              <w:t>Periodiekmix</w:t>
            </w:r>
          </w:p>
        </w:tc>
        <w:tc>
          <w:tcPr>
            <w:tcW w:w="3021" w:type="dxa"/>
          </w:tcPr>
          <w:p w:rsidR="00950A7E" w:rsidRDefault="00950A7E" w:rsidP="00AD64B3">
            <w:r>
              <w:t>Berenschot</w:t>
            </w:r>
          </w:p>
        </w:tc>
        <w:tc>
          <w:tcPr>
            <w:tcW w:w="3021" w:type="dxa"/>
          </w:tcPr>
          <w:p w:rsidR="00950A7E" w:rsidRDefault="00950A7E" w:rsidP="00AD64B3">
            <w:r>
              <w:t>Inkoopregio (gelijk aan 2021)</w:t>
            </w:r>
          </w:p>
        </w:tc>
      </w:tr>
      <w:tr w:rsidR="00950A7E" w:rsidTr="00AD64B3">
        <w:tc>
          <w:tcPr>
            <w:tcW w:w="3020" w:type="dxa"/>
          </w:tcPr>
          <w:p w:rsidR="00950A7E" w:rsidRDefault="00950A7E" w:rsidP="00AD64B3">
            <w:proofErr w:type="spellStart"/>
            <w:r>
              <w:t>Hbh</w:t>
            </w:r>
            <w:proofErr w:type="spellEnd"/>
            <w:r>
              <w:t xml:space="preserve"> 0</w:t>
            </w:r>
          </w:p>
        </w:tc>
        <w:tc>
          <w:tcPr>
            <w:tcW w:w="3021" w:type="dxa"/>
          </w:tcPr>
          <w:p w:rsidR="00950A7E" w:rsidRDefault="00950A7E" w:rsidP="00AD64B3">
            <w:r>
              <w:t>5%</w:t>
            </w:r>
          </w:p>
        </w:tc>
        <w:tc>
          <w:tcPr>
            <w:tcW w:w="3021" w:type="dxa"/>
          </w:tcPr>
          <w:p w:rsidR="00950A7E" w:rsidRDefault="00950A7E" w:rsidP="00AD64B3">
            <w:r>
              <w:t>10%</w:t>
            </w:r>
          </w:p>
        </w:tc>
      </w:tr>
      <w:tr w:rsidR="00950A7E" w:rsidTr="00AD64B3">
        <w:tc>
          <w:tcPr>
            <w:tcW w:w="3020" w:type="dxa"/>
          </w:tcPr>
          <w:p w:rsidR="00950A7E" w:rsidRDefault="00950A7E" w:rsidP="00AD64B3">
            <w:proofErr w:type="spellStart"/>
            <w:r>
              <w:t>Hbh</w:t>
            </w:r>
            <w:proofErr w:type="spellEnd"/>
            <w:r>
              <w:t xml:space="preserve"> 1</w:t>
            </w:r>
          </w:p>
        </w:tc>
        <w:tc>
          <w:tcPr>
            <w:tcW w:w="3021" w:type="dxa"/>
          </w:tcPr>
          <w:p w:rsidR="00950A7E" w:rsidRDefault="00950A7E" w:rsidP="00AD64B3">
            <w:r>
              <w:t>14%</w:t>
            </w:r>
          </w:p>
        </w:tc>
        <w:tc>
          <w:tcPr>
            <w:tcW w:w="3021" w:type="dxa"/>
          </w:tcPr>
          <w:p w:rsidR="00950A7E" w:rsidRDefault="00950A7E" w:rsidP="00AD64B3">
            <w:r>
              <w:t>15%</w:t>
            </w:r>
          </w:p>
        </w:tc>
      </w:tr>
      <w:tr w:rsidR="00950A7E" w:rsidTr="00AD64B3">
        <w:tc>
          <w:tcPr>
            <w:tcW w:w="3020" w:type="dxa"/>
          </w:tcPr>
          <w:p w:rsidR="00950A7E" w:rsidRDefault="00950A7E" w:rsidP="00AD64B3">
            <w:proofErr w:type="spellStart"/>
            <w:r>
              <w:t>Hbh</w:t>
            </w:r>
            <w:proofErr w:type="spellEnd"/>
            <w:r>
              <w:t xml:space="preserve"> 2</w:t>
            </w:r>
          </w:p>
        </w:tc>
        <w:tc>
          <w:tcPr>
            <w:tcW w:w="3021" w:type="dxa"/>
          </w:tcPr>
          <w:p w:rsidR="00950A7E" w:rsidRDefault="00950A7E" w:rsidP="00AD64B3">
            <w:r>
              <w:t>18%</w:t>
            </w:r>
          </w:p>
        </w:tc>
        <w:tc>
          <w:tcPr>
            <w:tcW w:w="3021" w:type="dxa"/>
          </w:tcPr>
          <w:p w:rsidR="00950A7E" w:rsidRDefault="00950A7E" w:rsidP="00AD64B3">
            <w:r>
              <w:t>25%</w:t>
            </w:r>
          </w:p>
        </w:tc>
      </w:tr>
      <w:tr w:rsidR="00950A7E" w:rsidTr="00AD64B3">
        <w:tc>
          <w:tcPr>
            <w:tcW w:w="3020" w:type="dxa"/>
          </w:tcPr>
          <w:p w:rsidR="00950A7E" w:rsidRDefault="00950A7E" w:rsidP="00AD64B3">
            <w:proofErr w:type="spellStart"/>
            <w:r>
              <w:t>Hbh</w:t>
            </w:r>
            <w:proofErr w:type="spellEnd"/>
            <w:r>
              <w:t xml:space="preserve"> 3</w:t>
            </w:r>
          </w:p>
        </w:tc>
        <w:tc>
          <w:tcPr>
            <w:tcW w:w="3021" w:type="dxa"/>
          </w:tcPr>
          <w:p w:rsidR="00950A7E" w:rsidRDefault="00950A7E" w:rsidP="00AD64B3">
            <w:r>
              <w:t>13%</w:t>
            </w:r>
          </w:p>
        </w:tc>
        <w:tc>
          <w:tcPr>
            <w:tcW w:w="3021" w:type="dxa"/>
          </w:tcPr>
          <w:p w:rsidR="00950A7E" w:rsidRDefault="00950A7E" w:rsidP="00AD64B3">
            <w:r>
              <w:t>20%</w:t>
            </w:r>
          </w:p>
        </w:tc>
      </w:tr>
      <w:tr w:rsidR="00950A7E" w:rsidTr="00AD64B3">
        <w:tc>
          <w:tcPr>
            <w:tcW w:w="3020" w:type="dxa"/>
          </w:tcPr>
          <w:p w:rsidR="00950A7E" w:rsidRDefault="00950A7E" w:rsidP="00AD64B3">
            <w:proofErr w:type="spellStart"/>
            <w:r>
              <w:t>Hbh</w:t>
            </w:r>
            <w:proofErr w:type="spellEnd"/>
            <w:r>
              <w:t xml:space="preserve"> 4</w:t>
            </w:r>
          </w:p>
        </w:tc>
        <w:tc>
          <w:tcPr>
            <w:tcW w:w="3021" w:type="dxa"/>
          </w:tcPr>
          <w:p w:rsidR="00950A7E" w:rsidRDefault="00950A7E" w:rsidP="00AD64B3">
            <w:r>
              <w:t>21%</w:t>
            </w:r>
          </w:p>
        </w:tc>
        <w:tc>
          <w:tcPr>
            <w:tcW w:w="3021" w:type="dxa"/>
          </w:tcPr>
          <w:p w:rsidR="00950A7E" w:rsidRDefault="00950A7E" w:rsidP="00AD64B3">
            <w:r>
              <w:t>15%</w:t>
            </w:r>
          </w:p>
        </w:tc>
      </w:tr>
      <w:tr w:rsidR="00950A7E" w:rsidTr="00AD64B3">
        <w:tc>
          <w:tcPr>
            <w:tcW w:w="3020" w:type="dxa"/>
          </w:tcPr>
          <w:p w:rsidR="00950A7E" w:rsidRDefault="00950A7E" w:rsidP="00AD64B3">
            <w:proofErr w:type="spellStart"/>
            <w:r>
              <w:t>Hbh</w:t>
            </w:r>
            <w:proofErr w:type="spellEnd"/>
            <w:r>
              <w:t xml:space="preserve"> 5</w:t>
            </w:r>
          </w:p>
        </w:tc>
        <w:tc>
          <w:tcPr>
            <w:tcW w:w="3021" w:type="dxa"/>
          </w:tcPr>
          <w:p w:rsidR="00950A7E" w:rsidRDefault="00950A7E" w:rsidP="00AD64B3">
            <w:r>
              <w:t>29%</w:t>
            </w:r>
          </w:p>
        </w:tc>
        <w:tc>
          <w:tcPr>
            <w:tcW w:w="3021" w:type="dxa"/>
          </w:tcPr>
          <w:p w:rsidR="00950A7E" w:rsidRDefault="00950A7E" w:rsidP="00AD64B3">
            <w:r>
              <w:t>15%</w:t>
            </w:r>
          </w:p>
        </w:tc>
      </w:tr>
      <w:tr w:rsidR="00950A7E" w:rsidTr="00AD64B3">
        <w:tc>
          <w:tcPr>
            <w:tcW w:w="3020" w:type="dxa"/>
          </w:tcPr>
          <w:p w:rsidR="00950A7E" w:rsidRDefault="00950A7E" w:rsidP="00AD64B3">
            <w:proofErr w:type="spellStart"/>
            <w:r>
              <w:t>Hbh</w:t>
            </w:r>
            <w:proofErr w:type="spellEnd"/>
            <w:r>
              <w:t xml:space="preserve"> 5+</w:t>
            </w:r>
          </w:p>
        </w:tc>
        <w:tc>
          <w:tcPr>
            <w:tcW w:w="3021" w:type="dxa"/>
          </w:tcPr>
          <w:p w:rsidR="00950A7E" w:rsidRDefault="00950A7E" w:rsidP="00AD64B3">
            <w:r>
              <w:t>0%</w:t>
            </w:r>
          </w:p>
        </w:tc>
        <w:tc>
          <w:tcPr>
            <w:tcW w:w="3021" w:type="dxa"/>
          </w:tcPr>
          <w:p w:rsidR="00950A7E" w:rsidRDefault="00950A7E" w:rsidP="00AD64B3">
            <w:r>
              <w:t>0%</w:t>
            </w:r>
          </w:p>
        </w:tc>
      </w:tr>
    </w:tbl>
    <w:p w:rsidR="00950A7E" w:rsidRDefault="00950A7E" w:rsidP="00950A7E"/>
    <w:p w:rsidR="00950A7E" w:rsidRPr="00A92FBD" w:rsidRDefault="00950A7E" w:rsidP="00950A7E">
      <w:pPr>
        <w:ind w:left="705" w:hanging="705"/>
        <w:rPr>
          <w:i/>
        </w:rPr>
      </w:pPr>
      <w:r>
        <w:rPr>
          <w:i/>
        </w:rPr>
        <w:tab/>
      </w:r>
      <w:r w:rsidRPr="00A92FBD">
        <w:rPr>
          <w:b/>
          <w:i/>
        </w:rPr>
        <w:t>Reiskosten</w:t>
      </w:r>
      <w:r>
        <w:rPr>
          <w:b/>
          <w:i/>
        </w:rPr>
        <w:br/>
      </w:r>
      <w:r w:rsidRPr="00A92FBD">
        <w:t>Berenschot heeft geadviseerd om 0,50 cent per gewerkt uur aan reiskosten te hanteren.</w:t>
      </w:r>
      <w:r>
        <w:t xml:space="preserve"> In ons huidige tarief gaan we uit van 0,40 cent per gewerkt uur. </w:t>
      </w:r>
      <w:r>
        <w:br/>
      </w:r>
      <w:r w:rsidRPr="00A92FBD">
        <w:t>Dit bedrag is overgenomen in het voorgestelde tarief</w:t>
      </w:r>
      <w:r>
        <w:t xml:space="preserve"> door de inkoopregio.</w:t>
      </w:r>
    </w:p>
    <w:p w:rsidR="00950A7E" w:rsidRDefault="00950A7E" w:rsidP="00950A7E">
      <w:pPr>
        <w:ind w:left="705"/>
      </w:pPr>
      <w:r w:rsidRPr="00E2599C">
        <w:rPr>
          <w:b/>
          <w:i/>
        </w:rPr>
        <w:t>Overhead</w:t>
      </w:r>
      <w:r>
        <w:rPr>
          <w:i/>
        </w:rPr>
        <w:br/>
      </w:r>
      <w:r>
        <w:t xml:space="preserve">Berenschot gaat in haar advies uit van een overhead van 21% en een risico opslag van 2,5%, totaal 23,5% aan overheadkosten. </w:t>
      </w:r>
      <w:r>
        <w:br/>
        <w:t>In het tarief dat we als inkoopregio voorstellen gaan we uit van de overhead percentages die we ook hebben gehanteerd in 2021. Hierbij komen we uit op een totaal percentage aan overhead van 20,4%. Het voorgestelde tarief gaat van dit percentage uit.</w:t>
      </w:r>
    </w:p>
    <w:tbl>
      <w:tblPr>
        <w:tblStyle w:val="Tabelraster"/>
        <w:tblW w:w="0" w:type="auto"/>
        <w:tblInd w:w="705" w:type="dxa"/>
        <w:tblLook w:val="04A0" w:firstRow="1" w:lastRow="0" w:firstColumn="1" w:lastColumn="0" w:noHBand="0" w:noVBand="1"/>
      </w:tblPr>
      <w:tblGrid>
        <w:gridCol w:w="3020"/>
        <w:gridCol w:w="3021"/>
        <w:gridCol w:w="3021"/>
      </w:tblGrid>
      <w:tr w:rsidR="00950A7E" w:rsidTr="00AD64B3">
        <w:tc>
          <w:tcPr>
            <w:tcW w:w="3020" w:type="dxa"/>
          </w:tcPr>
          <w:p w:rsidR="00950A7E" w:rsidRDefault="00950A7E" w:rsidP="00AD64B3">
            <w:r>
              <w:t>Overhead</w:t>
            </w:r>
          </w:p>
        </w:tc>
        <w:tc>
          <w:tcPr>
            <w:tcW w:w="3021" w:type="dxa"/>
          </w:tcPr>
          <w:p w:rsidR="00950A7E" w:rsidRDefault="00950A7E" w:rsidP="00AD64B3">
            <w:r>
              <w:t>Berenschot</w:t>
            </w:r>
          </w:p>
        </w:tc>
        <w:tc>
          <w:tcPr>
            <w:tcW w:w="3021" w:type="dxa"/>
          </w:tcPr>
          <w:p w:rsidR="00950A7E" w:rsidRDefault="00950A7E" w:rsidP="00AD64B3">
            <w:r>
              <w:t>Inkoopregio (gelijk aan 2021)</w:t>
            </w:r>
          </w:p>
        </w:tc>
      </w:tr>
      <w:tr w:rsidR="00950A7E" w:rsidTr="00AD64B3">
        <w:tc>
          <w:tcPr>
            <w:tcW w:w="3020" w:type="dxa"/>
          </w:tcPr>
          <w:p w:rsidR="00950A7E" w:rsidRDefault="00950A7E" w:rsidP="00AD64B3">
            <w:r>
              <w:t>Opslag voor overheadkosten (p/m)</w:t>
            </w:r>
          </w:p>
        </w:tc>
        <w:tc>
          <w:tcPr>
            <w:tcW w:w="3021" w:type="dxa"/>
          </w:tcPr>
          <w:p w:rsidR="00950A7E" w:rsidRDefault="00950A7E" w:rsidP="00AD64B3">
            <w:r>
              <w:t>18.4%</w:t>
            </w:r>
          </w:p>
        </w:tc>
        <w:tc>
          <w:tcPr>
            <w:tcW w:w="3021" w:type="dxa"/>
          </w:tcPr>
          <w:p w:rsidR="00950A7E" w:rsidRDefault="00950A7E" w:rsidP="00AD64B3">
            <w:r>
              <w:t>14.1%</w:t>
            </w:r>
          </w:p>
        </w:tc>
      </w:tr>
      <w:tr w:rsidR="00950A7E" w:rsidTr="00AD64B3">
        <w:tc>
          <w:tcPr>
            <w:tcW w:w="3020" w:type="dxa"/>
          </w:tcPr>
          <w:p w:rsidR="00950A7E" w:rsidRDefault="00950A7E" w:rsidP="00AD64B3">
            <w:r>
              <w:t>Opslag kosten vastgoed (p/m)</w:t>
            </w:r>
          </w:p>
        </w:tc>
        <w:tc>
          <w:tcPr>
            <w:tcW w:w="3021" w:type="dxa"/>
          </w:tcPr>
          <w:p w:rsidR="00950A7E" w:rsidRDefault="00950A7E" w:rsidP="00AD64B3">
            <w:r>
              <w:t>0,5%</w:t>
            </w:r>
          </w:p>
        </w:tc>
        <w:tc>
          <w:tcPr>
            <w:tcW w:w="3021" w:type="dxa"/>
          </w:tcPr>
          <w:p w:rsidR="00950A7E" w:rsidRDefault="00950A7E" w:rsidP="00AD64B3">
            <w:r>
              <w:t>0.6%</w:t>
            </w:r>
          </w:p>
        </w:tc>
      </w:tr>
      <w:tr w:rsidR="00950A7E" w:rsidTr="00AD64B3">
        <w:tc>
          <w:tcPr>
            <w:tcW w:w="3020" w:type="dxa"/>
          </w:tcPr>
          <w:p w:rsidR="00950A7E" w:rsidRDefault="00950A7E" w:rsidP="00AD64B3">
            <w:r>
              <w:t>Opslag overige personele kosten (p/m)</w:t>
            </w:r>
          </w:p>
        </w:tc>
        <w:tc>
          <w:tcPr>
            <w:tcW w:w="3021" w:type="dxa"/>
          </w:tcPr>
          <w:p w:rsidR="00950A7E" w:rsidRDefault="00950A7E" w:rsidP="00AD64B3">
            <w:r>
              <w:t>2.1%</w:t>
            </w:r>
          </w:p>
        </w:tc>
        <w:tc>
          <w:tcPr>
            <w:tcW w:w="3021" w:type="dxa"/>
          </w:tcPr>
          <w:p w:rsidR="00950A7E" w:rsidRDefault="00950A7E" w:rsidP="00AD64B3">
            <w:r>
              <w:t>2.7%</w:t>
            </w:r>
          </w:p>
        </w:tc>
      </w:tr>
      <w:tr w:rsidR="00950A7E" w:rsidTr="00AD64B3">
        <w:tc>
          <w:tcPr>
            <w:tcW w:w="3020" w:type="dxa"/>
          </w:tcPr>
          <w:p w:rsidR="00950A7E" w:rsidRDefault="00950A7E" w:rsidP="00AD64B3">
            <w:r>
              <w:t>Kosten gemeentelijke eisen</w:t>
            </w:r>
          </w:p>
        </w:tc>
        <w:tc>
          <w:tcPr>
            <w:tcW w:w="3021" w:type="dxa"/>
          </w:tcPr>
          <w:p w:rsidR="00950A7E" w:rsidRDefault="00950A7E" w:rsidP="00AD64B3">
            <w:r>
              <w:t>0%</w:t>
            </w:r>
          </w:p>
        </w:tc>
        <w:tc>
          <w:tcPr>
            <w:tcW w:w="3021" w:type="dxa"/>
          </w:tcPr>
          <w:p w:rsidR="00950A7E" w:rsidRDefault="00950A7E" w:rsidP="00AD64B3">
            <w:r>
              <w:t>0%</w:t>
            </w:r>
          </w:p>
        </w:tc>
      </w:tr>
      <w:tr w:rsidR="00950A7E" w:rsidTr="00AD64B3">
        <w:tc>
          <w:tcPr>
            <w:tcW w:w="3020" w:type="dxa"/>
          </w:tcPr>
          <w:p w:rsidR="00950A7E" w:rsidRDefault="00950A7E" w:rsidP="00AD64B3">
            <w:r>
              <w:t>Opslag voor risico, innovatie en marge</w:t>
            </w:r>
          </w:p>
        </w:tc>
        <w:tc>
          <w:tcPr>
            <w:tcW w:w="3021" w:type="dxa"/>
          </w:tcPr>
          <w:p w:rsidR="00950A7E" w:rsidRDefault="00950A7E" w:rsidP="00AD64B3">
            <w:r>
              <w:t>2.5%</w:t>
            </w:r>
          </w:p>
        </w:tc>
        <w:tc>
          <w:tcPr>
            <w:tcW w:w="3021" w:type="dxa"/>
          </w:tcPr>
          <w:p w:rsidR="00950A7E" w:rsidRDefault="00950A7E" w:rsidP="00AD64B3">
            <w:r>
              <w:t>3%</w:t>
            </w:r>
          </w:p>
        </w:tc>
      </w:tr>
    </w:tbl>
    <w:p w:rsidR="00170F6D" w:rsidRDefault="00170F6D">
      <w:bookmarkStart w:id="0" w:name="_GoBack"/>
      <w:bookmarkEnd w:id="0"/>
    </w:p>
    <w:sectPr w:rsidR="00170F6D" w:rsidSect="0095139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39B"/>
    <w:rsid w:val="00170F6D"/>
    <w:rsid w:val="005C73EE"/>
    <w:rsid w:val="00950A7E"/>
    <w:rsid w:val="009513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19DD"/>
  <w15:chartTrackingRefBased/>
  <w15:docId w15:val="{D73EC4B1-A0E3-418C-B8F1-55C933D9B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95139B"/>
    <w:rPr>
      <w:color w:val="41B6E6"/>
      <w:u w:val="single"/>
    </w:rPr>
  </w:style>
  <w:style w:type="table" w:styleId="Tabelraster">
    <w:name w:val="Table Grid"/>
    <w:basedOn w:val="Standaardtabel"/>
    <w:uiPriority w:val="39"/>
    <w:rsid w:val="00950A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48590">
      <w:bodyDiv w:val="1"/>
      <w:marLeft w:val="0"/>
      <w:marRight w:val="0"/>
      <w:marTop w:val="0"/>
      <w:marBottom w:val="0"/>
      <w:divBdr>
        <w:top w:val="none" w:sz="0" w:space="0" w:color="auto"/>
        <w:left w:val="none" w:sz="0" w:space="0" w:color="auto"/>
        <w:bottom w:val="none" w:sz="0" w:space="0" w:color="auto"/>
        <w:right w:val="none" w:sz="0" w:space="0" w:color="auto"/>
      </w:divBdr>
    </w:div>
    <w:div w:id="422577417">
      <w:bodyDiv w:val="1"/>
      <w:marLeft w:val="0"/>
      <w:marRight w:val="0"/>
      <w:marTop w:val="0"/>
      <w:marBottom w:val="0"/>
      <w:divBdr>
        <w:top w:val="none" w:sz="0" w:space="0" w:color="auto"/>
        <w:left w:val="none" w:sz="0" w:space="0" w:color="auto"/>
        <w:bottom w:val="none" w:sz="0" w:space="0" w:color="auto"/>
        <w:right w:val="none" w:sz="0" w:space="0" w:color="auto"/>
      </w:divBdr>
    </w:div>
    <w:div w:id="552010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C:\Users\local_ekemink\INetCache\Content.MSO\33637475.xls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942</Words>
  <Characters>5183</Characters>
  <Application>Microsoft Office Word</Application>
  <DocSecurity>4</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Klunder, Evelien</dc:creator>
  <cp:keywords/>
  <dc:description/>
  <cp:lastModifiedBy>Laurens van Walsem</cp:lastModifiedBy>
  <cp:revision>2</cp:revision>
  <dcterms:created xsi:type="dcterms:W3CDTF">2021-09-10T12:51:00Z</dcterms:created>
  <dcterms:modified xsi:type="dcterms:W3CDTF">2021-09-10T12:51:00Z</dcterms:modified>
</cp:coreProperties>
</file>