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CEE" w:rsidRPr="00E11FAF" w:rsidRDefault="00421CEE" w:rsidP="00421CEE">
      <w:pPr>
        <w:pStyle w:val="Kop2"/>
        <w:numPr>
          <w:ilvl w:val="0"/>
          <w:numId w:val="0"/>
        </w:numPr>
      </w:pPr>
      <w:bookmarkStart w:id="0" w:name="_Toc53401237"/>
      <w:r>
        <w:t>Herziene</w:t>
      </w:r>
      <w:bookmarkStart w:id="1" w:name="_GoBack"/>
      <w:bookmarkEnd w:id="1"/>
      <w:r>
        <w:t xml:space="preserve"> versie 4.2 </w:t>
      </w:r>
      <w:r w:rsidRPr="00E11FAF">
        <w:t>(minimum) Geschiktheidseisen</w:t>
      </w:r>
      <w:bookmarkEnd w:id="0"/>
    </w:p>
    <w:p w:rsidR="00421CEE" w:rsidRPr="00E11FAF" w:rsidRDefault="00421CEE" w:rsidP="00421CEE">
      <w:r w:rsidRPr="00E11FAF">
        <w:t>De geschiktheid moet worden aangetoond, en bij de aanbieding gevoegd worden overeenkomstig hetgeen bij iedere eis is vermeld.</w:t>
      </w:r>
    </w:p>
    <w:p w:rsidR="00421CEE" w:rsidRPr="00E11FAF" w:rsidRDefault="00421CEE" w:rsidP="00421CEE"/>
    <w:p w:rsidR="00421CEE" w:rsidRPr="00E11FAF" w:rsidRDefault="00421CEE" w:rsidP="00421CEE">
      <w:pPr>
        <w:autoSpaceDE w:val="0"/>
        <w:autoSpaceDN w:val="0"/>
        <w:adjustRightInd w:val="0"/>
        <w:rPr>
          <w:rFonts w:cstheme="minorHAnsi"/>
        </w:rPr>
      </w:pPr>
      <w:r w:rsidRPr="00E11FAF">
        <w:rPr>
          <w:rFonts w:cstheme="minorHAnsi"/>
        </w:rPr>
        <w:t>De inschrijver dient minimaal één referentie van met goed resultaat gerealiseerde opdrachten (minimaal tot en met conceptrapport) in de afgelopen 6 jaar te overleggen die voldoen aan de volgende criteria:</w:t>
      </w:r>
    </w:p>
    <w:p w:rsidR="00421CEE" w:rsidRPr="00E11FAF" w:rsidRDefault="00421CEE" w:rsidP="00421CEE">
      <w:pPr>
        <w:autoSpaceDE w:val="0"/>
        <w:autoSpaceDN w:val="0"/>
        <w:adjustRightInd w:val="0"/>
        <w:rPr>
          <w:rFonts w:cstheme="minorHAnsi"/>
        </w:rPr>
      </w:pPr>
      <w:r w:rsidRPr="00E11FAF">
        <w:rPr>
          <w:rFonts w:cstheme="minorHAnsi"/>
        </w:rPr>
        <w:t xml:space="preserve">A.     Een opdracht waarin waarderend gravend veldonderzoek of definitief onderzoek, voor de perioden mesolithicum en/of neolithicum in het Laat-Glaciale en Holocene afgedekte steentijdlandschappen, is uitgevoerd met een gefactureerd bedrag van minimaal € 100.000. </w:t>
      </w:r>
    </w:p>
    <w:p w:rsidR="00421CEE" w:rsidRPr="00E11FAF" w:rsidRDefault="00421CEE" w:rsidP="00421CEE">
      <w:pPr>
        <w:pStyle w:val="Lijstalinea"/>
        <w:numPr>
          <w:ilvl w:val="0"/>
          <w:numId w:val="0"/>
        </w:numPr>
        <w:autoSpaceDE w:val="0"/>
        <w:autoSpaceDN w:val="0"/>
        <w:adjustRightInd w:val="0"/>
        <w:ind w:left="426"/>
        <w:rPr>
          <w:rFonts w:asciiTheme="minorHAnsi" w:hAnsiTheme="minorHAnsi" w:cstheme="minorHAnsi"/>
        </w:rPr>
      </w:pPr>
      <w:r w:rsidRPr="00E11FAF">
        <w:rPr>
          <w:rFonts w:asciiTheme="minorHAnsi" w:hAnsiTheme="minorHAnsi" w:cstheme="minorHAnsi"/>
        </w:rPr>
        <w:t>De omvang in euro’s van de ingediende referentie dient sec betrekking te hebben op het voorwerp van de opdracht waarvoor de minimumeis is gesteld. Om aan te tonen dat inschrijver voldoet aan deze minimumeis dienen de referenties te zijn voorzien van een tevredenheidsverklaring van de opdrachtgevers.</w:t>
      </w:r>
    </w:p>
    <w:p w:rsidR="00421CEE" w:rsidRPr="00E11FAF" w:rsidRDefault="00421CEE" w:rsidP="00421CEE">
      <w:pPr>
        <w:autoSpaceDE w:val="0"/>
        <w:autoSpaceDN w:val="0"/>
        <w:adjustRightInd w:val="0"/>
        <w:ind w:left="66"/>
        <w:rPr>
          <w:rFonts w:cstheme="minorHAnsi"/>
        </w:rPr>
      </w:pPr>
      <w:r w:rsidRPr="00E11FAF">
        <w:rPr>
          <w:rFonts w:cstheme="minorHAnsi"/>
        </w:rPr>
        <w:t>Voor zover een referentieproject betrekking heeft op een opdracht, die in combinatie is uitgevoerd, wordt alleen het gedeelte, dat de inschrijver heeft uitgevoerd, in aanmerking genomen bij de toetsing aan de minimumeisen.</w:t>
      </w:r>
    </w:p>
    <w:p w:rsidR="00421CEE" w:rsidRPr="00E11FAF" w:rsidRDefault="00421CEE" w:rsidP="00421CEE">
      <w:pPr>
        <w:autoSpaceDE w:val="0"/>
        <w:autoSpaceDN w:val="0"/>
        <w:adjustRightInd w:val="0"/>
        <w:ind w:left="66"/>
        <w:rPr>
          <w:rFonts w:cstheme="minorHAnsi"/>
        </w:rPr>
      </w:pPr>
      <w:r w:rsidRPr="00E11FAF">
        <w:rPr>
          <w:rFonts w:cstheme="minorHAnsi"/>
        </w:rPr>
        <w:t>De inschrijver dient aan te geven wie als contactpersoon van de opdrachtgever van het referentiewerk optreedt. Inschrijver stemt er mee in dat deze contactpersoon door de aanbestedende dienst rechtstreeks kan worden benaderd.</w:t>
      </w:r>
    </w:p>
    <w:p w:rsidR="00421CEE" w:rsidRPr="00E11FAF" w:rsidRDefault="00421CEE" w:rsidP="00421CEE">
      <w:pPr>
        <w:pStyle w:val="Lijstalinea"/>
        <w:numPr>
          <w:ilvl w:val="0"/>
          <w:numId w:val="0"/>
        </w:numPr>
        <w:autoSpaceDE w:val="0"/>
        <w:autoSpaceDN w:val="0"/>
        <w:adjustRightInd w:val="0"/>
        <w:ind w:left="426"/>
        <w:rPr>
          <w:rFonts w:asciiTheme="minorHAnsi" w:hAnsiTheme="minorHAnsi" w:cstheme="minorHAnsi"/>
        </w:rPr>
      </w:pPr>
    </w:p>
    <w:p w:rsidR="00421CEE" w:rsidRPr="00E11FAF" w:rsidRDefault="00421CEE" w:rsidP="00421CEE">
      <w:pPr>
        <w:pStyle w:val="Lijstalinea"/>
        <w:numPr>
          <w:ilvl w:val="0"/>
          <w:numId w:val="9"/>
        </w:numPr>
        <w:autoSpaceDE w:val="0"/>
        <w:autoSpaceDN w:val="0"/>
        <w:adjustRightInd w:val="0"/>
        <w:ind w:left="284"/>
        <w:rPr>
          <w:rFonts w:asciiTheme="minorHAnsi" w:hAnsiTheme="minorHAnsi" w:cstheme="minorHAnsi"/>
        </w:rPr>
      </w:pPr>
      <w:r w:rsidRPr="00E11FAF">
        <w:t xml:space="preserve">De archeologisch uitvoerder van de opdracht in het bezit van een geldig certificaat BRL SIKB 4000 Archeologie met protocol 4004 Opgraven. </w:t>
      </w:r>
    </w:p>
    <w:p w:rsidR="00421CEE" w:rsidRPr="00E11FAF" w:rsidRDefault="00421CEE" w:rsidP="00421CEE">
      <w:pPr>
        <w:autoSpaceDE w:val="0"/>
        <w:autoSpaceDN w:val="0"/>
        <w:adjustRightInd w:val="0"/>
        <w:ind w:left="66"/>
        <w:rPr>
          <w:rFonts w:cstheme="minorHAnsi"/>
        </w:rPr>
      </w:pPr>
      <w:r w:rsidRPr="00E11FAF">
        <w:t xml:space="preserve">Te leveren documenten: </w:t>
      </w:r>
    </w:p>
    <w:p w:rsidR="00421CEE" w:rsidRPr="00E11FAF" w:rsidRDefault="00421CEE" w:rsidP="00421CEE">
      <w:pPr>
        <w:pStyle w:val="Lijstalinea"/>
        <w:numPr>
          <w:ilvl w:val="0"/>
          <w:numId w:val="6"/>
        </w:numPr>
      </w:pPr>
      <w:r w:rsidRPr="00E11FAF">
        <w:t>Beschrijving van de in te zetten Archeologisch uitvoerder, met bewijs van certificering die voldoet aan BRL SIKB 4000 Archeologie met protocol 4004 Opgraven.</w:t>
      </w:r>
    </w:p>
    <w:p w:rsidR="00421CEE" w:rsidRPr="00E11FAF" w:rsidRDefault="00421CEE" w:rsidP="00421CEE">
      <w:pPr>
        <w:pStyle w:val="Lijstalinea"/>
        <w:numPr>
          <w:ilvl w:val="0"/>
          <w:numId w:val="6"/>
        </w:numPr>
      </w:pPr>
      <w:r w:rsidRPr="00E11FAF">
        <w:t>Curriculum Vitae van de in te zetten uitvoerder.</w:t>
      </w:r>
    </w:p>
    <w:p w:rsidR="00421CEE" w:rsidRPr="00E11FAF" w:rsidRDefault="00421CEE" w:rsidP="00421CEE"/>
    <w:p w:rsidR="00421CEE" w:rsidRPr="00E11FAF" w:rsidRDefault="00421CEE" w:rsidP="00421CEE"/>
    <w:p w:rsidR="00421CEE" w:rsidRPr="00E11FAF" w:rsidRDefault="00421CEE" w:rsidP="00421CEE"/>
    <w:p w:rsidR="00421CEE" w:rsidRPr="00E11FAF" w:rsidRDefault="00421CEE" w:rsidP="00421CEE">
      <w:pPr>
        <w:pStyle w:val="Lijstalinea"/>
        <w:numPr>
          <w:ilvl w:val="0"/>
          <w:numId w:val="9"/>
        </w:numPr>
        <w:ind w:left="426"/>
      </w:pPr>
      <w:r w:rsidRPr="00E11FAF">
        <w:rPr>
          <w:lang w:eastAsia="nl-NL"/>
        </w:rPr>
        <w:t>De senior KNA-archeoloog met ruime ervaring in archeologisch onderzoek in zowel prospectief onderzoek als opgravingen in afgedekte steentijd landschappen.</w:t>
      </w:r>
    </w:p>
    <w:p w:rsidR="00421CEE" w:rsidRPr="00E11FAF" w:rsidRDefault="00421CEE" w:rsidP="00421CEE">
      <w:r w:rsidRPr="00E11FAF">
        <w:t xml:space="preserve">Te leveren documenten: </w:t>
      </w:r>
    </w:p>
    <w:p w:rsidR="00421CEE" w:rsidRPr="00E11FAF" w:rsidRDefault="00421CEE" w:rsidP="00421CEE">
      <w:pPr>
        <w:pStyle w:val="Lijstalinea"/>
        <w:numPr>
          <w:ilvl w:val="0"/>
          <w:numId w:val="7"/>
        </w:numPr>
        <w:ind w:left="1418"/>
      </w:pPr>
      <w:r w:rsidRPr="00E11FAF">
        <w:t xml:space="preserve">Van de in te zetten </w:t>
      </w:r>
      <w:r w:rsidRPr="00E11FAF">
        <w:rPr>
          <w:lang w:eastAsia="nl-NL"/>
        </w:rPr>
        <w:t>(senior) KNA-archeoloog</w:t>
      </w:r>
      <w:r w:rsidRPr="00E11FAF">
        <w:t xml:space="preserve"> ontvangen wij graag het registratienummer uit het Actorregister Archeologie</w:t>
      </w:r>
    </w:p>
    <w:p w:rsidR="00421CEE" w:rsidRDefault="00421CEE" w:rsidP="00421CEE">
      <w:pPr>
        <w:pStyle w:val="Lijstalinea"/>
        <w:numPr>
          <w:ilvl w:val="0"/>
          <w:numId w:val="7"/>
        </w:numPr>
        <w:ind w:left="1418"/>
      </w:pPr>
      <w:r w:rsidRPr="00E11FAF">
        <w:t>Referentiebeschrijving van de projecten waaruit blijkt dat de in te zetten KNA archeoloog deze ervaring heeft ,  met opgave van contractpersonen van de opdrachtgevers voor referentiecontrole.</w:t>
      </w:r>
    </w:p>
    <w:p w:rsidR="00421CEE" w:rsidRDefault="00421CEE" w:rsidP="00421CEE">
      <w:r>
        <w:t xml:space="preserve">Te leveren document: </w:t>
      </w:r>
    </w:p>
    <w:p w:rsidR="00421CEE" w:rsidRDefault="00421CEE" w:rsidP="00421CEE">
      <w:r>
        <w:t>Beschrijving van CV en referenties, met opgave van contactpersonen van de opdrachtgever die kunnen worden geraadpleegd voor referentiecontrole, waaruit blijkt dat de in te zetten KNA Archeoloog voldoet aan de gestelde eis.</w:t>
      </w:r>
    </w:p>
    <w:p w:rsidR="00421CEE" w:rsidRPr="00E11FAF" w:rsidRDefault="00421CEE" w:rsidP="00421CEE"/>
    <w:p w:rsidR="00421CEE" w:rsidRPr="00E11FAF" w:rsidRDefault="00421CEE" w:rsidP="00421CEE">
      <w:pPr>
        <w:pStyle w:val="Lijstalinea"/>
        <w:numPr>
          <w:ilvl w:val="0"/>
          <w:numId w:val="9"/>
        </w:numPr>
        <w:ind w:left="426"/>
      </w:pPr>
      <w:r w:rsidRPr="00E11FAF">
        <w:t xml:space="preserve">De Senior KNA Archeoloog  heeft aantoonbare ervaring met projectbeheersing, prospectie schrijven en redigeren en is in staat tijdens het onderzoek strategische keuzes te maken conform de vraagstelling en de te hanteren onderzoeksmethode zoals die zijn vastgelegd in dit </w:t>
      </w:r>
      <w:proofErr w:type="spellStart"/>
      <w:r w:rsidRPr="00E11FAF">
        <w:t>PvE</w:t>
      </w:r>
      <w:proofErr w:type="spellEnd"/>
      <w:r w:rsidRPr="00E11FAF">
        <w:t xml:space="preserve">. </w:t>
      </w:r>
    </w:p>
    <w:p w:rsidR="00421CEE" w:rsidRPr="00E11FAF" w:rsidRDefault="00421CEE" w:rsidP="00421CEE">
      <w:r w:rsidRPr="00E11FAF">
        <w:rPr>
          <w:lang w:eastAsia="nl-NL"/>
        </w:rPr>
        <w:t xml:space="preserve">Te leveren document: </w:t>
      </w:r>
    </w:p>
    <w:p w:rsidR="00421CEE" w:rsidRPr="00E11FAF" w:rsidRDefault="00421CEE" w:rsidP="00421CEE">
      <w:r w:rsidRPr="00E11FAF">
        <w:rPr>
          <w:lang w:eastAsia="nl-NL"/>
        </w:rPr>
        <w:t xml:space="preserve">Beschrijving van CV en </w:t>
      </w:r>
      <w:r w:rsidRPr="00E11FAF">
        <w:t xml:space="preserve">referenties, met opgave van contactpersonen van de opdrachtgever die kunnen worden geraadpleegd voor referentiecontrole, waaruit blijkt dat de in te zetten KNA Archeoloog </w:t>
      </w:r>
      <w:r>
        <w:t>voldoet aan de gestelde eis</w:t>
      </w:r>
      <w:r w:rsidRPr="00E11FAF">
        <w:t>.</w:t>
      </w:r>
    </w:p>
    <w:p w:rsidR="00421CEE" w:rsidRPr="00E11FAF" w:rsidRDefault="00421CEE" w:rsidP="00421CEE"/>
    <w:p w:rsidR="00421CEE" w:rsidRPr="00E11FAF" w:rsidRDefault="00421CEE" w:rsidP="00421CEE">
      <w:pPr>
        <w:pStyle w:val="Lijstalinea"/>
        <w:numPr>
          <w:ilvl w:val="0"/>
          <w:numId w:val="9"/>
        </w:numPr>
        <w:ind w:left="426"/>
        <w:rPr>
          <w:lang w:eastAsia="nl-NL"/>
        </w:rPr>
      </w:pPr>
      <w:r w:rsidRPr="00E11FAF">
        <w:rPr>
          <w:lang w:eastAsia="nl-NL"/>
        </w:rPr>
        <w:t xml:space="preserve">Zowel voor veldwerk als voor uitwerking, conservering en rapportage is de inzet van de juiste actoren vereist (zie BRL4000, via sikb.nl). Daarnaast is aanvullende inzet van </w:t>
      </w:r>
      <w:proofErr w:type="spellStart"/>
      <w:r w:rsidRPr="00E11FAF">
        <w:rPr>
          <w:lang w:eastAsia="nl-NL"/>
        </w:rPr>
        <w:t>amateur-archeologen</w:t>
      </w:r>
      <w:proofErr w:type="spellEnd"/>
      <w:r w:rsidRPr="00E11FAF">
        <w:rPr>
          <w:lang w:eastAsia="nl-NL"/>
        </w:rPr>
        <w:t xml:space="preserve"> (AWN Flevoland) gewenst. </w:t>
      </w:r>
    </w:p>
    <w:p w:rsidR="00421CEE" w:rsidRPr="00E11FAF" w:rsidRDefault="00421CEE" w:rsidP="00421CEE">
      <w:pPr>
        <w:ind w:left="66"/>
        <w:rPr>
          <w:lang w:eastAsia="nl-NL"/>
        </w:rPr>
      </w:pPr>
      <w:r w:rsidRPr="00E11FAF">
        <w:rPr>
          <w:lang w:eastAsia="nl-NL"/>
        </w:rPr>
        <w:t>Te leveren document:</w:t>
      </w:r>
    </w:p>
    <w:p w:rsidR="00421CEE" w:rsidRPr="00E11FAF" w:rsidRDefault="00421CEE" w:rsidP="00421CEE">
      <w:pPr>
        <w:pStyle w:val="Lijstalinea"/>
        <w:numPr>
          <w:ilvl w:val="0"/>
          <w:numId w:val="8"/>
        </w:numPr>
        <w:ind w:left="1418"/>
      </w:pPr>
      <w:r w:rsidRPr="00E11FAF">
        <w:rPr>
          <w:lang w:eastAsia="nl-NL"/>
        </w:rPr>
        <w:lastRenderedPageBreak/>
        <w:t>De beschrijving van de actoren die worden voorgesteld om aan deze opdracht te werken met benoemen van functie, met daarbij de beschrijving waaruit blijkt dat de betreffende medewerkers voldoen aan de eis.</w:t>
      </w:r>
    </w:p>
    <w:p w:rsidR="00421CEE" w:rsidRPr="00E11FAF" w:rsidRDefault="00421CEE" w:rsidP="00421CEE">
      <w:pPr>
        <w:pStyle w:val="Lijstalinea"/>
        <w:numPr>
          <w:ilvl w:val="0"/>
          <w:numId w:val="0"/>
        </w:numPr>
        <w:ind w:left="1418"/>
      </w:pPr>
    </w:p>
    <w:p w:rsidR="00421CEE" w:rsidRPr="00E11FAF" w:rsidRDefault="00421CEE" w:rsidP="00421CEE">
      <w:pPr>
        <w:pStyle w:val="PvEKop2"/>
        <w:numPr>
          <w:ilvl w:val="0"/>
          <w:numId w:val="0"/>
        </w:numPr>
        <w:ind w:left="567" w:hanging="567"/>
      </w:pPr>
      <w:bookmarkStart w:id="2" w:name="_Toc364238275"/>
      <w:bookmarkStart w:id="3" w:name="_Toc58415751"/>
      <w:r w:rsidRPr="00E11FAF">
        <w:t>Overige randvoorwaarden en aanvullende eisen</w:t>
      </w:r>
      <w:bookmarkEnd w:id="2"/>
      <w:bookmarkEnd w:id="3"/>
    </w:p>
    <w:p w:rsidR="00421CEE" w:rsidRPr="00E11FAF" w:rsidRDefault="00421CEE" w:rsidP="00421CEE">
      <w:pPr>
        <w:pStyle w:val="Lijstalinea"/>
        <w:numPr>
          <w:ilvl w:val="0"/>
          <w:numId w:val="4"/>
        </w:numPr>
      </w:pPr>
      <w:r w:rsidRPr="00E11FAF">
        <w:t xml:space="preserve">De projectleider (minimaal Senior KNA archeoloog) van het uitvoerende bedrijf is dagelijks in het veld aanwezig, participeert in de uitvoering van de opgraving en stuurt de veldteams aan. De projectleider ziet er op toe dat documentatie op een efficiënte en goede manier plaatsvindt, houdt toezicht op de werkzaamheden en is hierbij eindverantwoordelijk voor de kwaliteit van het onderzoek. Hij is tevens aanspreekpunt voor de opdrachtgever. </w:t>
      </w:r>
    </w:p>
    <w:p w:rsidR="00421CEE" w:rsidRPr="00E11FAF" w:rsidRDefault="00421CEE" w:rsidP="00421CEE">
      <w:pPr>
        <w:pStyle w:val="Normaalweb"/>
        <w:numPr>
          <w:ilvl w:val="0"/>
          <w:numId w:val="5"/>
        </w:numPr>
        <w:spacing w:before="0" w:beforeAutospacing="0"/>
        <w:rPr>
          <w:rFonts w:asciiTheme="minorHAnsi" w:hAnsiTheme="minorHAnsi" w:cstheme="minorHAnsi"/>
          <w:sz w:val="20"/>
          <w:szCs w:val="20"/>
          <w:lang w:val="nl-NL"/>
        </w:rPr>
      </w:pPr>
      <w:r w:rsidRPr="00E11FAF">
        <w:rPr>
          <w:rFonts w:asciiTheme="minorHAnsi" w:hAnsiTheme="minorHAnsi" w:cstheme="minorHAnsi"/>
          <w:sz w:val="20"/>
          <w:szCs w:val="20"/>
          <w:lang w:val="nl-NL"/>
        </w:rPr>
        <w:t>Het archeologische veldwerk vindt plaats door ervaren veldarcheologen en veldtechnici die aantoonbare ervaring hebben met het opgraven van steentijdvindplaatsen, en met de uitwerking en rapportage van dit soort onderzoek. Deze personen begeleiden onder andere de aanleg van het opgravingsvlak en verzorgen de documentatie van waargenomen archeologische sporen en resten.</w:t>
      </w:r>
    </w:p>
    <w:p w:rsidR="00421CEE" w:rsidRPr="00E11FAF" w:rsidRDefault="00421CEE" w:rsidP="00421CEE">
      <w:pPr>
        <w:pStyle w:val="Normaalweb"/>
        <w:numPr>
          <w:ilvl w:val="0"/>
          <w:numId w:val="5"/>
        </w:numPr>
        <w:rPr>
          <w:rFonts w:asciiTheme="minorHAnsi" w:hAnsiTheme="minorHAnsi" w:cstheme="minorHAnsi"/>
          <w:sz w:val="20"/>
          <w:szCs w:val="20"/>
          <w:lang w:val="nl-NL"/>
        </w:rPr>
      </w:pPr>
      <w:r w:rsidRPr="00E11FAF">
        <w:rPr>
          <w:rFonts w:asciiTheme="minorHAnsi" w:hAnsiTheme="minorHAnsi" w:cstheme="minorHAnsi"/>
          <w:sz w:val="20"/>
          <w:szCs w:val="20"/>
          <w:lang w:val="nl-NL"/>
        </w:rPr>
        <w:t xml:space="preserve">De Senior KNA Archeoloog en de veldarcheologen hebben ruime ervaring met gravend archeologisch onderzoek (zowel prospectief als opgravingen) voor de perioden mesolithicum en/of neolithicum in Laat-Glaciale en Holocene afgedekte steentijdlandschappen, aan te tonen middels CV en publicatielijst. </w:t>
      </w:r>
    </w:p>
    <w:p w:rsidR="00421CEE" w:rsidRPr="00E11FAF" w:rsidRDefault="00421CEE" w:rsidP="00421CEE">
      <w:pPr>
        <w:pStyle w:val="Normaalweb"/>
        <w:numPr>
          <w:ilvl w:val="0"/>
          <w:numId w:val="5"/>
        </w:numPr>
        <w:rPr>
          <w:rFonts w:asciiTheme="minorHAnsi" w:hAnsiTheme="minorHAnsi" w:cstheme="minorHAnsi"/>
          <w:sz w:val="20"/>
          <w:szCs w:val="20"/>
          <w:lang w:val="nl-NL"/>
        </w:rPr>
      </w:pPr>
      <w:r w:rsidRPr="00E11FAF">
        <w:rPr>
          <w:rFonts w:asciiTheme="minorHAnsi" w:hAnsiTheme="minorHAnsi" w:cstheme="minorHAnsi"/>
          <w:sz w:val="20"/>
          <w:szCs w:val="20"/>
          <w:lang w:val="nl-NL"/>
        </w:rPr>
        <w:t xml:space="preserve">De Senior KNA Archeoloog  heeft aantoonbare ervaring met projectbeheersing, prospectie en schrijven en redigeren en is in staat tijdens het onderzoek strategische keuzes te maken conform de vraagstelling en de te hanteren onderzoeksmethode zoals die zijn vastgelegd in dit </w:t>
      </w:r>
      <w:proofErr w:type="spellStart"/>
      <w:r w:rsidRPr="00E11FAF">
        <w:rPr>
          <w:rFonts w:asciiTheme="minorHAnsi" w:hAnsiTheme="minorHAnsi" w:cstheme="minorHAnsi"/>
          <w:sz w:val="20"/>
          <w:szCs w:val="20"/>
          <w:lang w:val="nl-NL"/>
        </w:rPr>
        <w:t>PvE</w:t>
      </w:r>
      <w:proofErr w:type="spellEnd"/>
      <w:r w:rsidRPr="00E11FAF">
        <w:rPr>
          <w:rFonts w:asciiTheme="minorHAnsi" w:hAnsiTheme="minorHAnsi" w:cstheme="minorHAnsi"/>
          <w:sz w:val="20"/>
          <w:szCs w:val="20"/>
          <w:lang w:val="nl-NL"/>
        </w:rPr>
        <w:t xml:space="preserve">. </w:t>
      </w:r>
    </w:p>
    <w:p w:rsidR="00421CEE" w:rsidRPr="00E11FAF" w:rsidRDefault="00421CEE" w:rsidP="00421CEE">
      <w:pPr>
        <w:pStyle w:val="Normaalweb"/>
        <w:numPr>
          <w:ilvl w:val="0"/>
          <w:numId w:val="5"/>
        </w:numPr>
        <w:rPr>
          <w:rFonts w:asciiTheme="minorHAnsi" w:hAnsiTheme="minorHAnsi" w:cstheme="minorHAnsi"/>
          <w:sz w:val="20"/>
          <w:szCs w:val="20"/>
          <w:lang w:val="nl-NL"/>
        </w:rPr>
      </w:pPr>
      <w:r w:rsidRPr="00E11FAF">
        <w:rPr>
          <w:rFonts w:asciiTheme="minorHAnsi" w:hAnsiTheme="minorHAnsi" w:cstheme="minorHAnsi"/>
          <w:sz w:val="20"/>
          <w:szCs w:val="20"/>
          <w:lang w:val="nl-NL"/>
        </w:rPr>
        <w:t xml:space="preserve">Voor de interpretatie van de bodemprofielen wordt een fysisch geograaf met een specialisatie in afgedekte zandgronden of een archeoloog met relevante fysisch- geografische ervaring ingezet. </w:t>
      </w:r>
    </w:p>
    <w:p w:rsidR="00421CEE" w:rsidRPr="00E11FAF" w:rsidRDefault="00421CEE" w:rsidP="00421CEE">
      <w:pPr>
        <w:pStyle w:val="Normaalweb"/>
        <w:numPr>
          <w:ilvl w:val="0"/>
          <w:numId w:val="5"/>
        </w:numPr>
        <w:rPr>
          <w:rFonts w:asciiTheme="minorHAnsi" w:hAnsiTheme="minorHAnsi" w:cstheme="minorHAnsi"/>
          <w:sz w:val="20"/>
          <w:szCs w:val="20"/>
          <w:lang w:val="nl-NL"/>
        </w:rPr>
      </w:pPr>
      <w:r w:rsidRPr="00E11FAF">
        <w:rPr>
          <w:rFonts w:asciiTheme="minorHAnsi" w:hAnsiTheme="minorHAnsi" w:cstheme="minorHAnsi"/>
          <w:sz w:val="20"/>
          <w:szCs w:val="20"/>
          <w:lang w:val="nl-NL"/>
        </w:rPr>
        <w:t>Het benodigde specialistische onderzoek wordt uitgevoerd door specialisten met aantoonbare ervaring met landschaps- en/of nederzettingsonderzoek in Flevoland in de periode vroege prehistorie. Deze zijn in ieder geval eens per week op de opgraving aanwezig.</w:t>
      </w:r>
    </w:p>
    <w:p w:rsidR="00421CEE" w:rsidRPr="00E11FAF" w:rsidRDefault="00421CEE" w:rsidP="00421CEE">
      <w:pPr>
        <w:pStyle w:val="Normaalweb"/>
        <w:rPr>
          <w:rFonts w:ascii="Calibri" w:eastAsiaTheme="minorHAnsi" w:hAnsi="Calibri"/>
          <w:sz w:val="20"/>
          <w:szCs w:val="20"/>
          <w:lang w:val="nl-NL"/>
        </w:rPr>
      </w:pPr>
      <w:r w:rsidRPr="00E11FAF">
        <w:rPr>
          <w:rFonts w:ascii="Calibri" w:eastAsiaTheme="minorHAnsi" w:hAnsi="Calibri"/>
          <w:sz w:val="20"/>
          <w:szCs w:val="20"/>
          <w:lang w:val="nl-NL"/>
        </w:rPr>
        <w:t>Op het bij aanmelding volgens in te dienen Model A1 (verklaring opgave referentieprojecten ) per geschiktheidseis aangeven welk referentieproject voor welke eis wordt ingediend.</w:t>
      </w:r>
    </w:p>
    <w:p w:rsidR="00421CEE" w:rsidRPr="00E11FAF" w:rsidRDefault="00421CEE" w:rsidP="00421CEE">
      <w:pPr>
        <w:pStyle w:val="Normaalweb"/>
        <w:rPr>
          <w:rFonts w:ascii="Calibri" w:eastAsiaTheme="minorHAnsi" w:hAnsi="Calibri"/>
          <w:sz w:val="20"/>
          <w:szCs w:val="20"/>
          <w:lang w:val="nl-NL"/>
        </w:rPr>
      </w:pPr>
      <w:r w:rsidRPr="00E11FAF">
        <w:rPr>
          <w:rFonts w:ascii="Calibri" w:eastAsiaTheme="minorHAnsi" w:hAnsi="Calibri"/>
          <w:sz w:val="20"/>
          <w:szCs w:val="20"/>
          <w:lang w:val="nl-NL"/>
        </w:rPr>
        <w:t xml:space="preserve">Indien met een referentie aan alle of meerdere geschiktheidseisen wordt voldaan, dan mag deze referentie voor meerdere geschiktheidseisen gebruikt worden. </w:t>
      </w:r>
    </w:p>
    <w:p w:rsidR="00421CEE" w:rsidRPr="00E11FAF" w:rsidRDefault="00421CEE" w:rsidP="00421CEE">
      <w:pPr>
        <w:pStyle w:val="Normaalweb"/>
        <w:rPr>
          <w:rFonts w:ascii="Calibri" w:eastAsiaTheme="minorHAnsi" w:hAnsi="Calibri"/>
          <w:sz w:val="20"/>
          <w:szCs w:val="20"/>
          <w:lang w:val="nl-NL"/>
        </w:rPr>
      </w:pPr>
      <w:r w:rsidRPr="00E11FAF">
        <w:rPr>
          <w:rFonts w:ascii="Calibri" w:eastAsiaTheme="minorHAnsi" w:hAnsi="Calibri"/>
          <w:sz w:val="20"/>
          <w:szCs w:val="20"/>
          <w:lang w:val="nl-NL"/>
        </w:rPr>
        <w:t>De gegadigde wordt er op gewezen dat uit de referentieverklaring eenduidig dient te blijken dat voldaan wordt aan de betreffende geschiktheidseis voor technische bekwaamheid.</w:t>
      </w:r>
    </w:p>
    <w:p w:rsidR="00421CEE" w:rsidRPr="00E11FAF" w:rsidRDefault="00421CEE" w:rsidP="00421CEE">
      <w:pPr>
        <w:pStyle w:val="Normaalweb"/>
        <w:rPr>
          <w:rFonts w:ascii="Calibri" w:eastAsiaTheme="minorHAnsi" w:hAnsi="Calibri"/>
          <w:sz w:val="20"/>
          <w:szCs w:val="20"/>
          <w:lang w:val="nl-NL"/>
        </w:rPr>
      </w:pPr>
    </w:p>
    <w:p w:rsidR="00421CEE" w:rsidRPr="00E11FAF" w:rsidRDefault="00421CEE" w:rsidP="00421CEE">
      <w:pPr>
        <w:pStyle w:val="Geenafstand"/>
        <w:rPr>
          <w:rFonts w:eastAsia="Times New Roman" w:cstheme="minorHAnsi"/>
          <w:b/>
          <w:bCs/>
          <w:color w:val="000000"/>
          <w:szCs w:val="20"/>
        </w:rPr>
      </w:pPr>
      <w:r w:rsidRPr="00E11FAF">
        <w:rPr>
          <w:rFonts w:eastAsia="Times New Roman" w:cstheme="minorHAnsi"/>
          <w:b/>
          <w:bCs/>
          <w:color w:val="000000"/>
          <w:szCs w:val="20"/>
        </w:rPr>
        <w:t>Zelfvereiste</w:t>
      </w:r>
    </w:p>
    <w:p w:rsidR="00421CEE" w:rsidRPr="00E11FAF" w:rsidRDefault="00421CEE" w:rsidP="00421CEE">
      <w:pPr>
        <w:pStyle w:val="Geenafstand"/>
        <w:rPr>
          <w:rFonts w:eastAsia="Times New Roman" w:cstheme="minorHAnsi"/>
          <w:color w:val="000000"/>
          <w:szCs w:val="20"/>
        </w:rPr>
      </w:pPr>
      <w:r w:rsidRPr="00E11FAF">
        <w:rPr>
          <w:rFonts w:eastAsia="Times New Roman" w:cstheme="minorHAnsi"/>
          <w:color w:val="000000"/>
          <w:szCs w:val="20"/>
        </w:rPr>
        <w:t xml:space="preserve">Een ondernemer (een gegadigde of een andere natuurlijke of rechtspersoon) kan zich op te voeren technische bekwaamheid slechts toerekenen indien de ondernemer de werkzaamheden waarop de technische bekwaamheid berust daadwerkelijk zelf heeft verricht of indien de toenmalige </w:t>
      </w:r>
      <w:proofErr w:type="spellStart"/>
      <w:r w:rsidRPr="00E11FAF">
        <w:rPr>
          <w:rFonts w:eastAsia="Times New Roman" w:cstheme="minorHAnsi"/>
          <w:color w:val="000000"/>
          <w:szCs w:val="20"/>
        </w:rPr>
        <w:t>combinant</w:t>
      </w:r>
      <w:proofErr w:type="spellEnd"/>
      <w:r w:rsidRPr="00E11FAF">
        <w:rPr>
          <w:rFonts w:eastAsia="Times New Roman" w:cstheme="minorHAnsi"/>
          <w:color w:val="000000"/>
          <w:szCs w:val="20"/>
        </w:rPr>
        <w:t xml:space="preserve"> of onderaannemer die de werkzaamheden m.b.t. de kerncompetentie heeft uitgevoerd opnieuw wordt ingezet in de vorm van </w:t>
      </w:r>
      <w:proofErr w:type="spellStart"/>
      <w:r w:rsidRPr="00E11FAF">
        <w:rPr>
          <w:rFonts w:eastAsia="Times New Roman" w:cstheme="minorHAnsi"/>
          <w:color w:val="000000"/>
          <w:szCs w:val="20"/>
        </w:rPr>
        <w:t>combinant</w:t>
      </w:r>
      <w:proofErr w:type="spellEnd"/>
      <w:r w:rsidRPr="00E11FAF">
        <w:rPr>
          <w:rFonts w:eastAsia="Times New Roman" w:cstheme="minorHAnsi"/>
          <w:color w:val="000000"/>
          <w:szCs w:val="20"/>
        </w:rPr>
        <w:t xml:space="preserve"> of als onderaannemer.</w:t>
      </w:r>
    </w:p>
    <w:p w:rsidR="0029478F" w:rsidRDefault="0029478F"/>
    <w:sectPr w:rsidR="002947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2668A"/>
    <w:multiLevelType w:val="hybridMultilevel"/>
    <w:tmpl w:val="5D48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A3164A"/>
    <w:multiLevelType w:val="multilevel"/>
    <w:tmpl w:val="7B9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674DAA"/>
    <w:multiLevelType w:val="hybridMultilevel"/>
    <w:tmpl w:val="70828EE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57A46D34"/>
    <w:multiLevelType w:val="multilevel"/>
    <w:tmpl w:val="A72A9C7C"/>
    <w:lvl w:ilvl="0">
      <w:start w:val="1"/>
      <w:numFmt w:val="decimal"/>
      <w:lvlText w:val="HOOFDSTUK %1"/>
      <w:lvlJc w:val="left"/>
      <w:pPr>
        <w:tabs>
          <w:tab w:val="num" w:pos="3828"/>
        </w:tabs>
        <w:ind w:left="3828" w:firstLine="0"/>
      </w:pPr>
      <w:rPr>
        <w:rFonts w:ascii="Verdana" w:hAnsi="Verdana" w:hint="default"/>
        <w:b/>
        <w:i w:val="0"/>
        <w:sz w:val="20"/>
        <w:szCs w:val="20"/>
      </w:rPr>
    </w:lvl>
    <w:lvl w:ilvl="1">
      <w:start w:val="1"/>
      <w:numFmt w:val="decimal"/>
      <w:pStyle w:val="PvEKop2"/>
      <w:lvlText w:val="%1.%2 "/>
      <w:lvlJc w:val="left"/>
      <w:pPr>
        <w:tabs>
          <w:tab w:val="num" w:pos="567"/>
        </w:tabs>
        <w:ind w:left="567" w:hanging="567"/>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567"/>
        </w:tabs>
        <w:ind w:left="567" w:hanging="567"/>
      </w:pPr>
      <w:rPr>
        <w:rFonts w:ascii="Verdana" w:hAnsi="Verdana" w:hint="default"/>
        <w:b w:val="0"/>
        <w:i w:val="0"/>
        <w:sz w:val="18"/>
        <w:szCs w:val="18"/>
      </w:rPr>
    </w:lvl>
    <w:lvl w:ilvl="3">
      <w:start w:val="1"/>
      <w:numFmt w:val="decimal"/>
      <w:lvlText w:val="%1.%2.%3.%4."/>
      <w:lvlJc w:val="left"/>
      <w:pPr>
        <w:tabs>
          <w:tab w:val="num" w:pos="2862"/>
        </w:tabs>
        <w:ind w:left="2862" w:hanging="648"/>
      </w:pPr>
      <w:rPr>
        <w:rFonts w:hint="default"/>
      </w:rPr>
    </w:lvl>
    <w:lvl w:ilvl="4">
      <w:start w:val="1"/>
      <w:numFmt w:val="decimal"/>
      <w:lvlText w:val="%1.%2.%3.%4.%5."/>
      <w:lvlJc w:val="left"/>
      <w:pPr>
        <w:tabs>
          <w:tab w:val="num" w:pos="3366"/>
        </w:tabs>
        <w:ind w:left="3366" w:hanging="792"/>
      </w:pPr>
      <w:rPr>
        <w:rFonts w:hint="default"/>
      </w:rPr>
    </w:lvl>
    <w:lvl w:ilvl="5">
      <w:start w:val="1"/>
      <w:numFmt w:val="decimal"/>
      <w:lvlText w:val="%1.%2.%3.%4.%5.%6."/>
      <w:lvlJc w:val="left"/>
      <w:pPr>
        <w:tabs>
          <w:tab w:val="num" w:pos="3870"/>
        </w:tabs>
        <w:ind w:left="3870" w:hanging="936"/>
      </w:pPr>
      <w:rPr>
        <w:rFonts w:hint="default"/>
      </w:rPr>
    </w:lvl>
    <w:lvl w:ilvl="6">
      <w:start w:val="1"/>
      <w:numFmt w:val="decimal"/>
      <w:lvlText w:val="%1.%2.%3.%4.%5.%6.%7."/>
      <w:lvlJc w:val="left"/>
      <w:pPr>
        <w:tabs>
          <w:tab w:val="num" w:pos="4374"/>
        </w:tabs>
        <w:ind w:left="4374" w:hanging="1080"/>
      </w:pPr>
      <w:rPr>
        <w:rFonts w:hint="default"/>
      </w:rPr>
    </w:lvl>
    <w:lvl w:ilvl="7">
      <w:start w:val="1"/>
      <w:numFmt w:val="decimal"/>
      <w:lvlText w:val="%1.%2.%3.%4.%5.%6.%7.%8."/>
      <w:lvlJc w:val="left"/>
      <w:pPr>
        <w:tabs>
          <w:tab w:val="num" w:pos="4878"/>
        </w:tabs>
        <w:ind w:left="4878" w:hanging="1224"/>
      </w:pPr>
      <w:rPr>
        <w:rFonts w:hint="default"/>
      </w:rPr>
    </w:lvl>
    <w:lvl w:ilvl="8">
      <w:start w:val="1"/>
      <w:numFmt w:val="decimal"/>
      <w:lvlText w:val="%1.%2.%3.%4.%5.%6.%7.%8.%9."/>
      <w:lvlJc w:val="left"/>
      <w:pPr>
        <w:tabs>
          <w:tab w:val="num" w:pos="5454"/>
        </w:tabs>
        <w:ind w:left="5454" w:hanging="1440"/>
      </w:pPr>
      <w:rPr>
        <w:rFonts w:hint="default"/>
      </w:rPr>
    </w:lvl>
  </w:abstractNum>
  <w:abstractNum w:abstractNumId="4"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5CF85716"/>
    <w:multiLevelType w:val="hybridMultilevel"/>
    <w:tmpl w:val="6FD6CA1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8317906"/>
    <w:multiLevelType w:val="hybridMultilevel"/>
    <w:tmpl w:val="7ABAD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63221C"/>
    <w:multiLevelType w:val="hybridMultilevel"/>
    <w:tmpl w:val="A2425D38"/>
    <w:lvl w:ilvl="0" w:tplc="18BE968C">
      <w:start w:val="2"/>
      <w:numFmt w:val="upperLetter"/>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EE"/>
    <w:rsid w:val="0029478F"/>
    <w:rsid w:val="0042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2F7F"/>
  <w15:chartTrackingRefBased/>
  <w15:docId w15:val="{C97F2753-88C9-4194-BBC6-556F66E8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421CEE"/>
    <w:pPr>
      <w:spacing w:after="0" w:line="240" w:lineRule="auto"/>
    </w:pPr>
    <w:rPr>
      <w:sz w:val="20"/>
    </w:rPr>
  </w:style>
  <w:style w:type="paragraph" w:styleId="Kop1">
    <w:name w:val="heading 1"/>
    <w:aliases w:val="Hoofdstukkop,Hoofdstuk,hoofdstuk,TbsKop 1,Kop 1 Char1,Kop 1 Char Char"/>
    <w:basedOn w:val="Standaard"/>
    <w:next w:val="Standaard"/>
    <w:link w:val="Kop1Char"/>
    <w:uiPriority w:val="9"/>
    <w:qFormat/>
    <w:rsid w:val="00421CEE"/>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iPriority w:val="9"/>
    <w:unhideWhenUsed/>
    <w:qFormat/>
    <w:rsid w:val="00421CEE"/>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iPriority w:val="9"/>
    <w:unhideWhenUsed/>
    <w:qFormat/>
    <w:rsid w:val="00421CEE"/>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421CEE"/>
    <w:pPr>
      <w:keepNext/>
      <w:keepLines/>
      <w:numPr>
        <w:ilvl w:val="3"/>
      </w:numPr>
      <w:outlineLvl w:val="3"/>
    </w:pPr>
    <w:rPr>
      <w:rFonts w:eastAsiaTheme="majorEastAsia"/>
      <w:iCs/>
    </w:rPr>
  </w:style>
  <w:style w:type="paragraph" w:styleId="Kop5">
    <w:name w:val="heading 5"/>
    <w:aliases w:val="TbsKop 5"/>
    <w:basedOn w:val="Kop1"/>
    <w:next w:val="Standaard"/>
    <w:link w:val="Kop5Char"/>
    <w:uiPriority w:val="9"/>
    <w:unhideWhenUsed/>
    <w:rsid w:val="00421CEE"/>
    <w:pPr>
      <w:numPr>
        <w:ilvl w:val="4"/>
      </w:numPr>
      <w:outlineLvl w:val="4"/>
    </w:pPr>
  </w:style>
  <w:style w:type="paragraph" w:styleId="Kop6">
    <w:name w:val="heading 6"/>
    <w:aliases w:val="Tussenkop 1"/>
    <w:basedOn w:val="Standaard"/>
    <w:next w:val="Standaard"/>
    <w:link w:val="Kop6Char"/>
    <w:uiPriority w:val="9"/>
    <w:unhideWhenUsed/>
    <w:rsid w:val="00421CE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aliases w:val="Tussenkop 2"/>
    <w:basedOn w:val="Standaard"/>
    <w:next w:val="Standaard"/>
    <w:link w:val="Kop7Char"/>
    <w:uiPriority w:val="9"/>
    <w:unhideWhenUsed/>
    <w:qFormat/>
    <w:rsid w:val="00421CE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aliases w:val="Tussenkop 3"/>
    <w:basedOn w:val="Standaard"/>
    <w:next w:val="Standaard"/>
    <w:link w:val="Kop8Char"/>
    <w:uiPriority w:val="9"/>
    <w:unhideWhenUsed/>
    <w:qFormat/>
    <w:rsid w:val="00421CE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421CE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CEE"/>
    <w:rPr>
      <w:b/>
      <w:color w:val="267AA1"/>
      <w:sz w:val="40"/>
      <w:szCs w:val="40"/>
    </w:rPr>
  </w:style>
  <w:style w:type="character" w:customStyle="1" w:styleId="Kop2Char">
    <w:name w:val="Kop 2 Char"/>
    <w:aliases w:val="Heading 2 Char1 Char,Paragraaf Char"/>
    <w:basedOn w:val="Standaardalinea-lettertype"/>
    <w:link w:val="Kop2"/>
    <w:uiPriority w:val="9"/>
    <w:rsid w:val="00421CEE"/>
    <w:rPr>
      <w:rFonts w:eastAsiaTheme="majorEastAsia" w:cstheme="minorHAnsi"/>
      <w:b/>
      <w:color w:val="267AA1"/>
      <w:sz w:val="24"/>
      <w:szCs w:val="24"/>
    </w:rPr>
  </w:style>
  <w:style w:type="character" w:customStyle="1" w:styleId="Kop3Char">
    <w:name w:val="Kop 3 Char"/>
    <w:basedOn w:val="Standaardalinea-lettertype"/>
    <w:link w:val="Kop3"/>
    <w:uiPriority w:val="9"/>
    <w:rsid w:val="00421CEE"/>
    <w:rPr>
      <w:b/>
      <w:color w:val="267AA1"/>
      <w:sz w:val="24"/>
      <w:szCs w:val="24"/>
    </w:rPr>
  </w:style>
  <w:style w:type="character" w:customStyle="1" w:styleId="Kop4Char">
    <w:name w:val="Kop 4 Char"/>
    <w:basedOn w:val="Standaardalinea-lettertype"/>
    <w:link w:val="Kop4"/>
    <w:uiPriority w:val="9"/>
    <w:rsid w:val="00421CEE"/>
    <w:rPr>
      <w:rFonts w:eastAsiaTheme="majorEastAsia"/>
      <w:b/>
      <w:iCs/>
      <w:color w:val="267AA1"/>
      <w:sz w:val="24"/>
      <w:szCs w:val="24"/>
    </w:rPr>
  </w:style>
  <w:style w:type="character" w:customStyle="1" w:styleId="Kop5Char">
    <w:name w:val="Kop 5 Char"/>
    <w:basedOn w:val="Standaardalinea-lettertype"/>
    <w:link w:val="Kop5"/>
    <w:uiPriority w:val="9"/>
    <w:rsid w:val="00421CEE"/>
    <w:rPr>
      <w:b/>
      <w:color w:val="267AA1"/>
      <w:sz w:val="40"/>
      <w:szCs w:val="40"/>
    </w:rPr>
  </w:style>
  <w:style w:type="character" w:customStyle="1" w:styleId="Kop6Char">
    <w:name w:val="Kop 6 Char"/>
    <w:basedOn w:val="Standaardalinea-lettertype"/>
    <w:link w:val="Kop6"/>
    <w:uiPriority w:val="9"/>
    <w:rsid w:val="00421CEE"/>
    <w:rPr>
      <w:rFonts w:asciiTheme="majorHAnsi" w:eastAsiaTheme="majorEastAsia" w:hAnsiTheme="majorHAnsi" w:cstheme="majorBidi"/>
      <w:color w:val="1F3763" w:themeColor="accent1" w:themeShade="7F"/>
      <w:sz w:val="20"/>
    </w:rPr>
  </w:style>
  <w:style w:type="character" w:customStyle="1" w:styleId="Kop7Char">
    <w:name w:val="Kop 7 Char"/>
    <w:basedOn w:val="Standaardalinea-lettertype"/>
    <w:link w:val="Kop7"/>
    <w:uiPriority w:val="9"/>
    <w:rsid w:val="00421CEE"/>
    <w:rPr>
      <w:rFonts w:asciiTheme="majorHAnsi" w:eastAsiaTheme="majorEastAsia" w:hAnsiTheme="majorHAnsi" w:cstheme="majorBidi"/>
      <w:i/>
      <w:iCs/>
      <w:color w:val="1F3763" w:themeColor="accent1" w:themeShade="7F"/>
      <w:sz w:val="20"/>
    </w:rPr>
  </w:style>
  <w:style w:type="character" w:customStyle="1" w:styleId="Kop8Char">
    <w:name w:val="Kop 8 Char"/>
    <w:basedOn w:val="Standaardalinea-lettertype"/>
    <w:link w:val="Kop8"/>
    <w:uiPriority w:val="9"/>
    <w:rsid w:val="00421CE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21CEE"/>
    <w:rPr>
      <w:rFonts w:asciiTheme="majorHAnsi" w:eastAsiaTheme="majorEastAsia" w:hAnsiTheme="majorHAnsi" w:cstheme="majorBidi"/>
      <w:i/>
      <w:iCs/>
      <w:color w:val="272727" w:themeColor="text1" w:themeTint="D8"/>
      <w:sz w:val="21"/>
      <w:szCs w:val="21"/>
    </w:rPr>
  </w:style>
  <w:style w:type="paragraph" w:styleId="Geenafstand">
    <w:name w:val="No Spacing"/>
    <w:basedOn w:val="Standaard"/>
    <w:uiPriority w:val="1"/>
    <w:qFormat/>
    <w:rsid w:val="00421CEE"/>
  </w:style>
  <w:style w:type="paragraph" w:styleId="Lijstalinea">
    <w:name w:val="List Paragraph"/>
    <w:basedOn w:val="Standaard"/>
    <w:uiPriority w:val="34"/>
    <w:qFormat/>
    <w:rsid w:val="00421CEE"/>
    <w:pPr>
      <w:numPr>
        <w:numId w:val="2"/>
      </w:numPr>
      <w:contextualSpacing/>
    </w:pPr>
    <w:rPr>
      <w:rFonts w:ascii="Calibri" w:hAnsi="Calibri" w:cs="Times New Roman"/>
      <w:szCs w:val="20"/>
    </w:rPr>
  </w:style>
  <w:style w:type="paragraph" w:styleId="Normaalweb">
    <w:name w:val="Normal (Web)"/>
    <w:basedOn w:val="Standaard"/>
    <w:uiPriority w:val="99"/>
    <w:rsid w:val="00421CEE"/>
    <w:pPr>
      <w:spacing w:before="100" w:beforeAutospacing="1" w:after="100" w:afterAutospacing="1"/>
    </w:pPr>
    <w:rPr>
      <w:rFonts w:ascii="Times New Roman" w:eastAsia="Times New Roman" w:hAnsi="Times New Roman" w:cs="Times New Roman"/>
      <w:sz w:val="24"/>
      <w:szCs w:val="24"/>
      <w:lang w:val="en-US"/>
    </w:rPr>
  </w:style>
  <w:style w:type="paragraph" w:customStyle="1" w:styleId="PvEKop2">
    <w:name w:val="PvE Kop 2"/>
    <w:basedOn w:val="Standaard"/>
    <w:next w:val="Standaard"/>
    <w:link w:val="PvEKop2Char"/>
    <w:qFormat/>
    <w:rsid w:val="00421CEE"/>
    <w:pPr>
      <w:numPr>
        <w:ilvl w:val="1"/>
        <w:numId w:val="3"/>
      </w:numPr>
    </w:pPr>
    <w:rPr>
      <w:rFonts w:ascii="Verdana" w:eastAsia="SimSun" w:hAnsi="Verdana" w:cs="Times New Roman"/>
      <w:b/>
      <w:szCs w:val="20"/>
      <w:lang w:eastAsia="zh-CN"/>
    </w:rPr>
  </w:style>
  <w:style w:type="character" w:customStyle="1" w:styleId="PvEKop2Char">
    <w:name w:val="PvE Kop 2 Char"/>
    <w:link w:val="PvEKop2"/>
    <w:rsid w:val="00421CEE"/>
    <w:rPr>
      <w:rFonts w:ascii="Verdana" w:eastAsia="SimSun" w:hAnsi="Verdana" w:cs="Times New Roman"/>
      <w:b/>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C82D1BB0.dotm</Template>
  <TotalTime>1</TotalTime>
  <Pages>2</Pages>
  <Words>971</Words>
  <Characters>5345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Gemeente Almere</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 RC (Rolf)</dc:creator>
  <cp:keywords/>
  <dc:description/>
  <cp:lastModifiedBy>Pot RC (Rolf)</cp:lastModifiedBy>
  <cp:revision>1</cp:revision>
  <dcterms:created xsi:type="dcterms:W3CDTF">2022-05-12T12:34:00Z</dcterms:created>
  <dcterms:modified xsi:type="dcterms:W3CDTF">2022-05-12T12:35:00Z</dcterms:modified>
</cp:coreProperties>
</file>