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6" w:type="dxa"/>
        <w:tblInd w:w="-1134" w:type="dxa"/>
        <w:tblLayout w:type="fixed"/>
        <w:tblCellMar>
          <w:top w:w="181" w:type="dxa"/>
          <w:left w:w="181" w:type="dxa"/>
          <w:bottom w:w="181" w:type="dxa"/>
          <w:right w:w="181" w:type="dxa"/>
        </w:tblCellMar>
        <w:tblLook w:val="04A0" w:firstRow="1" w:lastRow="0" w:firstColumn="1" w:lastColumn="0" w:noHBand="0" w:noVBand="1"/>
      </w:tblPr>
      <w:tblGrid>
        <w:gridCol w:w="4598"/>
        <w:gridCol w:w="4808"/>
      </w:tblGrid>
      <w:tr w:rsidR="00A12567" w:rsidRPr="000D54E0" w14:paraId="54ED2AE7" w14:textId="77777777" w:rsidTr="0009737D">
        <w:trPr>
          <w:trHeight w:hRule="exact" w:val="340"/>
        </w:trPr>
        <w:tc>
          <w:tcPr>
            <w:tcW w:w="4598" w:type="dxa"/>
          </w:tcPr>
          <w:p w14:paraId="1B222D28" w14:textId="77777777" w:rsidR="00A12567" w:rsidRPr="000D54E0" w:rsidRDefault="00A12567" w:rsidP="00D41C42">
            <w:pPr>
              <w:spacing w:after="200" w:line="240" w:lineRule="auto"/>
              <w:rPr>
                <w:rFonts w:ascii="Calibri" w:hAnsi="Calibri"/>
                <w:sz w:val="22"/>
                <w:szCs w:val="22"/>
              </w:rPr>
            </w:pPr>
            <w:bookmarkStart w:id="0" w:name="_Hlk34722333"/>
            <w:bookmarkEnd w:id="0"/>
          </w:p>
        </w:tc>
        <w:tc>
          <w:tcPr>
            <w:tcW w:w="4808" w:type="dxa"/>
          </w:tcPr>
          <w:p w14:paraId="092B15BA" w14:textId="77777777" w:rsidR="00A12567" w:rsidRPr="000D54E0" w:rsidRDefault="00A12567" w:rsidP="00D41C42">
            <w:pPr>
              <w:spacing w:after="200" w:line="240" w:lineRule="auto"/>
              <w:rPr>
                <w:rFonts w:ascii="Calibri" w:hAnsi="Calibri"/>
                <w:sz w:val="22"/>
                <w:szCs w:val="22"/>
              </w:rPr>
            </w:pPr>
          </w:p>
        </w:tc>
      </w:tr>
    </w:tbl>
    <w:p w14:paraId="2993D1D0" w14:textId="77777777" w:rsidR="0009737D" w:rsidRPr="008B1377" w:rsidRDefault="00FE0D0E" w:rsidP="00D41C42">
      <w:pPr>
        <w:pStyle w:val="DOHidden"/>
        <w:framePr w:wrap="around"/>
        <w:spacing w:line="240" w:lineRule="auto"/>
      </w:pPr>
      <w:r w:rsidRPr="008B1377">
        <mc:AlternateContent>
          <mc:Choice Requires="wps">
            <w:drawing>
              <wp:anchor distT="0" distB="0" distL="114300" distR="114300" simplePos="0" relativeHeight="251657728" behindDoc="1" locked="1" layoutInCell="0" allowOverlap="1" wp14:anchorId="586BA969" wp14:editId="354F13B6">
                <wp:simplePos x="0" y="0"/>
                <wp:positionH relativeFrom="page">
                  <wp:posOffset>-151130</wp:posOffset>
                </wp:positionH>
                <wp:positionV relativeFrom="page">
                  <wp:posOffset>0</wp:posOffset>
                </wp:positionV>
                <wp:extent cx="7700400" cy="2815200"/>
                <wp:effectExtent l="0" t="0" r="15240" b="23495"/>
                <wp:wrapNone/>
                <wp:docPr id="8"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0400" cy="2815200"/>
                        </a:xfrm>
                        <a:prstGeom prst="rect">
                          <a:avLst/>
                        </a:prstGeom>
                        <a:solidFill>
                          <a:srgbClr val="CF6045"/>
                        </a:solidFill>
                        <a:ln w="25400" cap="flat" cmpd="sng" algn="ctr">
                          <a:solidFill>
                            <a:srgbClr val="CF6045"/>
                          </a:solidFill>
                          <a:prstDash val="solid"/>
                        </a:ln>
                        <a:effectLst/>
                      </wps:spPr>
                      <wps:txbx>
                        <w:txbxContent>
                          <w:p w14:paraId="4CB0E59D" w14:textId="77777777" w:rsidR="00D41C42" w:rsidRPr="00A12567" w:rsidRDefault="00D41C42" w:rsidP="00FE0D0E">
                            <w:pPr>
                              <w:rPr>
                                <w:rFonts w:ascii="Calibri" w:hAnsi="Calibri"/>
                                <w:color w:val="FFFFFF"/>
                              </w:rPr>
                            </w:pPr>
                            <w:r>
                              <w:rPr>
                                <w:rFonts w:ascii="Calibri" w:hAnsi="Calibri"/>
                                <w:noProof/>
                                <w:color w:val="FFFFFF"/>
                              </w:rPr>
                              <w:drawing>
                                <wp:inline distT="0" distB="0" distL="0" distR="0" wp14:anchorId="05A6DE79" wp14:editId="6DB17B0E">
                                  <wp:extent cx="3056890" cy="1685290"/>
                                  <wp:effectExtent l="0" t="0" r="0" b="0"/>
                                  <wp:docPr id="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890" cy="168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C9156D">
              <v:rect id="Rechthoek 10" style="position:absolute;margin-left:-11.9pt;margin-top:0;width:606.35pt;height:22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o:allowincell="f" fillcolor="#cf6045" strokecolor="#cf6045" strokeweight="2pt" w14:anchorId="586BA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">
                <v:path arrowok="t"/>
                <v:textbox>
                  <w:txbxContent>
                    <w:p w:rsidRPr="00A12567" w:rsidR="00D41C42" w:rsidP="00FE0D0E" w:rsidRDefault="00D41C42" w14:paraId="672A6659" w14:textId="77777777">
                      <w:pPr>
                        <w:rPr>
                          <w:rFonts w:ascii="Calibri" w:hAnsi="Calibri"/>
                          <w:color w:val="FFFFFF"/>
                        </w:rPr>
                      </w:pPr>
                      <w:r>
                        <w:rPr>
                          <w:rFonts w:ascii="Calibri" w:hAnsi="Calibri"/>
                          <w:noProof/>
                          <w:color w:val="FFFFFF"/>
                        </w:rPr>
                        <w:drawing>
                          <wp:inline distT="0" distB="0" distL="0" distR="0" wp14:anchorId="07EA124F" wp14:editId="6DB17B0E">
                            <wp:extent cx="3056890" cy="1685290"/>
                            <wp:effectExtent l="0" t="0" r="0" b="0"/>
                            <wp:docPr id="149431995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6890" cy="1685290"/>
                                    </a:xfrm>
                                    <a:prstGeom prst="rect">
                                      <a:avLst/>
                                    </a:prstGeom>
                                    <a:noFill/>
                                    <a:ln>
                                      <a:noFill/>
                                    </a:ln>
                                  </pic:spPr>
                                </pic:pic>
                              </a:graphicData>
                            </a:graphic>
                          </wp:inline>
                        </w:drawing>
                      </w:r>
                    </w:p>
                  </w:txbxContent>
                </v:textbox>
                <w10:wrap anchorx="page" anchory="page"/>
                <w10:anchorlock/>
              </v:rect>
            </w:pict>
          </mc:Fallback>
        </mc:AlternateContent>
      </w:r>
      <w:r w:rsidR="0009737D" w:rsidRPr="008B1377">
        <w:drawing>
          <wp:anchor distT="0" distB="0" distL="114300" distR="114300" simplePos="0" relativeHeight="251656704" behindDoc="1" locked="1" layoutInCell="0" allowOverlap="1" wp14:anchorId="35B3FC8B" wp14:editId="4A7DA9D6">
            <wp:simplePos x="0" y="0"/>
            <wp:positionH relativeFrom="page">
              <wp:posOffset>-1119505</wp:posOffset>
            </wp:positionH>
            <wp:positionV relativeFrom="page">
              <wp:posOffset>2822575</wp:posOffset>
            </wp:positionV>
            <wp:extent cx="10512000" cy="7884000"/>
            <wp:effectExtent l="0" t="0" r="3810" b="3175"/>
            <wp:wrapNone/>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2000" cy="7884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06" w:type="dxa"/>
        <w:tblInd w:w="-1134" w:type="dxa"/>
        <w:tblLayout w:type="fixed"/>
        <w:tblCellMar>
          <w:top w:w="181" w:type="dxa"/>
          <w:left w:w="181" w:type="dxa"/>
          <w:bottom w:w="181" w:type="dxa"/>
          <w:right w:w="181" w:type="dxa"/>
        </w:tblCellMar>
        <w:tblLook w:val="04A0" w:firstRow="1" w:lastRow="0" w:firstColumn="1" w:lastColumn="0" w:noHBand="0" w:noVBand="1"/>
      </w:tblPr>
      <w:tblGrid>
        <w:gridCol w:w="4598"/>
        <w:gridCol w:w="4808"/>
      </w:tblGrid>
      <w:tr w:rsidR="0057386A" w:rsidRPr="008B1377" w14:paraId="64C5FD7A" w14:textId="77777777" w:rsidTr="00CB52F9">
        <w:trPr>
          <w:trHeight w:hRule="exact" w:val="340"/>
        </w:trPr>
        <w:tc>
          <w:tcPr>
            <w:tcW w:w="4598" w:type="dxa"/>
          </w:tcPr>
          <w:p w14:paraId="26E4CFA3" w14:textId="77777777" w:rsidR="0057386A" w:rsidRPr="008B1377" w:rsidRDefault="0057386A" w:rsidP="00D41C42">
            <w:pPr>
              <w:spacing w:line="240" w:lineRule="auto"/>
              <w:rPr>
                <w:noProof/>
              </w:rPr>
            </w:pPr>
          </w:p>
        </w:tc>
        <w:tc>
          <w:tcPr>
            <w:tcW w:w="4808" w:type="dxa"/>
            <w:tcBorders>
              <w:bottom w:val="single" w:sz="18" w:space="0" w:color="CF6045"/>
            </w:tcBorders>
          </w:tcPr>
          <w:p w14:paraId="32FE6719" w14:textId="77777777" w:rsidR="0057386A" w:rsidRPr="008B1377" w:rsidRDefault="0057386A" w:rsidP="00D41C42">
            <w:pPr>
              <w:spacing w:after="200" w:line="240" w:lineRule="auto"/>
              <w:rPr>
                <w:rFonts w:ascii="Calibri" w:hAnsi="Calibri"/>
                <w:sz w:val="22"/>
                <w:szCs w:val="22"/>
              </w:rPr>
            </w:pPr>
          </w:p>
        </w:tc>
      </w:tr>
      <w:tr w:rsidR="006A72BA" w:rsidRPr="008B1377" w14:paraId="239F4A93" w14:textId="77777777" w:rsidTr="00DE3249">
        <w:trPr>
          <w:trHeight w:hRule="exact" w:val="1417"/>
        </w:trPr>
        <w:tc>
          <w:tcPr>
            <w:tcW w:w="9406" w:type="dxa"/>
            <w:gridSpan w:val="2"/>
            <w:tcBorders>
              <w:top w:val="single" w:sz="18" w:space="0" w:color="CF6045"/>
              <w:left w:val="single" w:sz="18" w:space="0" w:color="CF6045"/>
              <w:bottom w:val="single" w:sz="18" w:space="0" w:color="CF6045"/>
              <w:right w:val="single" w:sz="18" w:space="0" w:color="CF6045"/>
            </w:tcBorders>
            <w:shd w:val="solid" w:color="FFFFFF" w:fill="auto"/>
            <w:vAlign w:val="center"/>
          </w:tcPr>
          <w:p w14:paraId="2909ED1D" w14:textId="77777777" w:rsidR="006A72BA" w:rsidRPr="008B1377" w:rsidRDefault="00601348" w:rsidP="00D41C42">
            <w:pPr>
              <w:pStyle w:val="DODocTitle"/>
              <w:spacing w:line="240" w:lineRule="auto"/>
              <w:jc w:val="left"/>
              <w:rPr>
                <w:szCs w:val="48"/>
              </w:rPr>
            </w:pPr>
            <w:bookmarkStart w:id="1" w:name="bmTitle" w:colFirst="0" w:colLast="0"/>
            <w:r w:rsidRPr="008B1377">
              <w:rPr>
                <w:szCs w:val="48"/>
              </w:rPr>
              <w:t>Informatiebeleid 20</w:t>
            </w:r>
            <w:r w:rsidR="003E1ECF" w:rsidRPr="008B1377">
              <w:rPr>
                <w:szCs w:val="48"/>
              </w:rPr>
              <w:t>20</w:t>
            </w:r>
            <w:r w:rsidRPr="008B1377">
              <w:rPr>
                <w:szCs w:val="48"/>
              </w:rPr>
              <w:t>-2021</w:t>
            </w:r>
          </w:p>
          <w:p w14:paraId="1A9A1188" w14:textId="2E3603D7" w:rsidR="006F1D8B" w:rsidRPr="008B1377" w:rsidRDefault="006F1D8B" w:rsidP="00D41C42">
            <w:pPr>
              <w:pStyle w:val="DODocTitle"/>
              <w:spacing w:line="240" w:lineRule="auto"/>
              <w:jc w:val="left"/>
              <w:rPr>
                <w:i/>
                <w:iCs/>
                <w:sz w:val="28"/>
                <w:szCs w:val="28"/>
              </w:rPr>
            </w:pPr>
            <w:r w:rsidRPr="008B1377">
              <w:rPr>
                <w:i/>
                <w:iCs/>
                <w:sz w:val="28"/>
                <w:szCs w:val="28"/>
              </w:rPr>
              <w:t>Geschikt voor externe publicatie</w:t>
            </w:r>
          </w:p>
        </w:tc>
      </w:tr>
      <w:bookmarkEnd w:id="1"/>
      <w:tr w:rsidR="006A72BA" w:rsidRPr="008B1377" w14:paraId="579C6C89" w14:textId="77777777" w:rsidTr="002D715B">
        <w:trPr>
          <w:cantSplit/>
          <w:trHeight w:hRule="exact" w:val="8505"/>
        </w:trPr>
        <w:tc>
          <w:tcPr>
            <w:tcW w:w="4598" w:type="dxa"/>
          </w:tcPr>
          <w:p w14:paraId="30FCBDC6" w14:textId="77777777" w:rsidR="006A72BA" w:rsidRPr="008B1377" w:rsidRDefault="006A72BA" w:rsidP="00D41C42">
            <w:pPr>
              <w:spacing w:after="200" w:line="240" w:lineRule="auto"/>
              <w:rPr>
                <w:rFonts w:ascii="Calibri" w:hAnsi="Calibri"/>
                <w:sz w:val="22"/>
                <w:szCs w:val="22"/>
              </w:rPr>
            </w:pPr>
          </w:p>
        </w:tc>
        <w:tc>
          <w:tcPr>
            <w:tcW w:w="4808" w:type="dxa"/>
            <w:tcBorders>
              <w:top w:val="single" w:sz="18" w:space="0" w:color="CF6045"/>
              <w:bottom w:val="single" w:sz="18" w:space="0" w:color="CF6045"/>
            </w:tcBorders>
          </w:tcPr>
          <w:p w14:paraId="6B091CA2" w14:textId="77777777" w:rsidR="006A72BA" w:rsidRPr="008B1377" w:rsidRDefault="006A72BA" w:rsidP="00D41C42">
            <w:pPr>
              <w:spacing w:after="200" w:line="240" w:lineRule="auto"/>
              <w:rPr>
                <w:rFonts w:ascii="Calibri" w:hAnsi="Calibri"/>
                <w:sz w:val="22"/>
                <w:szCs w:val="22"/>
              </w:rPr>
            </w:pPr>
          </w:p>
        </w:tc>
      </w:tr>
      <w:tr w:rsidR="00A12567" w:rsidRPr="008B1377" w14:paraId="71CE572C" w14:textId="77777777" w:rsidTr="002D715B">
        <w:trPr>
          <w:cantSplit/>
          <w:trHeight w:hRule="exact" w:val="1565"/>
        </w:trPr>
        <w:tc>
          <w:tcPr>
            <w:tcW w:w="4598" w:type="dxa"/>
            <w:tcBorders>
              <w:right w:val="single" w:sz="18" w:space="0" w:color="CF6045"/>
            </w:tcBorders>
          </w:tcPr>
          <w:p w14:paraId="26FC9D03" w14:textId="77777777" w:rsidR="00A12567" w:rsidRPr="008B1377" w:rsidRDefault="00A12567" w:rsidP="00D41C42">
            <w:pPr>
              <w:spacing w:after="200" w:line="240" w:lineRule="auto"/>
              <w:rPr>
                <w:rFonts w:ascii="Calibri" w:hAnsi="Calibri"/>
                <w:sz w:val="22"/>
                <w:szCs w:val="22"/>
              </w:rPr>
            </w:pPr>
          </w:p>
        </w:tc>
        <w:tc>
          <w:tcPr>
            <w:tcW w:w="4808" w:type="dxa"/>
            <w:tcBorders>
              <w:top w:val="single" w:sz="18" w:space="0" w:color="CF6045"/>
              <w:left w:val="single" w:sz="18" w:space="0" w:color="CF6045"/>
              <w:bottom w:val="single" w:sz="18" w:space="0" w:color="CF6045"/>
              <w:right w:val="single" w:sz="18" w:space="0" w:color="CF6045"/>
            </w:tcBorders>
            <w:shd w:val="solid" w:color="FFFFFF" w:fill="auto"/>
            <w:vAlign w:val="center"/>
          </w:tcPr>
          <w:p w14:paraId="23B9293C" w14:textId="77777777" w:rsidR="002D715B" w:rsidRPr="008B1377" w:rsidRDefault="002D715B" w:rsidP="00D41C42">
            <w:pPr>
              <w:pStyle w:val="DOUnit"/>
              <w:spacing w:line="240" w:lineRule="auto"/>
              <w:jc w:val="left"/>
            </w:pPr>
          </w:p>
          <w:p w14:paraId="116FAE07" w14:textId="4B2B2EC7" w:rsidR="002D715B" w:rsidRPr="008B1377" w:rsidRDefault="00D41C42" w:rsidP="00D41C42">
            <w:pPr>
              <w:pStyle w:val="DOUnit"/>
              <w:spacing w:line="240" w:lineRule="auto"/>
              <w:jc w:val="left"/>
            </w:pPr>
            <w:r w:rsidRPr="008B1377">
              <w:t>31</w:t>
            </w:r>
            <w:r w:rsidR="00F76AEC" w:rsidRPr="008B1377">
              <w:t xml:space="preserve"> maart</w:t>
            </w:r>
            <w:r w:rsidR="00CE4578" w:rsidRPr="008B1377">
              <w:t xml:space="preserve"> 20</w:t>
            </w:r>
            <w:r w:rsidR="003E1ECF" w:rsidRPr="008B1377">
              <w:t>20</w:t>
            </w:r>
          </w:p>
          <w:p w14:paraId="0474041C" w14:textId="1A37D442" w:rsidR="002D715B" w:rsidRPr="008B1377" w:rsidRDefault="00EA0E47" w:rsidP="00D41C42">
            <w:pPr>
              <w:pStyle w:val="DOUnit"/>
              <w:spacing w:line="240" w:lineRule="auto"/>
              <w:jc w:val="left"/>
            </w:pPr>
            <w:bookmarkStart w:id="2" w:name="bmVersion1"/>
            <w:r w:rsidRPr="008B1377">
              <w:t xml:space="preserve"> </w:t>
            </w:r>
            <w:bookmarkEnd w:id="2"/>
            <w:r w:rsidR="006822F2" w:rsidRPr="008B1377">
              <w:t>V</w:t>
            </w:r>
            <w:r w:rsidR="00DF13F5" w:rsidRPr="008B1377">
              <w:t xml:space="preserve">ersie </w:t>
            </w:r>
            <w:r w:rsidR="00D41C42" w:rsidRPr="008B1377">
              <w:t>2.0</w:t>
            </w:r>
          </w:p>
        </w:tc>
      </w:tr>
    </w:tbl>
    <w:p w14:paraId="3F3A9AAA" w14:textId="77777777" w:rsidR="001376FC" w:rsidRPr="008B1377" w:rsidRDefault="001376FC" w:rsidP="00D41C42">
      <w:pPr>
        <w:spacing w:line="240" w:lineRule="auto"/>
        <w:sectPr w:rsidR="001376FC" w:rsidRPr="008B1377" w:rsidSect="00332F70">
          <w:headerReference w:type="even" r:id="rId17"/>
          <w:headerReference w:type="default" r:id="rId18"/>
          <w:footerReference w:type="even" r:id="rId19"/>
          <w:footerReference w:type="default" r:id="rId20"/>
          <w:footerReference w:type="first" r:id="rId21"/>
          <w:type w:val="continuous"/>
          <w:pgSz w:w="11906" w:h="16838" w:code="9"/>
          <w:pgMar w:top="2518" w:right="1525" w:bottom="1021" w:left="2654" w:header="199" w:footer="658" w:gutter="0"/>
          <w:paperSrc w:first="7" w:other="7"/>
          <w:pgNumType w:start="0"/>
          <w:cols w:space="708"/>
          <w:titlePg/>
          <w:docGrid w:linePitch="360"/>
        </w:sectPr>
      </w:pPr>
      <w:bookmarkStart w:id="4" w:name="_Toc209500289"/>
      <w:bookmarkStart w:id="5" w:name="_Toc209500355"/>
    </w:p>
    <w:bookmarkEnd w:id="5" w:displacedByCustomXml="next"/>
    <w:bookmarkEnd w:id="4" w:displacedByCustomXml="next"/>
    <w:sdt>
      <w:sdtPr>
        <w:rPr>
          <w:b w:val="0"/>
          <w:bCs w:val="0"/>
          <w:color w:val="auto"/>
          <w:sz w:val="18"/>
          <w:szCs w:val="18"/>
        </w:rPr>
        <w:id w:val="1737434610"/>
        <w:docPartObj>
          <w:docPartGallery w:val="Table of Contents"/>
          <w:docPartUnique/>
        </w:docPartObj>
      </w:sdtPr>
      <w:sdtEndPr/>
      <w:sdtContent>
        <w:p w14:paraId="464C4EE4" w14:textId="77777777" w:rsidR="00AE0A2C" w:rsidRPr="008B1377" w:rsidRDefault="00AE0A2C" w:rsidP="00D41C42">
          <w:pPr>
            <w:pStyle w:val="Kopvaninhoudsopgave"/>
            <w:spacing w:line="240" w:lineRule="auto"/>
          </w:pPr>
          <w:r w:rsidRPr="008B1377">
            <w:t>Inhoud</w:t>
          </w:r>
        </w:p>
        <w:p w14:paraId="44E700E1" w14:textId="4B43C765" w:rsidR="006E56C5" w:rsidRDefault="00AE0A2C">
          <w:pPr>
            <w:pStyle w:val="Inhopg1"/>
            <w:rPr>
              <w:rFonts w:asciiTheme="minorHAnsi" w:eastAsiaTheme="minorEastAsia" w:hAnsiTheme="minorHAnsi" w:cstheme="minorBidi"/>
              <w:sz w:val="22"/>
              <w:szCs w:val="22"/>
            </w:rPr>
          </w:pPr>
          <w:r w:rsidRPr="008B1377">
            <w:fldChar w:fldCharType="begin"/>
          </w:r>
          <w:r w:rsidRPr="008B1377">
            <w:instrText xml:space="preserve"> TOC \o "1-3" \h \z \u </w:instrText>
          </w:r>
          <w:r w:rsidRPr="008B1377">
            <w:fldChar w:fldCharType="separate"/>
          </w:r>
          <w:hyperlink w:anchor="_Toc64982949" w:history="1">
            <w:r w:rsidR="006E56C5" w:rsidRPr="002F55D1">
              <w:rPr>
                <w:rStyle w:val="Hyperlink"/>
              </w:rPr>
              <w:t>1</w:t>
            </w:r>
            <w:r w:rsidR="006E56C5">
              <w:rPr>
                <w:rFonts w:asciiTheme="minorHAnsi" w:eastAsiaTheme="minorEastAsia" w:hAnsiTheme="minorHAnsi" w:cstheme="minorBidi"/>
                <w:sz w:val="22"/>
                <w:szCs w:val="22"/>
              </w:rPr>
              <w:tab/>
            </w:r>
            <w:r w:rsidR="006E56C5" w:rsidRPr="002F55D1">
              <w:rPr>
                <w:rStyle w:val="Hyperlink"/>
              </w:rPr>
              <w:t>Inleiding</w:t>
            </w:r>
            <w:r w:rsidR="006E56C5">
              <w:rPr>
                <w:webHidden/>
              </w:rPr>
              <w:tab/>
            </w:r>
            <w:r w:rsidR="006E56C5">
              <w:rPr>
                <w:webHidden/>
              </w:rPr>
              <w:fldChar w:fldCharType="begin"/>
            </w:r>
            <w:r w:rsidR="006E56C5">
              <w:rPr>
                <w:webHidden/>
              </w:rPr>
              <w:instrText xml:space="preserve"> PAGEREF _Toc64982949 \h </w:instrText>
            </w:r>
            <w:r w:rsidR="006E56C5">
              <w:rPr>
                <w:webHidden/>
              </w:rPr>
            </w:r>
            <w:r w:rsidR="006E56C5">
              <w:rPr>
                <w:webHidden/>
              </w:rPr>
              <w:fldChar w:fldCharType="separate"/>
            </w:r>
            <w:r w:rsidR="006E56C5">
              <w:rPr>
                <w:webHidden/>
              </w:rPr>
              <w:t>4</w:t>
            </w:r>
            <w:r w:rsidR="006E56C5">
              <w:rPr>
                <w:webHidden/>
              </w:rPr>
              <w:fldChar w:fldCharType="end"/>
            </w:r>
          </w:hyperlink>
        </w:p>
        <w:p w14:paraId="6D198F1A" w14:textId="3CDE848C" w:rsidR="006E56C5" w:rsidRDefault="006B2D11">
          <w:pPr>
            <w:pStyle w:val="Inhopg2"/>
            <w:rPr>
              <w:rFonts w:asciiTheme="minorHAnsi" w:eastAsiaTheme="minorEastAsia" w:hAnsiTheme="minorHAnsi" w:cstheme="minorBidi"/>
              <w:sz w:val="22"/>
              <w:szCs w:val="22"/>
            </w:rPr>
          </w:pPr>
          <w:hyperlink w:anchor="_Toc64982950" w:history="1">
            <w:r w:rsidR="006E56C5" w:rsidRPr="002F55D1">
              <w:rPr>
                <w:rStyle w:val="Hyperlink"/>
              </w:rPr>
              <w:t>1.1</w:t>
            </w:r>
            <w:r w:rsidR="006E56C5">
              <w:rPr>
                <w:rFonts w:asciiTheme="minorHAnsi" w:eastAsiaTheme="minorEastAsia" w:hAnsiTheme="minorHAnsi" w:cstheme="minorBidi"/>
                <w:sz w:val="22"/>
                <w:szCs w:val="22"/>
              </w:rPr>
              <w:tab/>
            </w:r>
            <w:r w:rsidR="006E56C5" w:rsidRPr="002F55D1">
              <w:rPr>
                <w:rStyle w:val="Hyperlink"/>
              </w:rPr>
              <w:t>Aanleiding</w:t>
            </w:r>
            <w:r w:rsidR="006E56C5">
              <w:rPr>
                <w:webHidden/>
              </w:rPr>
              <w:tab/>
            </w:r>
            <w:r w:rsidR="006E56C5">
              <w:rPr>
                <w:webHidden/>
              </w:rPr>
              <w:fldChar w:fldCharType="begin"/>
            </w:r>
            <w:r w:rsidR="006E56C5">
              <w:rPr>
                <w:webHidden/>
              </w:rPr>
              <w:instrText xml:space="preserve"> PAGEREF _Toc64982950 \h </w:instrText>
            </w:r>
            <w:r w:rsidR="006E56C5">
              <w:rPr>
                <w:webHidden/>
              </w:rPr>
            </w:r>
            <w:r w:rsidR="006E56C5">
              <w:rPr>
                <w:webHidden/>
              </w:rPr>
              <w:fldChar w:fldCharType="separate"/>
            </w:r>
            <w:r w:rsidR="006E56C5">
              <w:rPr>
                <w:webHidden/>
              </w:rPr>
              <w:t>4</w:t>
            </w:r>
            <w:r w:rsidR="006E56C5">
              <w:rPr>
                <w:webHidden/>
              </w:rPr>
              <w:fldChar w:fldCharType="end"/>
            </w:r>
          </w:hyperlink>
        </w:p>
        <w:p w14:paraId="0893D0B5" w14:textId="6D63B46F" w:rsidR="006E56C5" w:rsidRDefault="006B2D11">
          <w:pPr>
            <w:pStyle w:val="Inhopg2"/>
            <w:rPr>
              <w:rFonts w:asciiTheme="minorHAnsi" w:eastAsiaTheme="minorEastAsia" w:hAnsiTheme="minorHAnsi" w:cstheme="minorBidi"/>
              <w:sz w:val="22"/>
              <w:szCs w:val="22"/>
            </w:rPr>
          </w:pPr>
          <w:hyperlink w:anchor="_Toc64982951" w:history="1">
            <w:r w:rsidR="006E56C5" w:rsidRPr="002F55D1">
              <w:rPr>
                <w:rStyle w:val="Hyperlink"/>
              </w:rPr>
              <w:t>1.2</w:t>
            </w:r>
            <w:r w:rsidR="006E56C5">
              <w:rPr>
                <w:rFonts w:asciiTheme="minorHAnsi" w:eastAsiaTheme="minorEastAsia" w:hAnsiTheme="minorHAnsi" w:cstheme="minorBidi"/>
                <w:sz w:val="22"/>
                <w:szCs w:val="22"/>
              </w:rPr>
              <w:tab/>
            </w:r>
            <w:r w:rsidR="006E56C5" w:rsidRPr="002F55D1">
              <w:rPr>
                <w:rStyle w:val="Hyperlink"/>
              </w:rPr>
              <w:t>Informatiedoelstellingen</w:t>
            </w:r>
            <w:r w:rsidR="006E56C5">
              <w:rPr>
                <w:webHidden/>
              </w:rPr>
              <w:tab/>
            </w:r>
            <w:r w:rsidR="006E56C5">
              <w:rPr>
                <w:webHidden/>
              </w:rPr>
              <w:fldChar w:fldCharType="begin"/>
            </w:r>
            <w:r w:rsidR="006E56C5">
              <w:rPr>
                <w:webHidden/>
              </w:rPr>
              <w:instrText xml:space="preserve"> PAGEREF _Toc64982951 \h </w:instrText>
            </w:r>
            <w:r w:rsidR="006E56C5">
              <w:rPr>
                <w:webHidden/>
              </w:rPr>
            </w:r>
            <w:r w:rsidR="006E56C5">
              <w:rPr>
                <w:webHidden/>
              </w:rPr>
              <w:fldChar w:fldCharType="separate"/>
            </w:r>
            <w:r w:rsidR="006E56C5">
              <w:rPr>
                <w:webHidden/>
              </w:rPr>
              <w:t>4</w:t>
            </w:r>
            <w:r w:rsidR="006E56C5">
              <w:rPr>
                <w:webHidden/>
              </w:rPr>
              <w:fldChar w:fldCharType="end"/>
            </w:r>
          </w:hyperlink>
        </w:p>
        <w:p w14:paraId="29BA77C3" w14:textId="2C7CF59C" w:rsidR="006E56C5" w:rsidRPr="006E56C5" w:rsidRDefault="006B2D11">
          <w:pPr>
            <w:pStyle w:val="Inhopg3"/>
            <w:tabs>
              <w:tab w:val="left" w:pos="1320"/>
            </w:tabs>
            <w:rPr>
              <w:rFonts w:asciiTheme="minorHAnsi" w:eastAsiaTheme="minorEastAsia" w:hAnsiTheme="minorHAnsi" w:cstheme="minorBidi"/>
              <w:b w:val="0"/>
              <w:bCs/>
              <w:sz w:val="22"/>
              <w:szCs w:val="22"/>
            </w:rPr>
          </w:pPr>
          <w:hyperlink w:anchor="_Toc64982952" w:history="1">
            <w:r w:rsidR="006E56C5" w:rsidRPr="006E56C5">
              <w:rPr>
                <w:rStyle w:val="Hyperlink"/>
                <w:b w:val="0"/>
                <w:bCs/>
              </w:rPr>
              <w:t>1.2.1</w:t>
            </w:r>
            <w:r w:rsidR="006E56C5" w:rsidRPr="006E56C5">
              <w:rPr>
                <w:rFonts w:asciiTheme="minorHAnsi" w:eastAsiaTheme="minorEastAsia" w:hAnsiTheme="minorHAnsi" w:cstheme="minorBidi"/>
                <w:b w:val="0"/>
                <w:bCs/>
                <w:sz w:val="22"/>
                <w:szCs w:val="22"/>
              </w:rPr>
              <w:tab/>
            </w:r>
            <w:r w:rsidR="006E56C5" w:rsidRPr="006E56C5">
              <w:rPr>
                <w:rStyle w:val="Hyperlink"/>
                <w:b w:val="0"/>
                <w:bCs/>
              </w:rPr>
              <w:t>Doelstellingen</w:t>
            </w:r>
            <w:r w:rsidR="006E56C5" w:rsidRPr="006E56C5">
              <w:rPr>
                <w:b w:val="0"/>
                <w:bCs/>
                <w:webHidden/>
              </w:rPr>
              <w:tab/>
            </w:r>
            <w:r w:rsidR="006E56C5" w:rsidRPr="006E56C5">
              <w:rPr>
                <w:b w:val="0"/>
                <w:bCs/>
                <w:webHidden/>
              </w:rPr>
              <w:fldChar w:fldCharType="begin"/>
            </w:r>
            <w:r w:rsidR="006E56C5" w:rsidRPr="006E56C5">
              <w:rPr>
                <w:b w:val="0"/>
                <w:bCs/>
                <w:webHidden/>
              </w:rPr>
              <w:instrText xml:space="preserve"> PAGEREF _Toc64982952 \h </w:instrText>
            </w:r>
            <w:r w:rsidR="006E56C5" w:rsidRPr="006E56C5">
              <w:rPr>
                <w:b w:val="0"/>
                <w:bCs/>
                <w:webHidden/>
              </w:rPr>
            </w:r>
            <w:r w:rsidR="006E56C5" w:rsidRPr="006E56C5">
              <w:rPr>
                <w:b w:val="0"/>
                <w:bCs/>
                <w:webHidden/>
              </w:rPr>
              <w:fldChar w:fldCharType="separate"/>
            </w:r>
            <w:r w:rsidR="006E56C5" w:rsidRPr="006E56C5">
              <w:rPr>
                <w:b w:val="0"/>
                <w:bCs/>
                <w:webHidden/>
              </w:rPr>
              <w:t>4</w:t>
            </w:r>
            <w:r w:rsidR="006E56C5" w:rsidRPr="006E56C5">
              <w:rPr>
                <w:b w:val="0"/>
                <w:bCs/>
                <w:webHidden/>
              </w:rPr>
              <w:fldChar w:fldCharType="end"/>
            </w:r>
          </w:hyperlink>
        </w:p>
        <w:p w14:paraId="71913CAB" w14:textId="6D34648E" w:rsidR="006E56C5" w:rsidRPr="006E56C5" w:rsidRDefault="006B2D11">
          <w:pPr>
            <w:pStyle w:val="Inhopg3"/>
            <w:tabs>
              <w:tab w:val="left" w:pos="1320"/>
            </w:tabs>
            <w:rPr>
              <w:rFonts w:asciiTheme="minorHAnsi" w:eastAsiaTheme="minorEastAsia" w:hAnsiTheme="minorHAnsi" w:cstheme="minorBidi"/>
              <w:b w:val="0"/>
              <w:bCs/>
              <w:sz w:val="22"/>
              <w:szCs w:val="22"/>
            </w:rPr>
          </w:pPr>
          <w:hyperlink w:anchor="_Toc64982953" w:history="1">
            <w:r w:rsidR="006E56C5" w:rsidRPr="006E56C5">
              <w:rPr>
                <w:rStyle w:val="Hyperlink"/>
                <w:b w:val="0"/>
                <w:bCs/>
              </w:rPr>
              <w:t>1.2.2</w:t>
            </w:r>
            <w:r w:rsidR="006E56C5" w:rsidRPr="006E56C5">
              <w:rPr>
                <w:rFonts w:asciiTheme="minorHAnsi" w:eastAsiaTheme="minorEastAsia" w:hAnsiTheme="minorHAnsi" w:cstheme="minorBidi"/>
                <w:b w:val="0"/>
                <w:bCs/>
                <w:sz w:val="22"/>
                <w:szCs w:val="22"/>
              </w:rPr>
              <w:tab/>
            </w:r>
            <w:r w:rsidR="006E56C5" w:rsidRPr="006E56C5">
              <w:rPr>
                <w:rStyle w:val="Hyperlink"/>
                <w:b w:val="0"/>
                <w:bCs/>
              </w:rPr>
              <w:t>Positionering informatiebeleid</w:t>
            </w:r>
            <w:r w:rsidR="006E56C5" w:rsidRPr="006E56C5">
              <w:rPr>
                <w:b w:val="0"/>
                <w:bCs/>
                <w:webHidden/>
              </w:rPr>
              <w:tab/>
            </w:r>
            <w:r w:rsidR="006E56C5" w:rsidRPr="006E56C5">
              <w:rPr>
                <w:b w:val="0"/>
                <w:bCs/>
                <w:webHidden/>
              </w:rPr>
              <w:fldChar w:fldCharType="begin"/>
            </w:r>
            <w:r w:rsidR="006E56C5" w:rsidRPr="006E56C5">
              <w:rPr>
                <w:b w:val="0"/>
                <w:bCs/>
                <w:webHidden/>
              </w:rPr>
              <w:instrText xml:space="preserve"> PAGEREF _Toc64982953 \h </w:instrText>
            </w:r>
            <w:r w:rsidR="006E56C5" w:rsidRPr="006E56C5">
              <w:rPr>
                <w:b w:val="0"/>
                <w:bCs/>
                <w:webHidden/>
              </w:rPr>
            </w:r>
            <w:r w:rsidR="006E56C5" w:rsidRPr="006E56C5">
              <w:rPr>
                <w:b w:val="0"/>
                <w:bCs/>
                <w:webHidden/>
              </w:rPr>
              <w:fldChar w:fldCharType="separate"/>
            </w:r>
            <w:r w:rsidR="006E56C5" w:rsidRPr="006E56C5">
              <w:rPr>
                <w:b w:val="0"/>
                <w:bCs/>
                <w:webHidden/>
              </w:rPr>
              <w:t>5</w:t>
            </w:r>
            <w:r w:rsidR="006E56C5" w:rsidRPr="006E56C5">
              <w:rPr>
                <w:b w:val="0"/>
                <w:bCs/>
                <w:webHidden/>
              </w:rPr>
              <w:fldChar w:fldCharType="end"/>
            </w:r>
          </w:hyperlink>
        </w:p>
        <w:p w14:paraId="6BD15B3D" w14:textId="56737BB8" w:rsidR="006E56C5" w:rsidRDefault="006B2D11">
          <w:pPr>
            <w:pStyle w:val="Inhopg2"/>
            <w:rPr>
              <w:rFonts w:asciiTheme="minorHAnsi" w:eastAsiaTheme="minorEastAsia" w:hAnsiTheme="minorHAnsi" w:cstheme="minorBidi"/>
              <w:sz w:val="22"/>
              <w:szCs w:val="22"/>
            </w:rPr>
          </w:pPr>
          <w:hyperlink w:anchor="_Toc64982954" w:history="1">
            <w:r w:rsidR="006E56C5" w:rsidRPr="002F55D1">
              <w:rPr>
                <w:rStyle w:val="Hyperlink"/>
              </w:rPr>
              <w:t>1.3</w:t>
            </w:r>
            <w:r w:rsidR="006E56C5">
              <w:rPr>
                <w:rFonts w:asciiTheme="minorHAnsi" w:eastAsiaTheme="minorEastAsia" w:hAnsiTheme="minorHAnsi" w:cstheme="minorBidi"/>
                <w:sz w:val="22"/>
                <w:szCs w:val="22"/>
              </w:rPr>
              <w:tab/>
            </w:r>
            <w:r w:rsidR="006E56C5" w:rsidRPr="002F55D1">
              <w:rPr>
                <w:rStyle w:val="Hyperlink"/>
              </w:rPr>
              <w:t>Scope</w:t>
            </w:r>
            <w:r w:rsidR="006E56C5">
              <w:rPr>
                <w:webHidden/>
              </w:rPr>
              <w:tab/>
            </w:r>
            <w:r w:rsidR="006E56C5">
              <w:rPr>
                <w:webHidden/>
              </w:rPr>
              <w:fldChar w:fldCharType="begin"/>
            </w:r>
            <w:r w:rsidR="006E56C5">
              <w:rPr>
                <w:webHidden/>
              </w:rPr>
              <w:instrText xml:space="preserve"> PAGEREF _Toc64982954 \h </w:instrText>
            </w:r>
            <w:r w:rsidR="006E56C5">
              <w:rPr>
                <w:webHidden/>
              </w:rPr>
            </w:r>
            <w:r w:rsidR="006E56C5">
              <w:rPr>
                <w:webHidden/>
              </w:rPr>
              <w:fldChar w:fldCharType="separate"/>
            </w:r>
            <w:r w:rsidR="006E56C5">
              <w:rPr>
                <w:webHidden/>
              </w:rPr>
              <w:t>5</w:t>
            </w:r>
            <w:r w:rsidR="006E56C5">
              <w:rPr>
                <w:webHidden/>
              </w:rPr>
              <w:fldChar w:fldCharType="end"/>
            </w:r>
          </w:hyperlink>
        </w:p>
        <w:p w14:paraId="59A61B62" w14:textId="2E7679F4" w:rsidR="006E56C5" w:rsidRDefault="006B2D11">
          <w:pPr>
            <w:pStyle w:val="Inhopg1"/>
            <w:rPr>
              <w:rFonts w:asciiTheme="minorHAnsi" w:eastAsiaTheme="minorEastAsia" w:hAnsiTheme="minorHAnsi" w:cstheme="minorBidi"/>
              <w:sz w:val="22"/>
              <w:szCs w:val="22"/>
            </w:rPr>
          </w:pPr>
          <w:hyperlink w:anchor="_Toc64982955" w:history="1">
            <w:r w:rsidR="006E56C5" w:rsidRPr="002F55D1">
              <w:rPr>
                <w:rStyle w:val="Hyperlink"/>
              </w:rPr>
              <w:t>2</w:t>
            </w:r>
            <w:r w:rsidR="006E56C5">
              <w:rPr>
                <w:rFonts w:asciiTheme="minorHAnsi" w:eastAsiaTheme="minorEastAsia" w:hAnsiTheme="minorHAnsi" w:cstheme="minorBidi"/>
                <w:sz w:val="22"/>
                <w:szCs w:val="22"/>
              </w:rPr>
              <w:tab/>
            </w:r>
            <w:r w:rsidR="006E56C5" w:rsidRPr="002F55D1">
              <w:rPr>
                <w:rStyle w:val="Hyperlink"/>
              </w:rPr>
              <w:t>Processen en kaders</w:t>
            </w:r>
            <w:r w:rsidR="006E56C5">
              <w:rPr>
                <w:webHidden/>
              </w:rPr>
              <w:tab/>
            </w:r>
            <w:r w:rsidR="006E56C5">
              <w:rPr>
                <w:webHidden/>
              </w:rPr>
              <w:fldChar w:fldCharType="begin"/>
            </w:r>
            <w:r w:rsidR="006E56C5">
              <w:rPr>
                <w:webHidden/>
              </w:rPr>
              <w:instrText xml:space="preserve"> PAGEREF _Toc64982955 \h </w:instrText>
            </w:r>
            <w:r w:rsidR="006E56C5">
              <w:rPr>
                <w:webHidden/>
              </w:rPr>
            </w:r>
            <w:r w:rsidR="006E56C5">
              <w:rPr>
                <w:webHidden/>
              </w:rPr>
              <w:fldChar w:fldCharType="separate"/>
            </w:r>
            <w:r w:rsidR="006E56C5">
              <w:rPr>
                <w:webHidden/>
              </w:rPr>
              <w:t>8</w:t>
            </w:r>
            <w:r w:rsidR="006E56C5">
              <w:rPr>
                <w:webHidden/>
              </w:rPr>
              <w:fldChar w:fldCharType="end"/>
            </w:r>
          </w:hyperlink>
        </w:p>
        <w:p w14:paraId="547571EA" w14:textId="3B53A2B3" w:rsidR="006E56C5" w:rsidRDefault="006B2D11">
          <w:pPr>
            <w:pStyle w:val="Inhopg2"/>
            <w:rPr>
              <w:rFonts w:asciiTheme="minorHAnsi" w:eastAsiaTheme="minorEastAsia" w:hAnsiTheme="minorHAnsi" w:cstheme="minorBidi"/>
              <w:sz w:val="22"/>
              <w:szCs w:val="22"/>
            </w:rPr>
          </w:pPr>
          <w:hyperlink w:anchor="_Toc64982956" w:history="1">
            <w:r w:rsidR="006E56C5" w:rsidRPr="002F55D1">
              <w:rPr>
                <w:rStyle w:val="Hyperlink"/>
              </w:rPr>
              <w:t>2.1</w:t>
            </w:r>
            <w:r w:rsidR="006E56C5">
              <w:rPr>
                <w:rFonts w:asciiTheme="minorHAnsi" w:eastAsiaTheme="minorEastAsia" w:hAnsiTheme="minorHAnsi" w:cstheme="minorBidi"/>
                <w:sz w:val="22"/>
                <w:szCs w:val="22"/>
              </w:rPr>
              <w:tab/>
            </w:r>
            <w:r w:rsidR="006E56C5" w:rsidRPr="002F55D1">
              <w:rPr>
                <w:rStyle w:val="Hyperlink"/>
              </w:rPr>
              <w:t>Processen</w:t>
            </w:r>
            <w:r w:rsidR="006E56C5">
              <w:rPr>
                <w:webHidden/>
              </w:rPr>
              <w:tab/>
            </w:r>
            <w:r w:rsidR="006E56C5">
              <w:rPr>
                <w:webHidden/>
              </w:rPr>
              <w:fldChar w:fldCharType="begin"/>
            </w:r>
            <w:r w:rsidR="006E56C5">
              <w:rPr>
                <w:webHidden/>
              </w:rPr>
              <w:instrText xml:space="preserve"> PAGEREF _Toc64982956 \h </w:instrText>
            </w:r>
            <w:r w:rsidR="006E56C5">
              <w:rPr>
                <w:webHidden/>
              </w:rPr>
            </w:r>
            <w:r w:rsidR="006E56C5">
              <w:rPr>
                <w:webHidden/>
              </w:rPr>
              <w:fldChar w:fldCharType="separate"/>
            </w:r>
            <w:r w:rsidR="006E56C5">
              <w:rPr>
                <w:webHidden/>
              </w:rPr>
              <w:t>8</w:t>
            </w:r>
            <w:r w:rsidR="006E56C5">
              <w:rPr>
                <w:webHidden/>
              </w:rPr>
              <w:fldChar w:fldCharType="end"/>
            </w:r>
          </w:hyperlink>
        </w:p>
        <w:p w14:paraId="38A00CC1" w14:textId="7576930F" w:rsidR="006E56C5" w:rsidRDefault="006B2D11">
          <w:pPr>
            <w:pStyle w:val="Inhopg2"/>
            <w:rPr>
              <w:rFonts w:asciiTheme="minorHAnsi" w:eastAsiaTheme="minorEastAsia" w:hAnsiTheme="minorHAnsi" w:cstheme="minorBidi"/>
              <w:sz w:val="22"/>
              <w:szCs w:val="22"/>
            </w:rPr>
          </w:pPr>
          <w:hyperlink w:anchor="_Toc64982957" w:history="1">
            <w:r w:rsidR="006E56C5" w:rsidRPr="002F55D1">
              <w:rPr>
                <w:rStyle w:val="Hyperlink"/>
              </w:rPr>
              <w:t>2.2</w:t>
            </w:r>
            <w:r w:rsidR="006E56C5">
              <w:rPr>
                <w:rFonts w:asciiTheme="minorHAnsi" w:eastAsiaTheme="minorEastAsia" w:hAnsiTheme="minorHAnsi" w:cstheme="minorBidi"/>
                <w:sz w:val="22"/>
                <w:szCs w:val="22"/>
              </w:rPr>
              <w:tab/>
            </w:r>
            <w:r w:rsidR="006E56C5" w:rsidRPr="002F55D1">
              <w:rPr>
                <w:rStyle w:val="Hyperlink"/>
              </w:rPr>
              <w:t>Kaders voor de informatievoorziening</w:t>
            </w:r>
            <w:r w:rsidR="006E56C5">
              <w:rPr>
                <w:webHidden/>
              </w:rPr>
              <w:tab/>
            </w:r>
            <w:r w:rsidR="006E56C5">
              <w:rPr>
                <w:webHidden/>
              </w:rPr>
              <w:fldChar w:fldCharType="begin"/>
            </w:r>
            <w:r w:rsidR="006E56C5">
              <w:rPr>
                <w:webHidden/>
              </w:rPr>
              <w:instrText xml:space="preserve"> PAGEREF _Toc64982957 \h </w:instrText>
            </w:r>
            <w:r w:rsidR="006E56C5">
              <w:rPr>
                <w:webHidden/>
              </w:rPr>
            </w:r>
            <w:r w:rsidR="006E56C5">
              <w:rPr>
                <w:webHidden/>
              </w:rPr>
              <w:fldChar w:fldCharType="separate"/>
            </w:r>
            <w:r w:rsidR="006E56C5">
              <w:rPr>
                <w:webHidden/>
              </w:rPr>
              <w:t>8</w:t>
            </w:r>
            <w:r w:rsidR="006E56C5">
              <w:rPr>
                <w:webHidden/>
              </w:rPr>
              <w:fldChar w:fldCharType="end"/>
            </w:r>
          </w:hyperlink>
        </w:p>
        <w:p w14:paraId="6F160D6B" w14:textId="3A037999" w:rsidR="006E56C5" w:rsidRDefault="006B2D11">
          <w:pPr>
            <w:pStyle w:val="Inhopg1"/>
            <w:rPr>
              <w:rFonts w:asciiTheme="minorHAnsi" w:eastAsiaTheme="minorEastAsia" w:hAnsiTheme="minorHAnsi" w:cstheme="minorBidi"/>
              <w:sz w:val="22"/>
              <w:szCs w:val="22"/>
            </w:rPr>
          </w:pPr>
          <w:hyperlink w:anchor="_Toc64982958" w:history="1">
            <w:r w:rsidR="006E56C5" w:rsidRPr="002F55D1">
              <w:rPr>
                <w:rStyle w:val="Hyperlink"/>
              </w:rPr>
              <w:t>3</w:t>
            </w:r>
            <w:r w:rsidR="006E56C5">
              <w:rPr>
                <w:rFonts w:asciiTheme="minorHAnsi" w:eastAsiaTheme="minorEastAsia" w:hAnsiTheme="minorHAnsi" w:cstheme="minorBidi"/>
                <w:sz w:val="22"/>
                <w:szCs w:val="22"/>
              </w:rPr>
              <w:tab/>
            </w:r>
            <w:r w:rsidR="006E56C5" w:rsidRPr="002F55D1">
              <w:rPr>
                <w:rStyle w:val="Hyperlink"/>
              </w:rPr>
              <w:t>Bijlagen</w:t>
            </w:r>
            <w:r w:rsidR="006E56C5">
              <w:rPr>
                <w:webHidden/>
              </w:rPr>
              <w:tab/>
            </w:r>
            <w:r w:rsidR="006E56C5">
              <w:rPr>
                <w:webHidden/>
              </w:rPr>
              <w:fldChar w:fldCharType="begin"/>
            </w:r>
            <w:r w:rsidR="006E56C5">
              <w:rPr>
                <w:webHidden/>
              </w:rPr>
              <w:instrText xml:space="preserve"> PAGEREF _Toc64982958 \h </w:instrText>
            </w:r>
            <w:r w:rsidR="006E56C5">
              <w:rPr>
                <w:webHidden/>
              </w:rPr>
            </w:r>
            <w:r w:rsidR="006E56C5">
              <w:rPr>
                <w:webHidden/>
              </w:rPr>
              <w:fldChar w:fldCharType="separate"/>
            </w:r>
            <w:r w:rsidR="006E56C5">
              <w:rPr>
                <w:webHidden/>
              </w:rPr>
              <w:t>14</w:t>
            </w:r>
            <w:r w:rsidR="006E56C5">
              <w:rPr>
                <w:webHidden/>
              </w:rPr>
              <w:fldChar w:fldCharType="end"/>
            </w:r>
          </w:hyperlink>
        </w:p>
        <w:p w14:paraId="3C0DC2C0" w14:textId="4656197B" w:rsidR="006E56C5" w:rsidRDefault="006B2D11">
          <w:pPr>
            <w:pStyle w:val="Inhopg2"/>
            <w:rPr>
              <w:rFonts w:asciiTheme="minorHAnsi" w:eastAsiaTheme="minorEastAsia" w:hAnsiTheme="minorHAnsi" w:cstheme="minorBidi"/>
              <w:sz w:val="22"/>
              <w:szCs w:val="22"/>
            </w:rPr>
          </w:pPr>
          <w:hyperlink w:anchor="_Toc64982959" w:history="1">
            <w:r w:rsidR="006E56C5" w:rsidRPr="002F55D1">
              <w:rPr>
                <w:rStyle w:val="Hyperlink"/>
              </w:rPr>
              <w:t>3.1</w:t>
            </w:r>
            <w:r w:rsidR="006E56C5">
              <w:rPr>
                <w:rFonts w:asciiTheme="minorHAnsi" w:eastAsiaTheme="minorEastAsia" w:hAnsiTheme="minorHAnsi" w:cstheme="minorBidi"/>
                <w:sz w:val="22"/>
                <w:szCs w:val="22"/>
              </w:rPr>
              <w:tab/>
            </w:r>
            <w:r w:rsidR="006E56C5" w:rsidRPr="002F55D1">
              <w:rPr>
                <w:rStyle w:val="Hyperlink"/>
              </w:rPr>
              <w:t>Wet- &amp; regelgeving, normering en architectuur</w:t>
            </w:r>
            <w:r w:rsidR="006E56C5">
              <w:rPr>
                <w:webHidden/>
              </w:rPr>
              <w:tab/>
            </w:r>
            <w:r w:rsidR="006E56C5">
              <w:rPr>
                <w:webHidden/>
              </w:rPr>
              <w:fldChar w:fldCharType="begin"/>
            </w:r>
            <w:r w:rsidR="006E56C5">
              <w:rPr>
                <w:webHidden/>
              </w:rPr>
              <w:instrText xml:space="preserve"> PAGEREF _Toc64982959 \h </w:instrText>
            </w:r>
            <w:r w:rsidR="006E56C5">
              <w:rPr>
                <w:webHidden/>
              </w:rPr>
            </w:r>
            <w:r w:rsidR="006E56C5">
              <w:rPr>
                <w:webHidden/>
              </w:rPr>
              <w:fldChar w:fldCharType="separate"/>
            </w:r>
            <w:r w:rsidR="006E56C5">
              <w:rPr>
                <w:webHidden/>
              </w:rPr>
              <w:t>14</w:t>
            </w:r>
            <w:r w:rsidR="006E56C5">
              <w:rPr>
                <w:webHidden/>
              </w:rPr>
              <w:fldChar w:fldCharType="end"/>
            </w:r>
          </w:hyperlink>
        </w:p>
        <w:p w14:paraId="76F50368" w14:textId="744315A9" w:rsidR="006E56C5" w:rsidRDefault="006B2D11">
          <w:pPr>
            <w:pStyle w:val="Inhopg2"/>
            <w:rPr>
              <w:rFonts w:asciiTheme="minorHAnsi" w:eastAsiaTheme="minorEastAsia" w:hAnsiTheme="minorHAnsi" w:cstheme="minorBidi"/>
              <w:sz w:val="22"/>
              <w:szCs w:val="22"/>
            </w:rPr>
          </w:pPr>
          <w:hyperlink w:anchor="_Toc64982960" w:history="1">
            <w:r w:rsidR="006E56C5" w:rsidRPr="002F55D1">
              <w:rPr>
                <w:rStyle w:val="Hyperlink"/>
              </w:rPr>
              <w:t>3.2</w:t>
            </w:r>
            <w:r w:rsidR="006E56C5">
              <w:rPr>
                <w:rFonts w:asciiTheme="minorHAnsi" w:eastAsiaTheme="minorEastAsia" w:hAnsiTheme="minorHAnsi" w:cstheme="minorBidi"/>
                <w:sz w:val="22"/>
                <w:szCs w:val="22"/>
              </w:rPr>
              <w:tab/>
            </w:r>
            <w:r w:rsidR="006E56C5" w:rsidRPr="002F55D1">
              <w:rPr>
                <w:rStyle w:val="Hyperlink"/>
              </w:rPr>
              <w:t>Veel gebruikte afkortingen en begrippen</w:t>
            </w:r>
            <w:r w:rsidR="006E56C5">
              <w:rPr>
                <w:webHidden/>
              </w:rPr>
              <w:tab/>
            </w:r>
            <w:r w:rsidR="006E56C5">
              <w:rPr>
                <w:webHidden/>
              </w:rPr>
              <w:fldChar w:fldCharType="begin"/>
            </w:r>
            <w:r w:rsidR="006E56C5">
              <w:rPr>
                <w:webHidden/>
              </w:rPr>
              <w:instrText xml:space="preserve"> PAGEREF _Toc64982960 \h </w:instrText>
            </w:r>
            <w:r w:rsidR="006E56C5">
              <w:rPr>
                <w:webHidden/>
              </w:rPr>
            </w:r>
            <w:r w:rsidR="006E56C5">
              <w:rPr>
                <w:webHidden/>
              </w:rPr>
              <w:fldChar w:fldCharType="separate"/>
            </w:r>
            <w:r w:rsidR="006E56C5">
              <w:rPr>
                <w:webHidden/>
              </w:rPr>
              <w:t>15</w:t>
            </w:r>
            <w:r w:rsidR="006E56C5">
              <w:rPr>
                <w:webHidden/>
              </w:rPr>
              <w:fldChar w:fldCharType="end"/>
            </w:r>
          </w:hyperlink>
        </w:p>
        <w:p w14:paraId="053A769F" w14:textId="3090ADCF" w:rsidR="00AE0A2C" w:rsidRPr="008B1377" w:rsidRDefault="00AE0A2C" w:rsidP="00D41C42">
          <w:pPr>
            <w:spacing w:line="240" w:lineRule="auto"/>
          </w:pPr>
          <w:r w:rsidRPr="008B1377">
            <w:rPr>
              <w:b/>
              <w:bCs/>
            </w:rPr>
            <w:fldChar w:fldCharType="end"/>
          </w:r>
        </w:p>
      </w:sdtContent>
    </w:sdt>
    <w:p w14:paraId="2EE56876" w14:textId="77777777" w:rsidR="005A0B37" w:rsidRPr="008B1377" w:rsidRDefault="005A0B37" w:rsidP="00D41C42">
      <w:pPr>
        <w:spacing w:line="240" w:lineRule="auto"/>
        <w:sectPr w:rsidR="005A0B37" w:rsidRPr="008B1377" w:rsidSect="00A32F56">
          <w:headerReference w:type="even" r:id="rId22"/>
          <w:footerReference w:type="even" r:id="rId23"/>
          <w:headerReference w:type="first" r:id="rId24"/>
          <w:type w:val="oddPage"/>
          <w:pgSz w:w="11906" w:h="16838" w:code="9"/>
          <w:pgMar w:top="2127" w:right="1525" w:bottom="1077" w:left="2654" w:header="198" w:footer="658" w:gutter="0"/>
          <w:paperSrc w:first="7" w:other="7"/>
          <w:cols w:space="708"/>
          <w:docGrid w:linePitch="360"/>
        </w:sectPr>
      </w:pPr>
    </w:p>
    <w:p w14:paraId="31E54146" w14:textId="77777777" w:rsidR="005A0B37" w:rsidRPr="008B1377" w:rsidRDefault="002830C8" w:rsidP="00D41C42">
      <w:pPr>
        <w:pStyle w:val="DOColofon"/>
        <w:spacing w:line="240" w:lineRule="auto"/>
        <w:rPr>
          <w:rFonts w:eastAsia="Calibri"/>
        </w:rPr>
      </w:pPr>
      <w:r w:rsidRPr="008B1377">
        <w:lastRenderedPageBreak/>
        <w:t>Samenvatting</w:t>
      </w:r>
    </w:p>
    <w:p w14:paraId="389BA2B4" w14:textId="294AB842" w:rsidR="00BF295F" w:rsidRPr="008B1377" w:rsidRDefault="0097766A" w:rsidP="00D41C42">
      <w:pPr>
        <w:spacing w:line="240" w:lineRule="auto"/>
      </w:pPr>
      <w:r w:rsidRPr="008B1377">
        <w:t xml:space="preserve">Het informatiebeleid van BIJ12 is opgesteld ter ondersteuning van een meer samenhangende informatievoorziening voor BIJ12. </w:t>
      </w:r>
    </w:p>
    <w:p w14:paraId="191E7CEF" w14:textId="77777777" w:rsidR="00BF295F" w:rsidRPr="008B1377" w:rsidRDefault="00BF295F" w:rsidP="00D41C42">
      <w:pPr>
        <w:spacing w:line="240" w:lineRule="auto"/>
      </w:pPr>
    </w:p>
    <w:p w14:paraId="4305DC11" w14:textId="45BDB03A" w:rsidR="00E3469C" w:rsidRPr="008B1377" w:rsidRDefault="00E3469C" w:rsidP="00D41C42">
      <w:pPr>
        <w:spacing w:line="240" w:lineRule="auto"/>
      </w:pPr>
      <w:r w:rsidRPr="008B1377">
        <w:t>Uitgangspunten voor dit informatiebeleid zijn gerelateerd aan:</w:t>
      </w:r>
    </w:p>
    <w:p w14:paraId="52D85682" w14:textId="77777777" w:rsidR="00E3469C" w:rsidRPr="008B1377" w:rsidRDefault="00E3469C" w:rsidP="00D41C42">
      <w:pPr>
        <w:pStyle w:val="Lijstalinea"/>
        <w:numPr>
          <w:ilvl w:val="0"/>
          <w:numId w:val="28"/>
        </w:numPr>
        <w:spacing w:line="240" w:lineRule="auto"/>
      </w:pPr>
      <w:r w:rsidRPr="008B1377">
        <w:t>De informatiedoelstellingen van BIJ12</w:t>
      </w:r>
      <w:r w:rsidR="004C61C4" w:rsidRPr="008B1377">
        <w:t>;</w:t>
      </w:r>
    </w:p>
    <w:p w14:paraId="507BAD5D" w14:textId="77777777" w:rsidR="00E3469C" w:rsidRPr="008B1377" w:rsidRDefault="00E3469C" w:rsidP="00D41C42">
      <w:pPr>
        <w:pStyle w:val="Lijstalinea"/>
        <w:numPr>
          <w:ilvl w:val="0"/>
          <w:numId w:val="28"/>
        </w:numPr>
        <w:spacing w:line="240" w:lineRule="auto"/>
      </w:pPr>
      <w:r w:rsidRPr="008B1377">
        <w:t>De positie van BIJ12 ten opzichte van provincies</w:t>
      </w:r>
      <w:r w:rsidR="0097766A" w:rsidRPr="008B1377">
        <w:t>;</w:t>
      </w:r>
    </w:p>
    <w:p w14:paraId="33B6B775" w14:textId="55ECEE42" w:rsidR="0097766A" w:rsidRPr="008B1377" w:rsidRDefault="0097766A" w:rsidP="00D41C42">
      <w:pPr>
        <w:pStyle w:val="Lijstalinea"/>
        <w:numPr>
          <w:ilvl w:val="0"/>
          <w:numId w:val="28"/>
        </w:numPr>
        <w:spacing w:line="240" w:lineRule="auto"/>
      </w:pPr>
      <w:r w:rsidRPr="008B1377">
        <w:t>De processen van BIJ12.</w:t>
      </w:r>
    </w:p>
    <w:p w14:paraId="7D7D2F9E" w14:textId="1C006187" w:rsidR="00D41C42" w:rsidRPr="008B1377" w:rsidRDefault="00D41C42" w:rsidP="00D41C42">
      <w:pPr>
        <w:spacing w:line="240" w:lineRule="auto"/>
      </w:pPr>
    </w:p>
    <w:p w14:paraId="55AA3F26" w14:textId="78E34F00" w:rsidR="00D41C42" w:rsidRPr="008B1377" w:rsidRDefault="00D41C42" w:rsidP="00D41C42">
      <w:pPr>
        <w:spacing w:line="240" w:lineRule="auto"/>
        <w:rPr>
          <w:b/>
          <w:bCs/>
        </w:rPr>
      </w:pPr>
      <w:r w:rsidRPr="008B1377">
        <w:rPr>
          <w:b/>
          <w:bCs/>
        </w:rPr>
        <w:t xml:space="preserve">Waarom dit informatiebeleid? </w:t>
      </w:r>
    </w:p>
    <w:p w14:paraId="4330CCC8" w14:textId="78D38104" w:rsidR="00D41C42" w:rsidRPr="008B1377" w:rsidRDefault="00D41C42" w:rsidP="00D41C42">
      <w:pPr>
        <w:pStyle w:val="Lijstalinea"/>
        <w:numPr>
          <w:ilvl w:val="0"/>
          <w:numId w:val="8"/>
        </w:numPr>
        <w:spacing w:after="160" w:line="240" w:lineRule="auto"/>
      </w:pPr>
      <w:r w:rsidRPr="008B1377">
        <w:t xml:space="preserve">BIJ12 werkt voor provincies en andere overheden. BIJ12 moet zich dan ook houden aan specifieke wet- &amp; regelgeving en ISO-normeringen, passend bij de taken en dienstverlening van BIJ12. Met het informatiebeleid spreekt BIJ12 uit hoe zij hieraan voldoet. Met het effectueren ervan kan BIJ12 aantoonbaar ‘in control’ zijn voor de rechtmatige kant van de informatievoorziening. </w:t>
      </w:r>
    </w:p>
    <w:p w14:paraId="422CF131" w14:textId="77777777" w:rsidR="00D41C42" w:rsidRPr="008B1377" w:rsidRDefault="00D41C42" w:rsidP="00D41C42">
      <w:pPr>
        <w:pStyle w:val="Lijstalinea"/>
        <w:numPr>
          <w:ilvl w:val="0"/>
          <w:numId w:val="8"/>
        </w:numPr>
        <w:spacing w:after="160" w:line="240" w:lineRule="auto"/>
      </w:pPr>
      <w:r w:rsidRPr="008B1377">
        <w:t xml:space="preserve">Informatiebeleid is een middel om organisatiedoelstellingen te helpen realiseren. Het informatiebeleid is afgeleid van de missie, visie en organisatiedoelstellingen van BIJ12. </w:t>
      </w:r>
    </w:p>
    <w:p w14:paraId="03A8C1D9" w14:textId="666500D3" w:rsidR="00E3469C" w:rsidRPr="008B1377" w:rsidRDefault="00D41C42" w:rsidP="00D41C42">
      <w:pPr>
        <w:pStyle w:val="Lijstalinea"/>
        <w:numPr>
          <w:ilvl w:val="0"/>
          <w:numId w:val="8"/>
        </w:numPr>
        <w:spacing w:after="160" w:line="240" w:lineRule="auto"/>
      </w:pPr>
      <w:r w:rsidRPr="008B1377">
        <w:t xml:space="preserve">Informatiebeleid is een kader voor alle projecten en activiteiten met betrekking tot het inrichten of vormgeven van de informatievoorziening. </w:t>
      </w:r>
    </w:p>
    <w:p w14:paraId="7C215A1A" w14:textId="7800E68F" w:rsidR="00E3469C" w:rsidRPr="008B1377" w:rsidRDefault="00E3469C" w:rsidP="00D41C42">
      <w:pPr>
        <w:spacing w:line="240" w:lineRule="auto"/>
      </w:pPr>
      <w:r w:rsidRPr="008B1377">
        <w:t>Het informatiebeleid</w:t>
      </w:r>
      <w:r w:rsidR="009E2E51" w:rsidRPr="008B1377">
        <w:t xml:space="preserve"> is momenteel gestoeld op </w:t>
      </w:r>
      <w:r w:rsidR="00CA7A20" w:rsidRPr="008B1377">
        <w:t>zeven</w:t>
      </w:r>
      <w:r w:rsidRPr="008B1377">
        <w:t xml:space="preserve"> principes: </w:t>
      </w:r>
    </w:p>
    <w:p w14:paraId="268A8119" w14:textId="77777777" w:rsidR="00E3469C" w:rsidRPr="008B1377" w:rsidRDefault="00E3469C" w:rsidP="00D41C42">
      <w:pPr>
        <w:pStyle w:val="Lijstalinea"/>
        <w:numPr>
          <w:ilvl w:val="0"/>
          <w:numId w:val="29"/>
        </w:numPr>
        <w:spacing w:line="240" w:lineRule="auto"/>
      </w:pPr>
      <w:r w:rsidRPr="008B1377">
        <w:t>BIJ12 conformeert zich aan de Provinciale Baseline Informatiehuishouding en de Interprovinciale Baseline Informatiebeveiliging;</w:t>
      </w:r>
    </w:p>
    <w:p w14:paraId="2A87540E" w14:textId="01DA9B09" w:rsidR="00E3469C" w:rsidRPr="008B1377" w:rsidRDefault="00E3469C" w:rsidP="00D41C42">
      <w:pPr>
        <w:pStyle w:val="Lijstalinea"/>
        <w:numPr>
          <w:ilvl w:val="0"/>
          <w:numId w:val="29"/>
        </w:numPr>
        <w:spacing w:line="240" w:lineRule="auto"/>
      </w:pPr>
      <w:r w:rsidRPr="008B1377">
        <w:t>BIJ12 werkt op basis van de architectuur aan de informatievoorziening;</w:t>
      </w:r>
    </w:p>
    <w:p w14:paraId="24B06ADD" w14:textId="65EDA79C" w:rsidR="00E3469C" w:rsidRPr="008B1377" w:rsidRDefault="00E3469C" w:rsidP="00D41C42">
      <w:pPr>
        <w:pStyle w:val="Lijstalinea"/>
        <w:numPr>
          <w:ilvl w:val="0"/>
          <w:numId w:val="29"/>
        </w:numPr>
        <w:spacing w:line="240" w:lineRule="auto"/>
      </w:pPr>
      <w:r w:rsidRPr="008B1377">
        <w:t xml:space="preserve">BIJ12 maakt gebruik van voor de overheid gangbare standaarden voor de inrichting van de informatievoorziening. Daarbij haakt BIJ12 zoveel mogelijk aan </w:t>
      </w:r>
      <w:r w:rsidR="00BF295F" w:rsidRPr="008B1377">
        <w:t>bij</w:t>
      </w:r>
      <w:r w:rsidRPr="008B1377">
        <w:t xml:space="preserve"> de standaarden die provincies </w:t>
      </w:r>
      <w:r w:rsidR="00BF295F" w:rsidRPr="008B1377">
        <w:t>hanteren</w:t>
      </w:r>
      <w:r w:rsidRPr="008B1377">
        <w:t>. Daar waar BIJ12 afwijkt</w:t>
      </w:r>
      <w:r w:rsidR="00C74A87" w:rsidRPr="008B1377">
        <w:t>,</w:t>
      </w:r>
      <w:r w:rsidRPr="008B1377">
        <w:t xml:space="preserve"> geldt het </w:t>
      </w:r>
      <w:r w:rsidR="00C74A87" w:rsidRPr="008B1377">
        <w:t>‘</w:t>
      </w:r>
      <w:r w:rsidRPr="008B1377">
        <w:t>pas</w:t>
      </w:r>
      <w:r w:rsidR="00C74A87" w:rsidRPr="008B1377">
        <w:t>-</w:t>
      </w:r>
      <w:r w:rsidRPr="008B1377">
        <w:t>toe</w:t>
      </w:r>
      <w:r w:rsidR="00C74A87" w:rsidRPr="008B1377">
        <w:t>-</w:t>
      </w:r>
      <w:r w:rsidRPr="008B1377">
        <w:t>of</w:t>
      </w:r>
      <w:r w:rsidR="00C74A87" w:rsidRPr="008B1377">
        <w:t>-</w:t>
      </w:r>
      <w:r w:rsidRPr="008B1377">
        <w:t>leg</w:t>
      </w:r>
      <w:r w:rsidR="00C74A87" w:rsidRPr="008B1377">
        <w:t>-</w:t>
      </w:r>
      <w:r w:rsidRPr="008B1377">
        <w:t>uit</w:t>
      </w:r>
      <w:r w:rsidR="00C74A87" w:rsidRPr="008B1377">
        <w:t>’</w:t>
      </w:r>
      <w:r w:rsidRPr="008B1377">
        <w:t xml:space="preserve"> principe;</w:t>
      </w:r>
    </w:p>
    <w:p w14:paraId="1F006898" w14:textId="77777777" w:rsidR="00E3469C" w:rsidRPr="008B1377" w:rsidRDefault="00E3469C" w:rsidP="00D41C42">
      <w:pPr>
        <w:pStyle w:val="Lijstalinea"/>
        <w:numPr>
          <w:ilvl w:val="0"/>
          <w:numId w:val="29"/>
        </w:numPr>
        <w:spacing w:line="240" w:lineRule="auto"/>
      </w:pPr>
      <w:r w:rsidRPr="008B1377">
        <w:t>Alle informatie d</w:t>
      </w:r>
      <w:r w:rsidR="004C61C4" w:rsidRPr="008B1377">
        <w:t>ie</w:t>
      </w:r>
      <w:r w:rsidRPr="008B1377">
        <w:t xml:space="preserve"> vanuit de </w:t>
      </w:r>
      <w:r w:rsidR="002830C8" w:rsidRPr="008B1377">
        <w:t>werk</w:t>
      </w:r>
      <w:r w:rsidRPr="008B1377">
        <w:t xml:space="preserve">processen </w:t>
      </w:r>
      <w:r w:rsidR="00E70727" w:rsidRPr="008B1377">
        <w:t xml:space="preserve">opgemaakt, </w:t>
      </w:r>
      <w:r w:rsidRPr="008B1377">
        <w:t>gedeeld en/of gepubliceerd wordt</w:t>
      </w:r>
      <w:r w:rsidR="00C74A87" w:rsidRPr="008B1377">
        <w:t>,</w:t>
      </w:r>
      <w:r w:rsidRPr="008B1377">
        <w:t xml:space="preserve"> is archiefwaardige informatie voor de wettelijke eigenaren van de informatie (zorgdragers);</w:t>
      </w:r>
    </w:p>
    <w:p w14:paraId="6DB94D8E" w14:textId="77777777" w:rsidR="00E3469C" w:rsidRPr="008B1377" w:rsidRDefault="00E3469C" w:rsidP="00D41C42">
      <w:pPr>
        <w:pStyle w:val="Lijstalinea"/>
        <w:numPr>
          <w:ilvl w:val="0"/>
          <w:numId w:val="29"/>
        </w:numPr>
        <w:spacing w:line="240" w:lineRule="auto"/>
      </w:pPr>
      <w:r w:rsidRPr="008B1377">
        <w:t>BIJ12 zet proceseigenaarschap in voor het sturen op processen;</w:t>
      </w:r>
    </w:p>
    <w:p w14:paraId="78E14595" w14:textId="77777777" w:rsidR="00E3469C" w:rsidRPr="008B1377" w:rsidRDefault="00E3469C" w:rsidP="00D41C42">
      <w:pPr>
        <w:pStyle w:val="Lijstalinea"/>
        <w:numPr>
          <w:ilvl w:val="0"/>
          <w:numId w:val="29"/>
        </w:numPr>
        <w:spacing w:line="240" w:lineRule="auto"/>
      </w:pPr>
      <w:r w:rsidRPr="008B1377">
        <w:t>BIJ12 werkt aan continu verbeteren op basis van een afgesproken kwaliteitssystematiek;</w:t>
      </w:r>
    </w:p>
    <w:p w14:paraId="75374EDA" w14:textId="77777777" w:rsidR="00E3469C" w:rsidRPr="008B1377" w:rsidRDefault="00E3469C" w:rsidP="00D41C42">
      <w:pPr>
        <w:pStyle w:val="Lijstalinea"/>
        <w:numPr>
          <w:ilvl w:val="0"/>
          <w:numId w:val="29"/>
        </w:numPr>
        <w:spacing w:line="240" w:lineRule="auto"/>
      </w:pPr>
      <w:r w:rsidRPr="008B1377">
        <w:t>BIJ12 stelt de kenniswerker centraal, ook bij het toepassen van gangbare standaarden;</w:t>
      </w:r>
    </w:p>
    <w:p w14:paraId="65D8E66C" w14:textId="77777777" w:rsidR="00376E24" w:rsidRPr="008B1377" w:rsidRDefault="00376E24" w:rsidP="00D41C42">
      <w:pPr>
        <w:pStyle w:val="Lijstalinea"/>
        <w:spacing w:line="240" w:lineRule="auto"/>
      </w:pPr>
    </w:p>
    <w:p w14:paraId="7956EB30" w14:textId="74A3BD60" w:rsidR="00376E24" w:rsidRPr="008B1377" w:rsidRDefault="009E2E51" w:rsidP="00D41C42">
      <w:pPr>
        <w:spacing w:line="240" w:lineRule="auto"/>
      </w:pPr>
      <w:r w:rsidRPr="008B1377">
        <w:t xml:space="preserve">Deze principes bieden een kapstok voor de manier waarop de informatievoorziening wordt ingericht. </w:t>
      </w:r>
      <w:r w:rsidR="00376E24" w:rsidRPr="008B1377">
        <w:t xml:space="preserve">Het informatiebeleid geeft </w:t>
      </w:r>
      <w:r w:rsidRPr="008B1377">
        <w:t>daarnaast invulling aan de</w:t>
      </w:r>
      <w:r w:rsidR="00376E24" w:rsidRPr="008B1377">
        <w:t xml:space="preserve"> informatievoorzieningsfunctie en </w:t>
      </w:r>
      <w:r w:rsidR="005458C0" w:rsidRPr="008B1377">
        <w:t xml:space="preserve">aan </w:t>
      </w:r>
      <w:r w:rsidR="00376E24" w:rsidRPr="008B1377">
        <w:t xml:space="preserve">de organisatorische ophanging </w:t>
      </w:r>
      <w:r w:rsidRPr="008B1377">
        <w:t>daarvan.</w:t>
      </w:r>
    </w:p>
    <w:p w14:paraId="31E019AF" w14:textId="7D462E1B" w:rsidR="00D41C42" w:rsidRPr="008B1377" w:rsidRDefault="00D41C42" w:rsidP="00D41C42">
      <w:pPr>
        <w:spacing w:line="240" w:lineRule="auto"/>
      </w:pPr>
    </w:p>
    <w:p w14:paraId="6C1CFB84" w14:textId="457C1759" w:rsidR="00D41C42" w:rsidRPr="008B1377" w:rsidRDefault="00CC44BD" w:rsidP="00D41C42">
      <w:pPr>
        <w:spacing w:line="240" w:lineRule="auto"/>
      </w:pPr>
      <w:r w:rsidRPr="008B1377">
        <w:t>Informatievoorziening</w:t>
      </w:r>
      <w:r w:rsidR="00D41C42" w:rsidRPr="008B1377">
        <w:t xml:space="preserve"> is verantwoordelijk voor:</w:t>
      </w:r>
    </w:p>
    <w:p w14:paraId="2EE9DCC8" w14:textId="77777777" w:rsidR="00D41C42" w:rsidRPr="008B1377" w:rsidRDefault="00D41C42" w:rsidP="00D41C42">
      <w:pPr>
        <w:pStyle w:val="Lijstalinea"/>
        <w:numPr>
          <w:ilvl w:val="0"/>
          <w:numId w:val="48"/>
        </w:numPr>
        <w:spacing w:line="240" w:lineRule="auto"/>
      </w:pPr>
      <w:r w:rsidRPr="008B1377">
        <w:t xml:space="preserve">Goede uitvoering van de processen voor informatievoorziening; </w:t>
      </w:r>
    </w:p>
    <w:p w14:paraId="5CC7B8CD" w14:textId="77777777" w:rsidR="00D41C42" w:rsidRPr="008B1377" w:rsidRDefault="00D41C42" w:rsidP="00D41C42">
      <w:pPr>
        <w:pStyle w:val="Lijstalinea"/>
        <w:numPr>
          <w:ilvl w:val="0"/>
          <w:numId w:val="48"/>
        </w:numPr>
        <w:spacing w:line="240" w:lineRule="auto"/>
      </w:pPr>
      <w:r w:rsidRPr="008B1377">
        <w:t>Toezicht op het informatie- en archiefbeheer (en bijbehorende IV-processen)</w:t>
      </w:r>
      <w:r w:rsidRPr="008B1377">
        <w:br/>
        <w:t>(</w:t>
      </w:r>
      <w:r w:rsidRPr="008B1377">
        <w:rPr>
          <w:rFonts w:cstheme="minorHAnsi"/>
        </w:rPr>
        <w:t>kaders en richtlijnen voor o.a. projecten en overdracht naar beheer (</w:t>
      </w:r>
      <w:proofErr w:type="spellStart"/>
      <w:r w:rsidRPr="008B1377">
        <w:rPr>
          <w:rFonts w:cstheme="minorHAnsi"/>
        </w:rPr>
        <w:t>toll</w:t>
      </w:r>
      <w:proofErr w:type="spellEnd"/>
      <w:r w:rsidRPr="008B1377">
        <w:rPr>
          <w:rFonts w:cstheme="minorHAnsi"/>
        </w:rPr>
        <w:t xml:space="preserve"> gates), deze monitoren en toetsen op de naleving ervan)</w:t>
      </w:r>
      <w:r w:rsidRPr="008B1377">
        <w:t>;</w:t>
      </w:r>
    </w:p>
    <w:p w14:paraId="750969A2" w14:textId="0C0E188E" w:rsidR="00D41C42" w:rsidRPr="008B1377" w:rsidRDefault="00D41C42" w:rsidP="00D41C42">
      <w:pPr>
        <w:pStyle w:val="Lijstalinea"/>
        <w:numPr>
          <w:ilvl w:val="0"/>
          <w:numId w:val="48"/>
        </w:numPr>
        <w:spacing w:line="240" w:lineRule="auto"/>
      </w:pPr>
      <w:r w:rsidRPr="008B1377">
        <w:t>Ontwerpen en plannen van de (samenhang in) informatievoorziening;</w:t>
      </w:r>
    </w:p>
    <w:p w14:paraId="052671E7" w14:textId="77777777" w:rsidR="00D41C42" w:rsidRPr="008B1377" w:rsidRDefault="00D41C42" w:rsidP="00D41C42">
      <w:pPr>
        <w:pStyle w:val="Lijstalinea"/>
        <w:numPr>
          <w:ilvl w:val="0"/>
          <w:numId w:val="48"/>
        </w:numPr>
        <w:spacing w:line="240" w:lineRule="auto"/>
      </w:pPr>
      <w:r w:rsidRPr="008B1377">
        <w:t xml:space="preserve">Beheren en regisseren van de basisinfrastructuur </w:t>
      </w:r>
      <w:r w:rsidRPr="008B1377">
        <w:br/>
        <w:t xml:space="preserve">(o.a. life </w:t>
      </w:r>
      <w:proofErr w:type="spellStart"/>
      <w:r w:rsidRPr="008B1377">
        <w:t>cycle</w:t>
      </w:r>
      <w:proofErr w:type="spellEnd"/>
      <w:r w:rsidRPr="008B1377">
        <w:t xml:space="preserve"> management van de producten en componenten);</w:t>
      </w:r>
    </w:p>
    <w:p w14:paraId="2EEC5CBF" w14:textId="52536200" w:rsidR="00D41C42" w:rsidRPr="008B1377" w:rsidRDefault="00D41C42" w:rsidP="00D41C42">
      <w:pPr>
        <w:pStyle w:val="Lijstalinea"/>
        <w:numPr>
          <w:ilvl w:val="0"/>
          <w:numId w:val="48"/>
        </w:numPr>
        <w:spacing w:line="240" w:lineRule="auto"/>
      </w:pPr>
      <w:r w:rsidRPr="008B1377">
        <w:t xml:space="preserve">Advisering over het informatiebeleid en de toepassing daarvan binnen BIJ12. </w:t>
      </w:r>
    </w:p>
    <w:p w14:paraId="1689937D" w14:textId="77777777" w:rsidR="00E3469C" w:rsidRPr="008B1377" w:rsidRDefault="00E3469C" w:rsidP="00D41C42">
      <w:pPr>
        <w:spacing w:line="240" w:lineRule="auto"/>
      </w:pPr>
    </w:p>
    <w:p w14:paraId="36EBF069" w14:textId="77777777" w:rsidR="009E2E51" w:rsidRPr="008B1377" w:rsidRDefault="009E2E51" w:rsidP="00D41C42">
      <w:pPr>
        <w:spacing w:line="240" w:lineRule="auto"/>
      </w:pPr>
    </w:p>
    <w:p w14:paraId="1472C95C" w14:textId="77777777" w:rsidR="001214CD" w:rsidRPr="008B1377" w:rsidRDefault="00D366B0" w:rsidP="00D41C42">
      <w:pPr>
        <w:pStyle w:val="Kop1"/>
        <w:spacing w:line="240" w:lineRule="auto"/>
      </w:pPr>
      <w:bookmarkStart w:id="6" w:name="_Toc497961004"/>
      <w:bookmarkStart w:id="7" w:name="_Toc497961023"/>
      <w:bookmarkStart w:id="8" w:name="_Toc64982949"/>
      <w:r w:rsidRPr="008B1377">
        <w:lastRenderedPageBreak/>
        <w:t>Inleiding</w:t>
      </w:r>
      <w:bookmarkEnd w:id="6"/>
      <w:bookmarkEnd w:id="7"/>
      <w:bookmarkEnd w:id="8"/>
    </w:p>
    <w:p w14:paraId="12A38067" w14:textId="77777777" w:rsidR="00D366B0" w:rsidRPr="008B1377" w:rsidRDefault="00D366B0" w:rsidP="00D41C42">
      <w:pPr>
        <w:pStyle w:val="Kop2"/>
        <w:spacing w:line="240" w:lineRule="auto"/>
      </w:pPr>
      <w:bookmarkStart w:id="9" w:name="_Toc497961005"/>
      <w:bookmarkStart w:id="10" w:name="_Toc497961024"/>
      <w:bookmarkStart w:id="11" w:name="_Toc64982950"/>
      <w:r w:rsidRPr="008B1377">
        <w:t>Aanleiding</w:t>
      </w:r>
      <w:bookmarkEnd w:id="9"/>
      <w:bookmarkEnd w:id="10"/>
      <w:bookmarkEnd w:id="11"/>
      <w:r w:rsidRPr="008B1377">
        <w:t xml:space="preserve"> </w:t>
      </w:r>
    </w:p>
    <w:p w14:paraId="42364CD0" w14:textId="401E441A" w:rsidR="00D366B0" w:rsidRPr="008B1377" w:rsidRDefault="00D366B0" w:rsidP="00D41C42">
      <w:pPr>
        <w:spacing w:line="240" w:lineRule="auto"/>
      </w:pPr>
      <w:r w:rsidRPr="008B1377">
        <w:t xml:space="preserve">In een informatiebeleid wordt op hoofdlijnen het </w:t>
      </w:r>
      <w:r w:rsidR="004C61C4" w:rsidRPr="008B1377">
        <w:t>‘</w:t>
      </w:r>
      <w:r w:rsidRPr="008B1377">
        <w:t>wat</w:t>
      </w:r>
      <w:r w:rsidR="004C61C4" w:rsidRPr="008B1377">
        <w:t>’</w:t>
      </w:r>
      <w:r w:rsidRPr="008B1377">
        <w:t xml:space="preserve">, het </w:t>
      </w:r>
      <w:r w:rsidR="004C61C4" w:rsidRPr="008B1377">
        <w:t>‘</w:t>
      </w:r>
      <w:r w:rsidRPr="008B1377">
        <w:t>waarom</w:t>
      </w:r>
      <w:r w:rsidR="004C61C4" w:rsidRPr="008B1377">
        <w:t>’</w:t>
      </w:r>
      <w:r w:rsidRPr="008B1377">
        <w:t xml:space="preserve"> en het </w:t>
      </w:r>
      <w:r w:rsidR="004C61C4" w:rsidRPr="008B1377">
        <w:t>‘</w:t>
      </w:r>
      <w:r w:rsidRPr="008B1377">
        <w:t>waarmee</w:t>
      </w:r>
      <w:r w:rsidR="004C61C4" w:rsidRPr="008B1377">
        <w:t>’</w:t>
      </w:r>
      <w:r w:rsidRPr="008B1377">
        <w:t xml:space="preserve"> van de informatievoorziening beschreven. Dit is vervat in doelstellingen, uitgangspunten en richtlijnen </w:t>
      </w:r>
      <w:r w:rsidRPr="008B1377">
        <w:rPr>
          <w:iCs/>
        </w:rPr>
        <w:t>voor het omgaan met informatie en informatie</w:t>
      </w:r>
      <w:r w:rsidR="002D7CFC" w:rsidRPr="008B1377">
        <w:rPr>
          <w:iCs/>
        </w:rPr>
        <w:t>voorziening</w:t>
      </w:r>
      <w:r w:rsidRPr="008B1377">
        <w:rPr>
          <w:iCs/>
        </w:rPr>
        <w:t xml:space="preserve"> binnen een organisatie</w:t>
      </w:r>
      <w:r w:rsidRPr="008B1377">
        <w:t xml:space="preserve">. </w:t>
      </w:r>
      <w:bookmarkStart w:id="12" w:name="_Hlk36590561"/>
      <w:r w:rsidRPr="008B1377">
        <w:t xml:space="preserve">Het </w:t>
      </w:r>
      <w:r w:rsidR="004C61C4" w:rsidRPr="008B1377">
        <w:t xml:space="preserve">beleid </w:t>
      </w:r>
      <w:r w:rsidRPr="008B1377">
        <w:t xml:space="preserve">geeft antwoord op de vraag </w:t>
      </w:r>
      <w:r w:rsidR="002D7CFC" w:rsidRPr="008B1377">
        <w:t>hoe</w:t>
      </w:r>
      <w:r w:rsidRPr="008B1377">
        <w:t xml:space="preserve"> BIJ12 sturing geeft aan haar informatiehuishouding.</w:t>
      </w:r>
    </w:p>
    <w:bookmarkEnd w:id="12"/>
    <w:p w14:paraId="308DF00D" w14:textId="77777777" w:rsidR="00990072" w:rsidRPr="008B1377" w:rsidRDefault="00990072" w:rsidP="00D41C42">
      <w:pPr>
        <w:spacing w:line="240" w:lineRule="auto"/>
      </w:pPr>
    </w:p>
    <w:p w14:paraId="503EF13F" w14:textId="77777777" w:rsidR="00D366B0" w:rsidRPr="008B1377" w:rsidRDefault="00D366B0" w:rsidP="00D41C42">
      <w:pPr>
        <w:spacing w:line="240" w:lineRule="auto"/>
      </w:pPr>
      <w:r w:rsidRPr="008B1377">
        <w:t>Wat lost het hebben van een informatiebeleid</w:t>
      </w:r>
      <w:r w:rsidRPr="008B1377">
        <w:rPr>
          <w:rStyle w:val="Voetnootmarkering"/>
        </w:rPr>
        <w:footnoteReference w:id="1"/>
      </w:r>
      <w:r w:rsidRPr="008B1377">
        <w:t xml:space="preserve"> concreet op? </w:t>
      </w:r>
    </w:p>
    <w:p w14:paraId="19B9E584" w14:textId="036109BC" w:rsidR="00D366B0" w:rsidRPr="008B1377" w:rsidRDefault="00D366B0" w:rsidP="00D41C42">
      <w:pPr>
        <w:pStyle w:val="Lijstalinea"/>
        <w:numPr>
          <w:ilvl w:val="0"/>
          <w:numId w:val="8"/>
        </w:numPr>
        <w:spacing w:after="160" w:line="240" w:lineRule="auto"/>
      </w:pPr>
      <w:r w:rsidRPr="008B1377">
        <w:t xml:space="preserve">BIJ12 werkt voor provincies en andere overheden. Dat betekent dat BIJ12 zich te houden heeft aan specifieke wet- &amp; regelgeving en ISO-normeringen, passend bij de taken en dienstverlening van BIJ12. Met het informatiebeleid spreekt BIJ12 </w:t>
      </w:r>
      <w:r w:rsidR="00C008C8" w:rsidRPr="008B1377">
        <w:t xml:space="preserve">uit </w:t>
      </w:r>
      <w:r w:rsidR="002D7CFC" w:rsidRPr="008B1377">
        <w:t>hoe</w:t>
      </w:r>
      <w:r w:rsidRPr="008B1377">
        <w:t xml:space="preserve"> zij hieraan voldoet. Met het effectueren ervan kan BIJ12 aantoonbaar ‘in control’ zijn voor de rechtmatige kant van de informatievoorziening. </w:t>
      </w:r>
    </w:p>
    <w:p w14:paraId="0BA6B473" w14:textId="3CBF2419" w:rsidR="00D366B0" w:rsidRPr="008B1377" w:rsidRDefault="00D366B0" w:rsidP="00D41C42">
      <w:pPr>
        <w:pStyle w:val="Lijstalinea"/>
        <w:numPr>
          <w:ilvl w:val="0"/>
          <w:numId w:val="8"/>
        </w:numPr>
        <w:spacing w:after="160" w:line="240" w:lineRule="auto"/>
      </w:pPr>
      <w:r w:rsidRPr="008B1377">
        <w:t xml:space="preserve">Informatiebeleid is een middel om organisatiedoelstellingen te </w:t>
      </w:r>
      <w:r w:rsidR="002D7CFC" w:rsidRPr="008B1377">
        <w:t xml:space="preserve">helpen </w:t>
      </w:r>
      <w:r w:rsidRPr="008B1377">
        <w:t xml:space="preserve">realiseren. </w:t>
      </w:r>
      <w:r w:rsidR="002D7CFC" w:rsidRPr="008B1377">
        <w:t xml:space="preserve">Het informatiebeleid is afgeleid van de </w:t>
      </w:r>
      <w:r w:rsidR="00C40E6F" w:rsidRPr="008B1377">
        <w:t xml:space="preserve">missie, visie en organisatiedoelstellingen </w:t>
      </w:r>
      <w:r w:rsidR="002D7CFC" w:rsidRPr="008B1377">
        <w:t>van BIJ12</w:t>
      </w:r>
      <w:r w:rsidR="00C40E6F" w:rsidRPr="008B1377">
        <w:t xml:space="preserve">. </w:t>
      </w:r>
    </w:p>
    <w:p w14:paraId="15655BCC" w14:textId="7781BE43" w:rsidR="00D366B0" w:rsidRPr="008B1377" w:rsidRDefault="00D366B0" w:rsidP="00D41C42">
      <w:pPr>
        <w:pStyle w:val="Lijstalinea"/>
        <w:numPr>
          <w:ilvl w:val="0"/>
          <w:numId w:val="8"/>
        </w:numPr>
        <w:spacing w:after="160" w:line="240" w:lineRule="auto"/>
      </w:pPr>
      <w:r w:rsidRPr="008B1377">
        <w:t xml:space="preserve">Informatiebeleid is </w:t>
      </w:r>
      <w:r w:rsidR="004C61C4" w:rsidRPr="008B1377">
        <w:t xml:space="preserve">een kader </w:t>
      </w:r>
      <w:r w:rsidR="006F27B2" w:rsidRPr="008B1377">
        <w:t xml:space="preserve">voor </w:t>
      </w:r>
      <w:r w:rsidRPr="008B1377">
        <w:t xml:space="preserve">alle projecten en activiteiten </w:t>
      </w:r>
      <w:r w:rsidR="004C61C4" w:rsidRPr="008B1377">
        <w:t>met betrekking tot het inrichten of vormgeven van</w:t>
      </w:r>
      <w:r w:rsidRPr="008B1377">
        <w:t xml:space="preserve"> de informatievoorziening. </w:t>
      </w:r>
    </w:p>
    <w:p w14:paraId="6C7F678A" w14:textId="77777777" w:rsidR="00D366B0" w:rsidRPr="008B1377" w:rsidRDefault="00D366B0" w:rsidP="00D41C42">
      <w:pPr>
        <w:pStyle w:val="Kop2"/>
        <w:spacing w:line="240" w:lineRule="auto"/>
      </w:pPr>
      <w:bookmarkStart w:id="13" w:name="_Toc497961006"/>
      <w:bookmarkStart w:id="14" w:name="_Toc497961025"/>
      <w:bookmarkStart w:id="15" w:name="_Toc64982951"/>
      <w:r w:rsidRPr="008B1377">
        <w:t>Informatiedoelstelling</w:t>
      </w:r>
      <w:r w:rsidR="00606FCD" w:rsidRPr="008B1377">
        <w:t>en</w:t>
      </w:r>
      <w:bookmarkEnd w:id="13"/>
      <w:bookmarkEnd w:id="14"/>
      <w:bookmarkEnd w:id="15"/>
    </w:p>
    <w:p w14:paraId="6EB40F71" w14:textId="77777777" w:rsidR="00D366B0" w:rsidRPr="008B1377" w:rsidRDefault="00D366B0" w:rsidP="00D41C42">
      <w:pPr>
        <w:pStyle w:val="Kop3"/>
        <w:spacing w:line="240" w:lineRule="auto"/>
      </w:pPr>
      <w:bookmarkStart w:id="16" w:name="_Toc497961026"/>
      <w:bookmarkStart w:id="17" w:name="_Toc64982952"/>
      <w:r w:rsidRPr="008B1377">
        <w:t>Doelstellingen</w:t>
      </w:r>
      <w:bookmarkEnd w:id="16"/>
      <w:bookmarkEnd w:id="17"/>
      <w:r w:rsidRPr="008B1377">
        <w:t xml:space="preserve"> </w:t>
      </w:r>
    </w:p>
    <w:p w14:paraId="584ED946" w14:textId="5E7A9B59" w:rsidR="00D366B0" w:rsidRPr="008B1377" w:rsidRDefault="00FF7561" w:rsidP="00D41C42">
      <w:pPr>
        <w:spacing w:line="240" w:lineRule="auto"/>
      </w:pPr>
      <w:r w:rsidRPr="008B1377">
        <w:t xml:space="preserve">BIJ12 wil betrouwbare en </w:t>
      </w:r>
      <w:r w:rsidR="00C008C8" w:rsidRPr="008B1377">
        <w:t xml:space="preserve">(duurzaam) </w:t>
      </w:r>
      <w:r w:rsidRPr="008B1377">
        <w:t>toegankelijke (</w:t>
      </w:r>
      <w:proofErr w:type="spellStart"/>
      <w:r w:rsidRPr="008B1377">
        <w:t>overheids</w:t>
      </w:r>
      <w:proofErr w:type="spellEnd"/>
      <w:r w:rsidRPr="008B1377">
        <w:t>)</w:t>
      </w:r>
      <w:r w:rsidR="00C008C8" w:rsidRPr="008B1377">
        <w:t xml:space="preserve">data en </w:t>
      </w:r>
      <w:r w:rsidRPr="008B1377">
        <w:t>informatie</w:t>
      </w:r>
      <w:r w:rsidR="007C75F5" w:rsidRPr="008B1377">
        <w:t xml:space="preserve"> </w:t>
      </w:r>
      <w:r w:rsidR="009D4DB8" w:rsidRPr="008B1377">
        <w:t>hebben/beheren</w:t>
      </w:r>
      <w:r w:rsidR="00CB56AB" w:rsidRPr="008B1377">
        <w:t xml:space="preserve"> en</w:t>
      </w:r>
      <w:r w:rsidR="009D4DB8" w:rsidRPr="008B1377">
        <w:t xml:space="preserve"> </w:t>
      </w:r>
      <w:r w:rsidR="007C75F5" w:rsidRPr="008B1377">
        <w:t>kunnen bundelen, verrijken en ontsluiten</w:t>
      </w:r>
      <w:r w:rsidRPr="008B1377">
        <w:t xml:space="preserve">. </w:t>
      </w:r>
      <w:r w:rsidR="00D73690" w:rsidRPr="008B1377">
        <w:t>Hier</w:t>
      </w:r>
      <w:r w:rsidR="00BF295F" w:rsidRPr="008B1377">
        <w:t>voor</w:t>
      </w:r>
      <w:r w:rsidR="00C813A6" w:rsidRPr="008B1377">
        <w:t xml:space="preserve"> zijn</w:t>
      </w:r>
      <w:r w:rsidR="00D366B0" w:rsidRPr="008B1377">
        <w:t xml:space="preserve"> </w:t>
      </w:r>
      <w:r w:rsidR="00C813A6" w:rsidRPr="008B1377">
        <w:t xml:space="preserve">de volgende </w:t>
      </w:r>
      <w:r w:rsidR="00D366B0" w:rsidRPr="008B1377">
        <w:t>doel</w:t>
      </w:r>
      <w:r w:rsidR="00B12CC0" w:rsidRPr="008B1377">
        <w:t>stellingen</w:t>
      </w:r>
      <w:r w:rsidR="00D366B0" w:rsidRPr="008B1377">
        <w:t xml:space="preserve"> </w:t>
      </w:r>
      <w:r w:rsidR="00C813A6" w:rsidRPr="008B1377">
        <w:t>geformuleerd</w:t>
      </w:r>
      <w:r w:rsidR="00D366B0" w:rsidRPr="008B1377">
        <w:t xml:space="preserve">: </w:t>
      </w:r>
    </w:p>
    <w:p w14:paraId="2C93024B" w14:textId="77777777" w:rsidR="007163D1" w:rsidRPr="008B1377" w:rsidRDefault="007163D1" w:rsidP="00D41C42">
      <w:pPr>
        <w:pStyle w:val="Lijstalinea"/>
        <w:numPr>
          <w:ilvl w:val="0"/>
          <w:numId w:val="23"/>
        </w:numPr>
        <w:spacing w:after="160" w:line="240" w:lineRule="auto"/>
      </w:pPr>
      <w:r w:rsidRPr="008B1377">
        <w:t>Voldoen aan (archief)wet- en regelgeving en</w:t>
      </w:r>
      <w:r w:rsidRPr="008B1377" w:rsidDel="008A7E81">
        <w:t xml:space="preserve"> </w:t>
      </w:r>
      <w:r w:rsidRPr="008B1377">
        <w:t xml:space="preserve">overheidseisen voor informatiebeheer (privacy, duurzame toegankelijkheid, open overheid, architectuur) </w:t>
      </w:r>
    </w:p>
    <w:p w14:paraId="02390E59" w14:textId="4169069E" w:rsidR="007163D1" w:rsidRPr="008B1377" w:rsidRDefault="007163D1" w:rsidP="00D41C42">
      <w:pPr>
        <w:pStyle w:val="Lijstalinea"/>
        <w:numPr>
          <w:ilvl w:val="0"/>
          <w:numId w:val="23"/>
        </w:numPr>
        <w:spacing w:after="160" w:line="240" w:lineRule="auto"/>
      </w:pPr>
      <w:r w:rsidRPr="008B1377">
        <w:t>Efficiënter werken door hergebruik en standaardisatie van data en informatie en Plaats- en tijdonafhankelijk digitaal (samen)werken;</w:t>
      </w:r>
    </w:p>
    <w:p w14:paraId="7D8F5D91" w14:textId="581A3B90" w:rsidR="007163D1" w:rsidRPr="008B1377" w:rsidRDefault="007163D1" w:rsidP="00D41C42">
      <w:pPr>
        <w:pStyle w:val="Lijstalinea"/>
        <w:numPr>
          <w:ilvl w:val="0"/>
          <w:numId w:val="23"/>
        </w:numPr>
        <w:spacing w:after="160" w:line="240" w:lineRule="auto"/>
      </w:pPr>
      <w:r w:rsidRPr="008B1377">
        <w:t>Papieren archiefvorming verminderen / stopzetten;</w:t>
      </w:r>
    </w:p>
    <w:p w14:paraId="06386CCB" w14:textId="77777777" w:rsidR="007163D1" w:rsidRPr="008B1377" w:rsidRDefault="3B9E7CD4" w:rsidP="00D41C42">
      <w:pPr>
        <w:pStyle w:val="Lijstalinea"/>
        <w:numPr>
          <w:ilvl w:val="0"/>
          <w:numId w:val="23"/>
        </w:numPr>
        <w:spacing w:after="160" w:line="240" w:lineRule="auto"/>
      </w:pPr>
      <w:r w:rsidRPr="7C617B9C">
        <w:rPr>
          <w:rFonts w:cstheme="minorBidi"/>
        </w:rPr>
        <w:t xml:space="preserve">Gegevens zijn intern en extern uitwisselbaar, autonoom uitlegbaar, open en </w:t>
      </w:r>
      <w:r>
        <w:t>makkelijk en snel vindbaar (via</w:t>
      </w:r>
      <w:r w:rsidRPr="7C617B9C">
        <w:rPr>
          <w:rFonts w:eastAsia="Verdana" w:cs="Verdana"/>
        </w:rPr>
        <w:t xml:space="preserve"> één loket) </w:t>
      </w:r>
    </w:p>
    <w:p w14:paraId="09864515" w14:textId="009134DF" w:rsidR="00D366B0" w:rsidRPr="008B1377" w:rsidRDefault="00BF295F" w:rsidP="00D41C42">
      <w:pPr>
        <w:pStyle w:val="Lijstalinea"/>
        <w:numPr>
          <w:ilvl w:val="0"/>
          <w:numId w:val="23"/>
        </w:numPr>
        <w:spacing w:after="160" w:line="240" w:lineRule="auto"/>
      </w:pPr>
      <w:r w:rsidRPr="008B1377">
        <w:t>U</w:t>
      </w:r>
      <w:r w:rsidR="00D366B0" w:rsidRPr="008B1377">
        <w:t>niforme werkwijze binnen BIJ12</w:t>
      </w:r>
      <w:r w:rsidR="007163D1" w:rsidRPr="008B1377">
        <w:t xml:space="preserve"> o.b.v. een integrale informatievoorziening</w:t>
      </w:r>
      <w:r w:rsidR="00D366B0" w:rsidRPr="008B1377">
        <w:t>;</w:t>
      </w:r>
    </w:p>
    <w:p w14:paraId="5F2F6D72" w14:textId="1A38AE6E" w:rsidR="00D366B0" w:rsidRPr="008B1377" w:rsidRDefault="00C008C8" w:rsidP="00D41C42">
      <w:pPr>
        <w:pStyle w:val="Lijstalinea"/>
        <w:numPr>
          <w:ilvl w:val="0"/>
          <w:numId w:val="23"/>
        </w:numPr>
        <w:spacing w:after="160" w:line="240" w:lineRule="auto"/>
      </w:pPr>
      <w:r w:rsidRPr="008B1377">
        <w:t>T</w:t>
      </w:r>
      <w:r w:rsidR="00D366B0" w:rsidRPr="008B1377">
        <w:t>oekomstbestendige digitale informatieopslag</w:t>
      </w:r>
      <w:r w:rsidRPr="008B1377">
        <w:t xml:space="preserve"> en </w:t>
      </w:r>
      <w:r w:rsidR="001650CA" w:rsidRPr="008B1377">
        <w:t>-</w:t>
      </w:r>
      <w:r w:rsidRPr="008B1377">
        <w:t>beheer</w:t>
      </w:r>
      <w:r w:rsidR="00D366B0" w:rsidRPr="008B1377">
        <w:t>;</w:t>
      </w:r>
    </w:p>
    <w:p w14:paraId="7C8FCFF7" w14:textId="0B886597" w:rsidR="00D366B0" w:rsidRPr="008B1377" w:rsidRDefault="00B159BA" w:rsidP="00D41C42">
      <w:pPr>
        <w:pStyle w:val="Lijstalinea"/>
        <w:numPr>
          <w:ilvl w:val="0"/>
          <w:numId w:val="23"/>
        </w:numPr>
        <w:spacing w:after="160" w:line="240" w:lineRule="auto"/>
      </w:pPr>
      <w:r w:rsidRPr="008B1377">
        <w:t>C</w:t>
      </w:r>
      <w:r w:rsidR="00C813A6" w:rsidRPr="008B1377">
        <w:t>yclisch verbeteren en borgen van de kwaliteit van de informatiehuishouding.</w:t>
      </w:r>
    </w:p>
    <w:p w14:paraId="2FC55B42" w14:textId="107C49B5" w:rsidR="00241DAE" w:rsidRPr="008B1377" w:rsidRDefault="00755914" w:rsidP="00D41C42">
      <w:pPr>
        <w:spacing w:line="240" w:lineRule="auto"/>
      </w:pPr>
      <w:bookmarkStart w:id="18" w:name="_Hlk507067106"/>
      <w:r w:rsidRPr="008B1377">
        <w:t xml:space="preserve">BIJ12 wil </w:t>
      </w:r>
      <w:r w:rsidR="00241DAE" w:rsidRPr="008B1377">
        <w:t>toe</w:t>
      </w:r>
      <w:r w:rsidR="004014D0" w:rsidRPr="008B1377">
        <w:t>groeien</w:t>
      </w:r>
      <w:r w:rsidRPr="008B1377">
        <w:t xml:space="preserve"> naar </w:t>
      </w:r>
      <w:r w:rsidR="00C813A6" w:rsidRPr="008B1377">
        <w:t xml:space="preserve">een samenhangende en </w:t>
      </w:r>
      <w:r w:rsidR="00C813A6" w:rsidRPr="008B1377">
        <w:rPr>
          <w:u w:val="single"/>
        </w:rPr>
        <w:t>digitaal gerichte</w:t>
      </w:r>
      <w:r w:rsidR="00C813A6" w:rsidRPr="008B1377">
        <w:t xml:space="preserve"> informatievoorziening</w:t>
      </w:r>
      <w:r w:rsidR="00241DAE" w:rsidRPr="008B1377">
        <w:t xml:space="preserve"> waarmee zij data en informatie van en voor de provincies centraal, object-georiënteerd en gecombineerd, kan ontsluiten. </w:t>
      </w:r>
      <w:r w:rsidR="00C813A6" w:rsidRPr="008B1377">
        <w:t xml:space="preserve">Dit houdt in dat de inzet van middelen, mensen en maatregelen voor het op orde houden van een digitaal informatiehuishouden, op elkaar afgestemd </w:t>
      </w:r>
      <w:r w:rsidR="007478EE" w:rsidRPr="008B1377">
        <w:t>is</w:t>
      </w:r>
      <w:r w:rsidR="00C813A6" w:rsidRPr="008B1377">
        <w:t xml:space="preserve">. </w:t>
      </w:r>
      <w:r w:rsidR="00241DAE" w:rsidRPr="008B1377">
        <w:t>Dit is nodig om voorbereid te zijn op toekomstige ontwikkelingen, wijzigende wet- en regelgeving en interprovinciale initiatieven zoals (het digitaal stelsel voor) de Omgevingswet</w:t>
      </w:r>
      <w:r w:rsidR="002960A7" w:rsidRPr="008B1377">
        <w:t>,</w:t>
      </w:r>
      <w:r w:rsidR="00241DAE" w:rsidRPr="008B1377">
        <w:t xml:space="preserve"> de Wet Open Overheid en de Interprovinciale Digitale Agenda (IDA 2.0) en om antwoord te kunnen geven op steeds complexere vragen vanuit de omgeving, onder meer als gevolg van de verdergaande digitalisering van de provinciale werkprocessen en de digitale </w:t>
      </w:r>
      <w:r w:rsidR="00241DAE" w:rsidRPr="008B1377">
        <w:rPr>
          <w:u w:val="single"/>
        </w:rPr>
        <w:t>data en informatie</w:t>
      </w:r>
      <w:r w:rsidR="00241DAE" w:rsidRPr="008B1377">
        <w:t xml:space="preserve"> die daarvoor nodig is. </w:t>
      </w:r>
    </w:p>
    <w:p w14:paraId="414ABECE" w14:textId="77777777" w:rsidR="00241DAE" w:rsidRPr="008B1377" w:rsidRDefault="00241DAE" w:rsidP="00D41C42">
      <w:pPr>
        <w:spacing w:line="240" w:lineRule="auto"/>
      </w:pPr>
    </w:p>
    <w:p w14:paraId="6B86B7C7" w14:textId="4209E308" w:rsidR="00241DAE" w:rsidRPr="008B1377" w:rsidRDefault="00F76AEC" w:rsidP="00D41C42">
      <w:pPr>
        <w:spacing w:line="240" w:lineRule="auto"/>
      </w:pPr>
      <w:r w:rsidRPr="008B1377">
        <w:rPr>
          <w:b/>
          <w:bCs/>
        </w:rPr>
        <w:t>Common ground</w:t>
      </w:r>
      <w:r w:rsidRPr="008B1377">
        <w:t xml:space="preserve"> </w:t>
      </w:r>
      <w:r w:rsidRPr="008B1377">
        <w:br/>
      </w:r>
      <w:r w:rsidR="00241DAE" w:rsidRPr="008B1377">
        <w:t>Dit vraagt kwalitatief goede data- en</w:t>
      </w:r>
      <w:r w:rsidR="002960A7" w:rsidRPr="008B1377">
        <w:t xml:space="preserve"> informatie-</w:t>
      </w:r>
      <w:r w:rsidR="00241DAE" w:rsidRPr="008B1377">
        <w:t xml:space="preserve">uitwisseling op basis van heldere, eenduidige afspraken (creëren van een common ground op basis van een gestandaardiseerd data- en informatiemodel), zicht op wie zeggenschap heeft over welke data, transparante gegevensleveringsprocessen en tools waarmee de data en informatie doelgroepgericht, gebruiker-specifiek beschikbaar kan worden gesteld. </w:t>
      </w:r>
    </w:p>
    <w:p w14:paraId="0D313769" w14:textId="77777777" w:rsidR="00D41C42" w:rsidRPr="008B1377" w:rsidRDefault="00D41C42" w:rsidP="00D41C42">
      <w:pPr>
        <w:spacing w:line="240" w:lineRule="auto"/>
      </w:pPr>
    </w:p>
    <w:p w14:paraId="342A43AC" w14:textId="0B245DDA" w:rsidR="00D366B0" w:rsidRPr="008B1377" w:rsidRDefault="00D366B0" w:rsidP="00D41C42">
      <w:pPr>
        <w:spacing w:line="240" w:lineRule="auto"/>
      </w:pPr>
      <w:r w:rsidRPr="008B1377">
        <w:lastRenderedPageBreak/>
        <w:t>In</w:t>
      </w:r>
      <w:r w:rsidR="00241DAE" w:rsidRPr="008B1377">
        <w:t xml:space="preserve"> het</w:t>
      </w:r>
      <w:r w:rsidRPr="008B1377">
        <w:t xml:space="preserve"> </w:t>
      </w:r>
      <w:r w:rsidR="007478EE" w:rsidRPr="008B1377">
        <w:t>voorliggend</w:t>
      </w:r>
      <w:r w:rsidRPr="008B1377">
        <w:t xml:space="preserve"> informatiebeleid wordt verder ingegaan op de kaders die gelden bij het realiseren </w:t>
      </w:r>
      <w:r w:rsidR="00241DAE" w:rsidRPr="008B1377">
        <w:t>hiervan</w:t>
      </w:r>
      <w:r w:rsidRPr="008B1377">
        <w:t xml:space="preserve">. </w:t>
      </w:r>
      <w:r w:rsidR="00755914" w:rsidRPr="008B1377">
        <w:t xml:space="preserve">De gecontroleerde overgang van de papieren situatie naar de digitale situatie </w:t>
      </w:r>
      <w:r w:rsidR="004014D0" w:rsidRPr="008B1377">
        <w:t>is uitgewerkt</w:t>
      </w:r>
      <w:r w:rsidR="00755914" w:rsidRPr="008B1377">
        <w:t xml:space="preserve"> in het Archiefbeleid</w:t>
      </w:r>
      <w:r w:rsidR="00755914" w:rsidRPr="008B1377">
        <w:rPr>
          <w:rStyle w:val="Voetnootmarkering"/>
        </w:rPr>
        <w:footnoteReference w:id="2"/>
      </w:r>
      <w:r w:rsidR="00755914" w:rsidRPr="008B1377">
        <w:t xml:space="preserve">. </w:t>
      </w:r>
      <w:bookmarkEnd w:id="18"/>
    </w:p>
    <w:p w14:paraId="5472EA96" w14:textId="77777777" w:rsidR="00D366B0" w:rsidRPr="008B1377" w:rsidRDefault="00D366B0" w:rsidP="00D41C42">
      <w:pPr>
        <w:pStyle w:val="Kop3"/>
        <w:spacing w:line="240" w:lineRule="auto"/>
      </w:pPr>
      <w:bookmarkStart w:id="20" w:name="_Toc497961027"/>
      <w:bookmarkStart w:id="21" w:name="_Toc64982953"/>
      <w:r w:rsidRPr="008B1377">
        <w:t>Positionering informatiebeleid</w:t>
      </w:r>
      <w:bookmarkEnd w:id="20"/>
      <w:bookmarkEnd w:id="21"/>
      <w:r w:rsidRPr="008B1377">
        <w:t xml:space="preserve"> </w:t>
      </w:r>
    </w:p>
    <w:p w14:paraId="579E52CF" w14:textId="6D0E2DAE" w:rsidR="00D366B0" w:rsidRPr="008B1377" w:rsidRDefault="00D366B0" w:rsidP="00D41C42">
      <w:pPr>
        <w:spacing w:line="240" w:lineRule="auto"/>
      </w:pPr>
      <w:r w:rsidRPr="008B1377">
        <w:t xml:space="preserve">Naast het informatiebeleid zijn er andere richtinggevende afspraken en inrichtingsafspraken </w:t>
      </w:r>
      <w:r w:rsidR="007E3B63" w:rsidRPr="008B1377">
        <w:t>te maken over de</w:t>
      </w:r>
      <w:r w:rsidRPr="008B1377">
        <w:t xml:space="preserve"> informatievoorziening</w:t>
      </w:r>
      <w:r w:rsidR="00480E75" w:rsidRPr="008B1377">
        <w:t xml:space="preserve"> binnen BIJ12</w:t>
      </w:r>
      <w:r w:rsidRPr="008B1377">
        <w:t xml:space="preserve">. Hoe verhouden die zich tot elkaar en wat is de positie van </w:t>
      </w:r>
      <w:r w:rsidR="00F76AEC" w:rsidRPr="008B1377">
        <w:t>het</w:t>
      </w:r>
      <w:r w:rsidRPr="008B1377">
        <w:t xml:space="preserve"> informatiebeleid daartussen? Onderstaande afbeelding toont op schematische wijze dat </w:t>
      </w:r>
      <w:r w:rsidR="00F76AEC" w:rsidRPr="008B1377">
        <w:t>het</w:t>
      </w:r>
      <w:r w:rsidRPr="008B1377">
        <w:t xml:space="preserve"> informatiebeleid de basis vormt voor aansluitende en verdiepende afspraken.</w:t>
      </w:r>
      <w:r w:rsidR="00DA7C3E" w:rsidRPr="008B1377">
        <w:t xml:space="preserve"> Aan de informatiebeveiliging en de bewaarstrategie</w:t>
      </w:r>
      <w:r w:rsidR="00DA7C3E" w:rsidRPr="008B1377">
        <w:rPr>
          <w:rStyle w:val="Voetnootmarkering"/>
        </w:rPr>
        <w:footnoteReference w:id="3"/>
      </w:r>
      <w:r w:rsidR="00DA7C3E" w:rsidRPr="008B1377">
        <w:t xml:space="preserve"> wordt op basis van uitgangspunten in het informatiebeleid apart aandacht besteed in aanvullende beleidsdocumenten.</w:t>
      </w:r>
    </w:p>
    <w:p w14:paraId="6FDBB2A0" w14:textId="77777777" w:rsidR="00C813A6" w:rsidRPr="008B1377" w:rsidRDefault="00C813A6" w:rsidP="00D41C42">
      <w:pPr>
        <w:spacing w:line="240" w:lineRule="auto"/>
      </w:pPr>
    </w:p>
    <w:p w14:paraId="5A60A5C0" w14:textId="697AD6FF" w:rsidR="00D366B0" w:rsidRPr="008B1377" w:rsidRDefault="00D366B0" w:rsidP="00D41C42">
      <w:pPr>
        <w:spacing w:line="240" w:lineRule="auto"/>
      </w:pPr>
      <w:r w:rsidRPr="008B1377">
        <w:t xml:space="preserve">Informatiebeleid (en </w:t>
      </w:r>
      <w:r w:rsidR="00C813A6" w:rsidRPr="008B1377">
        <w:t>-</w:t>
      </w:r>
      <w:r w:rsidRPr="008B1377">
        <w:t xml:space="preserve">strategie) </w:t>
      </w:r>
      <w:r w:rsidR="00C813A6" w:rsidRPr="008B1377">
        <w:t>zijn het kader</w:t>
      </w:r>
      <w:r w:rsidRPr="008B1377">
        <w:t xml:space="preserve"> voor de daadwerkelijke vormgeving van de onderliggende onderdelen van de informatievoorziening. Concreet betekent dit dat elke afspraak over de informatievoorziening (vaste inzet mensen, procedures, middelen) te herleiden mo</w:t>
      </w:r>
      <w:r w:rsidR="00016692" w:rsidRPr="008B1377">
        <w:t xml:space="preserve">et zijn naar, </w:t>
      </w:r>
      <w:r w:rsidRPr="008B1377">
        <w:t>of moet passen binnen</w:t>
      </w:r>
      <w:r w:rsidR="00016692" w:rsidRPr="008B1377">
        <w:t>,</w:t>
      </w:r>
      <w:r w:rsidRPr="008B1377">
        <w:t xml:space="preserve"> het </w:t>
      </w:r>
      <w:r w:rsidR="00F76AEC" w:rsidRPr="008B1377">
        <w:t>informatie</w:t>
      </w:r>
      <w:r w:rsidRPr="008B1377">
        <w:t xml:space="preserve">beleid. </w:t>
      </w:r>
      <w:r w:rsidR="00443579" w:rsidRPr="008B1377">
        <w:t>Deze afspraken zijn bijvoorbeeld</w:t>
      </w:r>
      <w:r w:rsidRPr="008B1377">
        <w:t xml:space="preserve"> de inrichting van de </w:t>
      </w:r>
      <w:r w:rsidR="005B27C1" w:rsidRPr="008B1377">
        <w:t>Informatievoorziening (IV)</w:t>
      </w:r>
      <w:r w:rsidRPr="008B1377">
        <w:t>-organisatie</w:t>
      </w:r>
      <w:r w:rsidR="0023541F" w:rsidRPr="008B1377">
        <w:t xml:space="preserve"> </w:t>
      </w:r>
      <w:r w:rsidR="00443579" w:rsidRPr="008B1377">
        <w:t xml:space="preserve">of het </w:t>
      </w:r>
      <w:r w:rsidRPr="008B1377">
        <w:t>wel of niet toepassen van selectielijsten</w:t>
      </w:r>
      <w:r w:rsidR="00016692" w:rsidRPr="008B1377">
        <w:t xml:space="preserve"> op archieven die formeel niet onder de</w:t>
      </w:r>
      <w:r w:rsidR="00EA0E47" w:rsidRPr="008B1377">
        <w:t xml:space="preserve"> werking van de</w:t>
      </w:r>
      <w:r w:rsidR="00016692" w:rsidRPr="008B1377">
        <w:t xml:space="preserve"> Archiefwet vallen</w:t>
      </w:r>
      <w:r w:rsidRPr="008B1377">
        <w:t xml:space="preserve">. </w:t>
      </w:r>
    </w:p>
    <w:p w14:paraId="66CD8BF5" w14:textId="77777777" w:rsidR="00D41C42" w:rsidRPr="008B1377" w:rsidRDefault="00D41C42" w:rsidP="00D41C42">
      <w:pPr>
        <w:spacing w:line="240" w:lineRule="auto"/>
      </w:pPr>
    </w:p>
    <w:p w14:paraId="48C399E1" w14:textId="34276800" w:rsidR="00D366B0" w:rsidRPr="008B1377" w:rsidRDefault="00D366B0" w:rsidP="00D41C42">
      <w:pPr>
        <w:spacing w:line="240" w:lineRule="auto"/>
      </w:pPr>
      <w:r w:rsidRPr="008B1377">
        <w:t>In onderstaande afbeelding is schematisch weergegeven hoe het informatiebeleid samenhangt met ander beleid en producten</w:t>
      </w:r>
      <w:r w:rsidR="00CE4578" w:rsidRPr="008B1377">
        <w:t xml:space="preserve"> voor de informatievoorziening</w:t>
      </w:r>
      <w:r w:rsidR="006E1399" w:rsidRPr="008B1377">
        <w:t>.</w:t>
      </w:r>
      <w:r w:rsidRPr="008B1377">
        <w:t xml:space="preserve"> </w:t>
      </w:r>
    </w:p>
    <w:p w14:paraId="12F3327E" w14:textId="77777777" w:rsidR="00D366B0" w:rsidRPr="008B1377" w:rsidRDefault="00D366B0" w:rsidP="00D41C42">
      <w:pPr>
        <w:spacing w:line="240" w:lineRule="auto"/>
      </w:pPr>
    </w:p>
    <w:p w14:paraId="16E4D8E1" w14:textId="77777777" w:rsidR="00D366B0" w:rsidRPr="008B1377" w:rsidRDefault="00D366B0" w:rsidP="00D41C42">
      <w:pPr>
        <w:spacing w:line="240" w:lineRule="auto"/>
      </w:pPr>
      <w:r>
        <w:rPr>
          <w:noProof/>
        </w:rPr>
        <w:drawing>
          <wp:inline distT="0" distB="0" distL="0" distR="0" wp14:anchorId="02E06570" wp14:editId="2F55822E">
            <wp:extent cx="5144771" cy="342900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pic:nvPicPr>
                  <pic:blipFill>
                    <a:blip r:embed="rId25">
                      <a:extLst>
                        <a:ext uri="{28A0092B-C50C-407E-A947-70E740481C1C}">
                          <a14:useLocalDpi xmlns:a14="http://schemas.microsoft.com/office/drawing/2010/main" val="0"/>
                        </a:ext>
                      </a:extLst>
                    </a:blip>
                    <a:stretch>
                      <a:fillRect/>
                    </a:stretch>
                  </pic:blipFill>
                  <pic:spPr>
                    <a:xfrm>
                      <a:off x="0" y="0"/>
                      <a:ext cx="5144771" cy="3429000"/>
                    </a:xfrm>
                    <a:prstGeom prst="rect">
                      <a:avLst/>
                    </a:prstGeom>
                  </pic:spPr>
                </pic:pic>
              </a:graphicData>
            </a:graphic>
          </wp:inline>
        </w:drawing>
      </w:r>
    </w:p>
    <w:p w14:paraId="6460DFB1" w14:textId="77777777" w:rsidR="00D366B0" w:rsidRPr="008B1377" w:rsidRDefault="00D366B0" w:rsidP="00D41C42">
      <w:pPr>
        <w:pStyle w:val="Kop2"/>
        <w:spacing w:line="240" w:lineRule="auto"/>
      </w:pPr>
      <w:bookmarkStart w:id="22" w:name="_Toc497961007"/>
      <w:bookmarkStart w:id="23" w:name="_Toc497961028"/>
      <w:bookmarkStart w:id="24" w:name="_Toc64982954"/>
      <w:r w:rsidRPr="008B1377">
        <w:t>Scope</w:t>
      </w:r>
      <w:bookmarkEnd w:id="22"/>
      <w:bookmarkEnd w:id="23"/>
      <w:bookmarkEnd w:id="24"/>
      <w:r w:rsidRPr="008B1377">
        <w:t xml:space="preserve"> </w:t>
      </w:r>
    </w:p>
    <w:p w14:paraId="22853B50" w14:textId="77777777" w:rsidR="00AD589F" w:rsidRPr="008B1377" w:rsidRDefault="00D366B0" w:rsidP="00D41C42">
      <w:pPr>
        <w:spacing w:line="240" w:lineRule="auto"/>
        <w:rPr>
          <w:rFonts w:cstheme="minorHAnsi"/>
        </w:rPr>
      </w:pPr>
      <w:r w:rsidRPr="008B1377">
        <w:rPr>
          <w:rFonts w:cstheme="minorHAnsi"/>
        </w:rPr>
        <w:t>BIJ12 kiest ervoor</w:t>
      </w:r>
      <w:r w:rsidR="003E1ECF" w:rsidRPr="008B1377">
        <w:rPr>
          <w:rFonts w:cstheme="minorHAnsi"/>
        </w:rPr>
        <w:t xml:space="preserve"> om</w:t>
      </w:r>
      <w:r w:rsidRPr="008B1377">
        <w:rPr>
          <w:rFonts w:cstheme="minorHAnsi"/>
        </w:rPr>
        <w:t xml:space="preserve"> het informatiebeleid te laten meegroeien met de ontwikkelingen en de volwassenheid van de organisatie</w:t>
      </w:r>
      <w:r w:rsidR="00CE48AA" w:rsidRPr="008B1377">
        <w:rPr>
          <w:rFonts w:cstheme="minorHAnsi"/>
        </w:rPr>
        <w:t>.</w:t>
      </w:r>
      <w:r w:rsidR="000E5181" w:rsidRPr="008B1377">
        <w:rPr>
          <w:rFonts w:cstheme="minorHAnsi"/>
        </w:rPr>
        <w:t xml:space="preserve"> </w:t>
      </w:r>
      <w:r w:rsidRPr="008B1377">
        <w:rPr>
          <w:rFonts w:cstheme="minorHAnsi"/>
        </w:rPr>
        <w:t xml:space="preserve">De in paragraaf 1.2.1 beschreven informatiedoelen </w:t>
      </w:r>
      <w:r w:rsidR="00223881" w:rsidRPr="008B1377">
        <w:rPr>
          <w:rFonts w:cstheme="minorHAnsi"/>
        </w:rPr>
        <w:t xml:space="preserve">kunnen meerdere aspecten </w:t>
      </w:r>
      <w:r w:rsidRPr="008B1377">
        <w:rPr>
          <w:rFonts w:cstheme="minorHAnsi"/>
        </w:rPr>
        <w:t>van</w:t>
      </w:r>
      <w:r w:rsidR="003030E6" w:rsidRPr="008B1377">
        <w:rPr>
          <w:rFonts w:cstheme="minorHAnsi"/>
        </w:rPr>
        <w:t xml:space="preserve"> informatie</w:t>
      </w:r>
      <w:r w:rsidR="00F10F83" w:rsidRPr="008B1377">
        <w:rPr>
          <w:rFonts w:cstheme="minorHAnsi"/>
        </w:rPr>
        <w:t>management</w:t>
      </w:r>
      <w:r w:rsidR="003030E6" w:rsidRPr="008B1377">
        <w:rPr>
          <w:rFonts w:cstheme="minorHAnsi"/>
        </w:rPr>
        <w:t xml:space="preserve"> </w:t>
      </w:r>
      <w:r w:rsidR="005B2624" w:rsidRPr="008B1377">
        <w:rPr>
          <w:rFonts w:cstheme="minorHAnsi"/>
        </w:rPr>
        <w:t>raken. (Zie onderstaand model voor de verschillende aspecten van informatie</w:t>
      </w:r>
      <w:r w:rsidR="00F10F83" w:rsidRPr="008B1377">
        <w:rPr>
          <w:rFonts w:cstheme="minorHAnsi"/>
        </w:rPr>
        <w:t>management</w:t>
      </w:r>
      <w:r w:rsidR="005B2624" w:rsidRPr="008B1377">
        <w:rPr>
          <w:rFonts w:cstheme="minorHAnsi"/>
        </w:rPr>
        <w:t xml:space="preserve">.) </w:t>
      </w:r>
      <w:r w:rsidR="00F76AEC" w:rsidRPr="008B1377">
        <w:rPr>
          <w:rFonts w:cstheme="minorHAnsi"/>
        </w:rPr>
        <w:br/>
      </w:r>
    </w:p>
    <w:p w14:paraId="3CE6EA4B" w14:textId="746CA542" w:rsidR="00D366B0" w:rsidRPr="008B1377" w:rsidRDefault="00AD589F" w:rsidP="00D41C42">
      <w:pPr>
        <w:spacing w:line="240" w:lineRule="auto"/>
        <w:rPr>
          <w:rFonts w:cstheme="minorHAnsi"/>
        </w:rPr>
      </w:pPr>
      <w:r w:rsidRPr="008B1377">
        <w:rPr>
          <w:rFonts w:cstheme="minorHAnsi"/>
        </w:rPr>
        <w:lastRenderedPageBreak/>
        <w:t>V</w:t>
      </w:r>
      <w:r w:rsidR="00F10F83" w:rsidRPr="008B1377">
        <w:rPr>
          <w:rFonts w:cstheme="minorHAnsi"/>
        </w:rPr>
        <w:t>oorliggend</w:t>
      </w:r>
      <w:r w:rsidR="00CE48AA" w:rsidRPr="008B1377">
        <w:rPr>
          <w:rFonts w:cstheme="minorHAnsi"/>
        </w:rPr>
        <w:t xml:space="preserve"> </w:t>
      </w:r>
      <w:r w:rsidR="00D366B0" w:rsidRPr="008B1377">
        <w:rPr>
          <w:rFonts w:cstheme="minorHAnsi"/>
        </w:rPr>
        <w:t>informatiebeleid</w:t>
      </w:r>
      <w:r w:rsidR="0024496B" w:rsidRPr="008B1377">
        <w:rPr>
          <w:rFonts w:cstheme="minorHAnsi"/>
        </w:rPr>
        <w:t>,</w:t>
      </w:r>
      <w:r w:rsidR="00D366B0" w:rsidRPr="008B1377">
        <w:rPr>
          <w:rFonts w:cstheme="minorHAnsi"/>
        </w:rPr>
        <w:t xml:space="preserve"> </w:t>
      </w:r>
      <w:r w:rsidR="00E70603" w:rsidRPr="008B1377">
        <w:rPr>
          <w:rFonts w:cstheme="minorHAnsi"/>
        </w:rPr>
        <w:t xml:space="preserve">het informatiebeveiligingsbeleid en </w:t>
      </w:r>
      <w:r w:rsidR="0024496B" w:rsidRPr="008B1377">
        <w:rPr>
          <w:rFonts w:cstheme="minorHAnsi"/>
        </w:rPr>
        <w:t xml:space="preserve">de </w:t>
      </w:r>
      <w:r w:rsidR="00E70603" w:rsidRPr="008B1377">
        <w:rPr>
          <w:rFonts w:cstheme="minorHAnsi"/>
        </w:rPr>
        <w:t xml:space="preserve">bewaarstrategie </w:t>
      </w:r>
      <w:r w:rsidRPr="008B1377">
        <w:rPr>
          <w:rFonts w:cstheme="minorHAnsi"/>
        </w:rPr>
        <w:t xml:space="preserve">zijn </w:t>
      </w:r>
      <w:r w:rsidR="0024496B" w:rsidRPr="008B1377">
        <w:rPr>
          <w:rFonts w:cstheme="minorHAnsi"/>
        </w:rPr>
        <w:t xml:space="preserve">voor nu </w:t>
      </w:r>
      <w:r w:rsidR="00EF5BAA" w:rsidRPr="008B1377">
        <w:rPr>
          <w:rFonts w:cstheme="minorHAnsi"/>
        </w:rPr>
        <w:t>vooral</w:t>
      </w:r>
      <w:r w:rsidR="0024496B" w:rsidRPr="008B1377">
        <w:rPr>
          <w:rFonts w:cstheme="minorHAnsi"/>
        </w:rPr>
        <w:t xml:space="preserve"> gericht op </w:t>
      </w:r>
      <w:r w:rsidR="006808F3" w:rsidRPr="008B1377">
        <w:rPr>
          <w:rFonts w:cstheme="minorHAnsi"/>
        </w:rPr>
        <w:t>onderwerpen</w:t>
      </w:r>
      <w:r w:rsidR="00D366B0" w:rsidRPr="008B1377">
        <w:rPr>
          <w:rFonts w:cstheme="minorHAnsi"/>
        </w:rPr>
        <w:t xml:space="preserve"> die te maken hebben met de volgende aspecten</w:t>
      </w:r>
      <w:r w:rsidR="005B2624" w:rsidRPr="008B1377">
        <w:rPr>
          <w:rStyle w:val="Voetnootmarkering"/>
          <w:rFonts w:cstheme="minorHAnsi"/>
        </w:rPr>
        <w:footnoteReference w:id="4"/>
      </w:r>
      <w:r w:rsidR="005B2624" w:rsidRPr="008B1377">
        <w:rPr>
          <w:rFonts w:cstheme="minorHAnsi"/>
        </w:rPr>
        <w:t>:</w:t>
      </w:r>
    </w:p>
    <w:p w14:paraId="01B72501" w14:textId="30230537" w:rsidR="00D366B0" w:rsidRPr="008B1377" w:rsidRDefault="00D366B0" w:rsidP="00D41C42">
      <w:pPr>
        <w:pStyle w:val="Lijstalinea"/>
        <w:numPr>
          <w:ilvl w:val="0"/>
          <w:numId w:val="36"/>
        </w:numPr>
        <w:spacing w:after="160" w:line="240" w:lineRule="auto"/>
        <w:rPr>
          <w:rFonts w:cstheme="minorHAnsi"/>
        </w:rPr>
      </w:pPr>
      <w:r w:rsidRPr="008B1377">
        <w:rPr>
          <w:rFonts w:cstheme="minorHAnsi"/>
        </w:rPr>
        <w:t>Compliance</w:t>
      </w:r>
      <w:r w:rsidR="00EF5BAA" w:rsidRPr="008B1377">
        <w:rPr>
          <w:rFonts w:cstheme="minorHAnsi"/>
        </w:rPr>
        <w:t xml:space="preserve"> </w:t>
      </w:r>
    </w:p>
    <w:p w14:paraId="6A133E19" w14:textId="5BF7AB5C" w:rsidR="00D366B0" w:rsidRPr="008B1377" w:rsidRDefault="00D366B0" w:rsidP="00D41C42">
      <w:pPr>
        <w:pStyle w:val="Lijstalinea"/>
        <w:numPr>
          <w:ilvl w:val="0"/>
          <w:numId w:val="36"/>
        </w:numPr>
        <w:spacing w:after="160" w:line="240" w:lineRule="auto"/>
        <w:rPr>
          <w:rFonts w:cstheme="minorHAnsi"/>
        </w:rPr>
      </w:pPr>
      <w:r w:rsidRPr="008B1377">
        <w:rPr>
          <w:rFonts w:cstheme="minorHAnsi"/>
        </w:rPr>
        <w:t>Informatiebeveiliging</w:t>
      </w:r>
    </w:p>
    <w:p w14:paraId="4775CF86" w14:textId="1A4027A3" w:rsidR="004F202A" w:rsidRPr="008B1377" w:rsidRDefault="004F202A" w:rsidP="00D41C42">
      <w:pPr>
        <w:pStyle w:val="Lijstalinea"/>
        <w:numPr>
          <w:ilvl w:val="0"/>
          <w:numId w:val="36"/>
        </w:numPr>
        <w:spacing w:after="160" w:line="240" w:lineRule="auto"/>
        <w:rPr>
          <w:rFonts w:cstheme="minorHAnsi"/>
        </w:rPr>
      </w:pPr>
      <w:r w:rsidRPr="008B1377">
        <w:rPr>
          <w:rFonts w:cstheme="minorHAnsi"/>
        </w:rPr>
        <w:t>Privacy</w:t>
      </w:r>
    </w:p>
    <w:p w14:paraId="7F4241C3" w14:textId="726C615E" w:rsidR="00D366B0" w:rsidRPr="008B1377" w:rsidRDefault="00D366B0" w:rsidP="00D41C42">
      <w:pPr>
        <w:pStyle w:val="Lijstalinea"/>
        <w:numPr>
          <w:ilvl w:val="0"/>
          <w:numId w:val="36"/>
        </w:numPr>
        <w:spacing w:after="160" w:line="240" w:lineRule="auto"/>
        <w:rPr>
          <w:rFonts w:cstheme="minorHAnsi"/>
        </w:rPr>
      </w:pPr>
      <w:r w:rsidRPr="008B1377">
        <w:rPr>
          <w:rFonts w:cstheme="minorHAnsi"/>
        </w:rPr>
        <w:t>Recordmanagement (digitaal informatie- en archiefbeheer)</w:t>
      </w:r>
    </w:p>
    <w:p w14:paraId="2BE1D046" w14:textId="42E05A3F" w:rsidR="00D366B0" w:rsidRPr="008B1377" w:rsidRDefault="003E1ECF" w:rsidP="00D41C42">
      <w:pPr>
        <w:pStyle w:val="Lijstalinea"/>
        <w:numPr>
          <w:ilvl w:val="0"/>
          <w:numId w:val="36"/>
        </w:numPr>
        <w:spacing w:after="160" w:line="240" w:lineRule="auto"/>
        <w:rPr>
          <w:rFonts w:cstheme="minorHAnsi"/>
        </w:rPr>
      </w:pPr>
      <w:r w:rsidRPr="008B1377">
        <w:rPr>
          <w:rFonts w:cstheme="minorHAnsi"/>
        </w:rPr>
        <w:t>Werken onder a</w:t>
      </w:r>
      <w:r w:rsidR="00D366B0" w:rsidRPr="008B1377">
        <w:rPr>
          <w:rFonts w:cstheme="minorHAnsi"/>
        </w:rPr>
        <w:t>rchitectuur</w:t>
      </w:r>
    </w:p>
    <w:p w14:paraId="10FFDFC7" w14:textId="6E258F05" w:rsidR="00A34D37" w:rsidRPr="008B1377" w:rsidRDefault="00D366B0" w:rsidP="00D41C42">
      <w:pPr>
        <w:pStyle w:val="Lijstalinea"/>
        <w:numPr>
          <w:ilvl w:val="0"/>
          <w:numId w:val="36"/>
        </w:numPr>
        <w:spacing w:after="160" w:line="240" w:lineRule="auto"/>
        <w:rPr>
          <w:rFonts w:cstheme="minorHAnsi"/>
        </w:rPr>
      </w:pPr>
      <w:r w:rsidRPr="008B1377">
        <w:rPr>
          <w:rFonts w:cstheme="minorHAnsi"/>
        </w:rPr>
        <w:t>Bedrijfsvoering en management</w:t>
      </w:r>
    </w:p>
    <w:p w14:paraId="31ECAA7A" w14:textId="5CBA1D85" w:rsidR="0023541F" w:rsidRPr="008B1377" w:rsidRDefault="0023541F" w:rsidP="00D41C42">
      <w:pPr>
        <w:pStyle w:val="Lijstalinea"/>
        <w:numPr>
          <w:ilvl w:val="0"/>
          <w:numId w:val="36"/>
        </w:numPr>
        <w:spacing w:after="160" w:line="240" w:lineRule="auto"/>
        <w:rPr>
          <w:rFonts w:cstheme="minorHAnsi"/>
        </w:rPr>
      </w:pPr>
      <w:r w:rsidRPr="008B1377">
        <w:rPr>
          <w:rFonts w:cstheme="minorHAnsi"/>
        </w:rPr>
        <w:t>Data Storage en archivering</w:t>
      </w:r>
    </w:p>
    <w:p w14:paraId="6B0B659C" w14:textId="68A03A16" w:rsidR="00B203F8" w:rsidRPr="008B1377" w:rsidRDefault="00B203F8" w:rsidP="00D41C42">
      <w:pPr>
        <w:pStyle w:val="Lijstalinea"/>
        <w:numPr>
          <w:ilvl w:val="0"/>
          <w:numId w:val="36"/>
        </w:numPr>
        <w:spacing w:after="160" w:line="240" w:lineRule="auto"/>
        <w:rPr>
          <w:rFonts w:cstheme="minorHAnsi"/>
        </w:rPr>
      </w:pPr>
      <w:r w:rsidRPr="008B1377">
        <w:rPr>
          <w:rFonts w:cstheme="minorHAnsi"/>
        </w:rPr>
        <w:t>Data Governance</w:t>
      </w:r>
    </w:p>
    <w:p w14:paraId="0B5F21C4" w14:textId="2B66AD1B" w:rsidR="006F27B2" w:rsidRPr="008B1377" w:rsidRDefault="006F27B2" w:rsidP="00D41C42">
      <w:pPr>
        <w:pStyle w:val="Lijstalinea"/>
        <w:numPr>
          <w:ilvl w:val="0"/>
          <w:numId w:val="36"/>
        </w:numPr>
        <w:spacing w:after="160" w:line="240" w:lineRule="auto"/>
        <w:rPr>
          <w:rFonts w:cstheme="minorHAnsi"/>
        </w:rPr>
      </w:pPr>
      <w:r w:rsidRPr="008B1377">
        <w:rPr>
          <w:rFonts w:cstheme="minorHAnsi"/>
        </w:rPr>
        <w:t>Risicomanagement / risicobeheer</w:t>
      </w:r>
    </w:p>
    <w:p w14:paraId="4338A0AC" w14:textId="3CD4EF94" w:rsidR="005B2624" w:rsidRPr="008B1377" w:rsidRDefault="005B2624" w:rsidP="00D41C42">
      <w:pPr>
        <w:spacing w:after="160" w:line="240" w:lineRule="auto"/>
      </w:pPr>
      <w:r w:rsidRPr="008B1377">
        <w:t xml:space="preserve">Ad 1. Compliance: </w:t>
      </w:r>
      <w:r w:rsidR="00CB6368" w:rsidRPr="008B1377">
        <w:br/>
      </w:r>
      <w:r w:rsidRPr="008B1377">
        <w:t xml:space="preserve">BIJ12 </w:t>
      </w:r>
      <w:r w:rsidR="003E1ECF" w:rsidRPr="008B1377">
        <w:t>moet</w:t>
      </w:r>
      <w:r w:rsidRPr="008B1377">
        <w:t xml:space="preserve"> voldoen aan wettelijke </w:t>
      </w:r>
      <w:r w:rsidR="00F76AEC" w:rsidRPr="008B1377">
        <w:t>eisen</w:t>
      </w:r>
      <w:r w:rsidRPr="008B1377">
        <w:t xml:space="preserve"> </w:t>
      </w:r>
      <w:r w:rsidR="00EF5BAA" w:rsidRPr="008B1377">
        <w:t xml:space="preserve">en overheidsrichtlijnen </w:t>
      </w:r>
      <w:r w:rsidRPr="008B1377">
        <w:t>voor informatie</w:t>
      </w:r>
      <w:r w:rsidR="00095B85" w:rsidRPr="008B1377">
        <w:t>-</w:t>
      </w:r>
      <w:r w:rsidRPr="008B1377">
        <w:t xml:space="preserve"> en archiefbeheer</w:t>
      </w:r>
      <w:r w:rsidR="00EF5BAA" w:rsidRPr="008B1377">
        <w:t xml:space="preserve"> (o.a. Baseline Informatievoorziening, Wet Open Overheid, Richtlijnen archiveren overheidswebsites, Algemene Verordening Gegevensbescherming (AVG), Richtlijn voorkeursformaten archivering, Referentiearchitecturen Overheid (NORA en PETRA)</w:t>
      </w:r>
      <w:r w:rsidR="002E10BB" w:rsidRPr="008B1377">
        <w:t>, Richtlijnen Forum Standaardisatie</w:t>
      </w:r>
      <w:r w:rsidR="00EF5BAA" w:rsidRPr="008B1377">
        <w:t>)</w:t>
      </w:r>
      <w:r w:rsidRPr="008B1377">
        <w:t xml:space="preserve">. </w:t>
      </w:r>
    </w:p>
    <w:p w14:paraId="6E78B5FB" w14:textId="4FF7E40C" w:rsidR="005B2624" w:rsidRPr="008B1377" w:rsidRDefault="005B2624" w:rsidP="00D41C42">
      <w:pPr>
        <w:spacing w:after="160" w:line="240" w:lineRule="auto"/>
      </w:pPr>
      <w:r w:rsidRPr="008B1377">
        <w:t xml:space="preserve">Ad 2. Informatiebeveiliging: </w:t>
      </w:r>
      <w:r w:rsidR="00CB6368" w:rsidRPr="008B1377">
        <w:br/>
      </w:r>
      <w:r w:rsidRPr="008B1377">
        <w:t xml:space="preserve">Informatiebeveiliging </w:t>
      </w:r>
      <w:r w:rsidR="00EF5BAA" w:rsidRPr="008B1377">
        <w:t>is onderdeel</w:t>
      </w:r>
      <w:r w:rsidRPr="008B1377">
        <w:t xml:space="preserve"> van het voldoen aan wet</w:t>
      </w:r>
      <w:r w:rsidR="007E3B63" w:rsidRPr="008B1377">
        <w:t xml:space="preserve"> </w:t>
      </w:r>
      <w:r w:rsidRPr="008B1377">
        <w:t>&amp; regelgeving</w:t>
      </w:r>
      <w:r w:rsidR="00EF5BAA" w:rsidRPr="008B1377">
        <w:t xml:space="preserve"> en toepassen van overheidsrichtlijnen</w:t>
      </w:r>
      <w:r w:rsidRPr="008B1377">
        <w:t xml:space="preserve">. Ook zorgt het voor een uniforme werkwijze en kwaliteitsborging </w:t>
      </w:r>
      <w:r w:rsidR="00EF5BAA" w:rsidRPr="008B1377">
        <w:t xml:space="preserve">voor </w:t>
      </w:r>
      <w:r w:rsidRPr="008B1377">
        <w:t>de manier waarop er met informatie wordt omgegaan</w:t>
      </w:r>
      <w:r w:rsidR="00EF5BAA" w:rsidRPr="008B1377">
        <w:t xml:space="preserve"> in de (bedrijfs- en werk-)processen van BIJ12 en de geautomatiseerde ondersteuning</w:t>
      </w:r>
      <w:r w:rsidR="00B274A9" w:rsidRPr="008B1377">
        <w:t xml:space="preserve"> daarbij, zowel binnen BIJ12 als in de dienstverlening</w:t>
      </w:r>
      <w:r w:rsidR="00EF5BAA" w:rsidRPr="008B1377">
        <w:t xml:space="preserve"> </w:t>
      </w:r>
      <w:r w:rsidR="00B274A9" w:rsidRPr="008B1377">
        <w:t>aan</w:t>
      </w:r>
      <w:r w:rsidR="00EF5BAA" w:rsidRPr="008B1377">
        <w:t xml:space="preserve"> de provincies</w:t>
      </w:r>
      <w:r w:rsidR="00B274A9" w:rsidRPr="008B1377">
        <w:t>.</w:t>
      </w:r>
    </w:p>
    <w:p w14:paraId="4BE855CA" w14:textId="38DE2241" w:rsidR="004F202A" w:rsidRPr="008B1377" w:rsidRDefault="004F202A" w:rsidP="00D41C42">
      <w:pPr>
        <w:spacing w:after="160" w:line="240" w:lineRule="auto"/>
      </w:pPr>
      <w:r w:rsidRPr="008B1377">
        <w:t xml:space="preserve">Ad 3. Privacy: </w:t>
      </w:r>
      <w:r w:rsidR="00CB6368" w:rsidRPr="008B1377">
        <w:br/>
        <w:t>S</w:t>
      </w:r>
      <w:r w:rsidR="00615520" w:rsidRPr="008B1377">
        <w:t xml:space="preserve">inds </w:t>
      </w:r>
      <w:r w:rsidRPr="008B1377">
        <w:t xml:space="preserve">de komst van de Algemene Verordening Gegevensbescherming (AVG) separaat in beeld gebracht. Het betreft het volgens de normen van de AVG aantoonbaar correct omgaan met de verwerking van persoonsgegevens in de werkprocessen van BIJ12. Dit betreft </w:t>
      </w:r>
      <w:r w:rsidR="000A1C7C" w:rsidRPr="008B1377">
        <w:t>ook</w:t>
      </w:r>
      <w:r w:rsidRPr="008B1377">
        <w:t xml:space="preserve"> de verwerking van personeelsgegevens</w:t>
      </w:r>
      <w:r w:rsidR="000A1C7C" w:rsidRPr="008B1377">
        <w:t xml:space="preserve"> (bijv. hoe lang mogen </w:t>
      </w:r>
      <w:r w:rsidR="00B118DA" w:rsidRPr="008B1377">
        <w:t>gegevens van sollicitanten e</w:t>
      </w:r>
      <w:r w:rsidR="00B66C46" w:rsidRPr="008B1377">
        <w:t>n oud-medewerkers bewaard blijven)</w:t>
      </w:r>
      <w:r w:rsidRPr="008B1377">
        <w:t xml:space="preserve">. </w:t>
      </w:r>
    </w:p>
    <w:p w14:paraId="27EA53AC" w14:textId="4DF21DDD" w:rsidR="005B2624" w:rsidRPr="008B1377" w:rsidRDefault="005B2624" w:rsidP="00D41C42">
      <w:pPr>
        <w:spacing w:after="160" w:line="240" w:lineRule="auto"/>
      </w:pPr>
      <w:r w:rsidRPr="008B1377">
        <w:t xml:space="preserve">Ad </w:t>
      </w:r>
      <w:r w:rsidR="004F202A" w:rsidRPr="008B1377">
        <w:t>4</w:t>
      </w:r>
      <w:r w:rsidRPr="008B1377">
        <w:t>.</w:t>
      </w:r>
      <w:r w:rsidR="00DF13F5" w:rsidRPr="008B1377">
        <w:t xml:space="preserve"> Recordmanagement: </w:t>
      </w:r>
      <w:r w:rsidR="00CB6368" w:rsidRPr="008B1377">
        <w:br/>
        <w:t>D</w:t>
      </w:r>
      <w:r w:rsidRPr="008B1377">
        <w:t xml:space="preserve">igitaal informatie- en archiefbeheer gericht op verantwoording. </w:t>
      </w:r>
      <w:r w:rsidR="00427BD6" w:rsidRPr="008B1377">
        <w:t xml:space="preserve">Dit is van belang om </w:t>
      </w:r>
      <w:r w:rsidR="00147D9C" w:rsidRPr="008B1377">
        <w:t>informatie</w:t>
      </w:r>
      <w:r w:rsidR="00427BD6" w:rsidRPr="008B1377">
        <w:t xml:space="preserve"> duurzaam</w:t>
      </w:r>
      <w:r w:rsidR="00147D9C" w:rsidRPr="008B1377">
        <w:t xml:space="preserve"> digitaal beschikbaar </w:t>
      </w:r>
      <w:r w:rsidR="00427BD6" w:rsidRPr="008B1377">
        <w:t xml:space="preserve">te </w:t>
      </w:r>
      <w:r w:rsidR="00147D9C" w:rsidRPr="008B1377">
        <w:t>hebben (PLATO), informatie beter vindbaar</w:t>
      </w:r>
      <w:r w:rsidR="00427BD6" w:rsidRPr="008B1377">
        <w:t xml:space="preserve"> te</w:t>
      </w:r>
      <w:r w:rsidR="00147D9C" w:rsidRPr="008B1377">
        <w:t xml:space="preserve"> maken en efficiënter </w:t>
      </w:r>
      <w:r w:rsidR="00427BD6" w:rsidRPr="008B1377">
        <w:t xml:space="preserve">te </w:t>
      </w:r>
      <w:r w:rsidR="00147D9C" w:rsidRPr="008B1377">
        <w:t xml:space="preserve">werken. </w:t>
      </w:r>
      <w:r w:rsidR="00427BD6" w:rsidRPr="008B1377">
        <w:t>Het Recordmanagement wordt ingericht met de implementatie van het Document Management Systeem van BIJ12</w:t>
      </w:r>
      <w:r w:rsidR="00AD589F" w:rsidRPr="008B1377">
        <w:t>.</w:t>
      </w:r>
    </w:p>
    <w:p w14:paraId="322794D6" w14:textId="73755E6D" w:rsidR="00FC09A6" w:rsidRPr="008B1377" w:rsidRDefault="00147D9C" w:rsidP="00FC09A6">
      <w:pPr>
        <w:autoSpaceDE w:val="0"/>
        <w:autoSpaceDN w:val="0"/>
        <w:adjustRightInd w:val="0"/>
        <w:spacing w:line="240" w:lineRule="auto"/>
        <w:rPr>
          <w:rFonts w:cs="Helvetica"/>
        </w:rPr>
      </w:pPr>
      <w:r w:rsidRPr="008B1377">
        <w:t xml:space="preserve">Ad </w:t>
      </w:r>
      <w:r w:rsidR="004F202A" w:rsidRPr="008B1377">
        <w:t>5</w:t>
      </w:r>
      <w:r w:rsidRPr="008B1377">
        <w:t xml:space="preserve">. </w:t>
      </w:r>
      <w:r w:rsidR="003E1ECF" w:rsidRPr="008B1377">
        <w:t>Werken onder a</w:t>
      </w:r>
      <w:r w:rsidRPr="008B1377">
        <w:t xml:space="preserve">rchitectuur: </w:t>
      </w:r>
      <w:r w:rsidR="00CB6368" w:rsidRPr="008B1377">
        <w:br/>
      </w:r>
      <w:r w:rsidRPr="008B1377">
        <w:t xml:space="preserve">Architectuur gaat over </w:t>
      </w:r>
      <w:bookmarkStart w:id="25" w:name="_Hlk502752805"/>
      <w:r w:rsidRPr="008B1377">
        <w:t>vaste afspraken</w:t>
      </w:r>
      <w:r w:rsidR="001A1BDE" w:rsidRPr="008B1377">
        <w:t xml:space="preserve"> (principes)</w:t>
      </w:r>
      <w:r w:rsidRPr="008B1377">
        <w:t xml:space="preserve"> over </w:t>
      </w:r>
      <w:r w:rsidR="001A1BDE" w:rsidRPr="008B1377">
        <w:t>hoe de</w:t>
      </w:r>
      <w:r w:rsidRPr="008B1377">
        <w:t xml:space="preserve"> informatievoorziening eruit ziet</w:t>
      </w:r>
      <w:r w:rsidR="001A1BDE" w:rsidRPr="008B1377">
        <w:t>, conform de geldende overheids</w:t>
      </w:r>
      <w:r w:rsidR="006A50C7" w:rsidRPr="008B1377">
        <w:t>kaders en -</w:t>
      </w:r>
      <w:r w:rsidR="001A1BDE" w:rsidRPr="008B1377">
        <w:t>richtlijnen</w:t>
      </w:r>
      <w:r w:rsidRPr="008B1377">
        <w:t xml:space="preserve">. </w:t>
      </w:r>
      <w:bookmarkEnd w:id="25"/>
      <w:r w:rsidR="00CB6368" w:rsidRPr="008B1377">
        <w:br/>
      </w:r>
      <w:r w:rsidR="001A1BDE" w:rsidRPr="008B1377">
        <w:t xml:space="preserve">Binnen BIJ12 is dit nader uitgewerkt in </w:t>
      </w:r>
      <w:r w:rsidR="00CA0940" w:rsidRPr="008B1377">
        <w:t>het</w:t>
      </w:r>
      <w:r w:rsidR="001A1BDE" w:rsidRPr="008B1377">
        <w:t xml:space="preserve"> architectuurdocument</w:t>
      </w:r>
      <w:r w:rsidR="003A4893" w:rsidRPr="008B1377">
        <w:t>: ‘BIJ12 architectuur</w:t>
      </w:r>
      <w:r w:rsidR="003C39EB" w:rsidRPr="008B1377">
        <w:t>, kaders en richtlijnen’.</w:t>
      </w:r>
      <w:r w:rsidR="001A1BDE" w:rsidRPr="008B1377">
        <w:t xml:space="preserve"> </w:t>
      </w:r>
      <w:r w:rsidR="00CA0940" w:rsidRPr="008B1377">
        <w:t xml:space="preserve">Dit document beschrijft de architectuurprincipes en de basisinfrastructuur van BIJ12. </w:t>
      </w:r>
      <w:r w:rsidR="00FC09A6" w:rsidRPr="008B1377">
        <w:rPr>
          <w:rFonts w:cs="Helvetica"/>
        </w:rPr>
        <w:t xml:space="preserve">Het architectuurdocument is een levend groeidocument, dat wordt aangepast en aangevuld als daar aanleiding voor, bijvoorbeeld vanwege het vervangen van verouderde componenten en/of software door nieuwe technieken, strategische keuzes of ontwikkelingen in onze omgeving. </w:t>
      </w:r>
    </w:p>
    <w:p w14:paraId="5F8B6739" w14:textId="59ABFA2F" w:rsidR="00595A36" w:rsidRPr="008B1377" w:rsidRDefault="00A075C8" w:rsidP="00D41C42">
      <w:pPr>
        <w:spacing w:after="160" w:line="240" w:lineRule="auto"/>
      </w:pPr>
      <w:r w:rsidRPr="008B1377">
        <w:br/>
      </w:r>
      <w:r w:rsidR="00595A36" w:rsidRPr="008B1377">
        <w:t>BIJ12 hanteert de volgende architectuurprincipes:</w:t>
      </w:r>
    </w:p>
    <w:p w14:paraId="5E1DDF6F" w14:textId="197A5062" w:rsidR="008F78E5" w:rsidRPr="008B1377" w:rsidRDefault="008F78E5" w:rsidP="00D41C42">
      <w:pPr>
        <w:pStyle w:val="Lijstalinea"/>
        <w:numPr>
          <w:ilvl w:val="0"/>
          <w:numId w:val="53"/>
        </w:numPr>
        <w:spacing w:after="160" w:line="240" w:lineRule="auto"/>
      </w:pPr>
      <w:r w:rsidRPr="008B1377">
        <w:t>Flexibiliteit</w:t>
      </w:r>
    </w:p>
    <w:p w14:paraId="046A8091" w14:textId="2CB31A3C" w:rsidR="008F78E5" w:rsidRPr="008B1377" w:rsidRDefault="008F78E5" w:rsidP="00D41C42">
      <w:pPr>
        <w:pStyle w:val="Lijstalinea"/>
        <w:numPr>
          <w:ilvl w:val="0"/>
          <w:numId w:val="53"/>
        </w:numPr>
        <w:spacing w:after="160" w:line="240" w:lineRule="auto"/>
      </w:pPr>
      <w:r w:rsidRPr="008B1377">
        <w:t>Uitwisselbaarheid</w:t>
      </w:r>
    </w:p>
    <w:p w14:paraId="6E0237BA" w14:textId="24E6D103" w:rsidR="008F78E5" w:rsidRPr="008B1377" w:rsidRDefault="008F78E5" w:rsidP="00D41C42">
      <w:pPr>
        <w:pStyle w:val="Lijstalinea"/>
        <w:numPr>
          <w:ilvl w:val="0"/>
          <w:numId w:val="53"/>
        </w:numPr>
        <w:spacing w:after="160" w:line="240" w:lineRule="auto"/>
      </w:pPr>
      <w:r w:rsidRPr="008B1377">
        <w:t>Schaalbaarheid</w:t>
      </w:r>
    </w:p>
    <w:p w14:paraId="45ED2DF1" w14:textId="4E47F260" w:rsidR="008F78E5" w:rsidRPr="008B1377" w:rsidRDefault="008F78E5" w:rsidP="00D41C42">
      <w:pPr>
        <w:pStyle w:val="Lijstalinea"/>
        <w:numPr>
          <w:ilvl w:val="0"/>
          <w:numId w:val="53"/>
        </w:numPr>
        <w:spacing w:after="160" w:line="240" w:lineRule="auto"/>
      </w:pPr>
      <w:r w:rsidRPr="008B1377">
        <w:t>Herbruikbaarheid</w:t>
      </w:r>
    </w:p>
    <w:p w14:paraId="392A3BD8" w14:textId="4B07E468" w:rsidR="008F78E5" w:rsidRPr="008B1377" w:rsidRDefault="008F78E5" w:rsidP="00D41C42">
      <w:pPr>
        <w:pStyle w:val="Lijstalinea"/>
        <w:numPr>
          <w:ilvl w:val="0"/>
          <w:numId w:val="53"/>
        </w:numPr>
        <w:spacing w:after="160" w:line="240" w:lineRule="auto"/>
      </w:pPr>
      <w:r w:rsidRPr="008B1377">
        <w:t>Overdraagbaarheid</w:t>
      </w:r>
    </w:p>
    <w:p w14:paraId="08D25682" w14:textId="52F905A6" w:rsidR="008F78E5" w:rsidRPr="008B1377" w:rsidRDefault="008F78E5" w:rsidP="00D41C42">
      <w:pPr>
        <w:pStyle w:val="Lijstalinea"/>
        <w:numPr>
          <w:ilvl w:val="0"/>
          <w:numId w:val="53"/>
        </w:numPr>
        <w:spacing w:after="160" w:line="240" w:lineRule="auto"/>
      </w:pPr>
      <w:r w:rsidRPr="008B1377">
        <w:t>Data vanuit de bron</w:t>
      </w:r>
    </w:p>
    <w:p w14:paraId="365A8A18" w14:textId="73DAEBDF" w:rsidR="008F78E5" w:rsidRPr="008B1377" w:rsidRDefault="008F78E5" w:rsidP="00D41C42">
      <w:pPr>
        <w:pStyle w:val="Lijstalinea"/>
        <w:numPr>
          <w:ilvl w:val="0"/>
          <w:numId w:val="53"/>
        </w:numPr>
        <w:spacing w:after="160" w:line="240" w:lineRule="auto"/>
      </w:pPr>
      <w:r w:rsidRPr="008B1377">
        <w:t>Beheer(s)baarheid</w:t>
      </w:r>
    </w:p>
    <w:p w14:paraId="3097BC0E" w14:textId="3E12B0B4" w:rsidR="008F78E5" w:rsidRPr="008B1377" w:rsidRDefault="008F78E5" w:rsidP="00D41C42">
      <w:pPr>
        <w:pStyle w:val="Lijstalinea"/>
        <w:numPr>
          <w:ilvl w:val="0"/>
          <w:numId w:val="53"/>
        </w:numPr>
        <w:spacing w:after="160" w:line="240" w:lineRule="auto"/>
      </w:pPr>
      <w:r w:rsidRPr="008B1377">
        <w:t>Betrouwbaarheid</w:t>
      </w:r>
    </w:p>
    <w:p w14:paraId="6E11B896" w14:textId="01DCF970" w:rsidR="008F78E5" w:rsidRPr="008B1377" w:rsidRDefault="008F78E5" w:rsidP="00D41C42">
      <w:pPr>
        <w:pStyle w:val="Lijstalinea"/>
        <w:numPr>
          <w:ilvl w:val="0"/>
          <w:numId w:val="53"/>
        </w:numPr>
        <w:spacing w:after="160" w:line="240" w:lineRule="auto"/>
      </w:pPr>
      <w:r w:rsidRPr="008B1377">
        <w:t>Beschikbaarheid</w:t>
      </w:r>
    </w:p>
    <w:p w14:paraId="336BF24F" w14:textId="77777777" w:rsidR="00DA4C45" w:rsidRPr="008B1377" w:rsidRDefault="008F78E5" w:rsidP="00D41C42">
      <w:pPr>
        <w:pStyle w:val="Lijstalinea"/>
        <w:numPr>
          <w:ilvl w:val="0"/>
          <w:numId w:val="53"/>
        </w:numPr>
        <w:spacing w:after="160" w:line="240" w:lineRule="auto"/>
      </w:pPr>
      <w:r w:rsidRPr="008B1377">
        <w:lastRenderedPageBreak/>
        <w:t>Informatieveiligheid en duurzame toegankelijkheid</w:t>
      </w:r>
    </w:p>
    <w:p w14:paraId="0DD45264" w14:textId="77777777" w:rsidR="00A075C8" w:rsidRPr="008B1377" w:rsidRDefault="00DA4C45" w:rsidP="00D41C42">
      <w:pPr>
        <w:spacing w:after="160" w:line="240" w:lineRule="auto"/>
      </w:pPr>
      <w:r w:rsidRPr="008B1377">
        <w:t xml:space="preserve">De applicaties die BIJ12 in opdracht van provincies ontwikkelt en beheert, hebben een aantal functionaliteiten gemeen. Denk bijvoorbeeld aan de opslag van data in een database of het beheren van gebruikersaccounts. Daarvoor is een basisinfrastructuur </w:t>
      </w:r>
      <w:r w:rsidR="000C5D99" w:rsidRPr="008B1377">
        <w:t>ingericht</w:t>
      </w:r>
      <w:r w:rsidRPr="008B1377">
        <w:t xml:space="preserve">, gebaseerd op diverse basisfunctionaliteiten opgedeeld in 2 categorieën: basiscomponenten en voorkeurs-software. </w:t>
      </w:r>
    </w:p>
    <w:p w14:paraId="5E103BDD" w14:textId="78B47CEC" w:rsidR="00A075C8" w:rsidRPr="008B1377" w:rsidRDefault="00A075C8" w:rsidP="00A075C8">
      <w:pPr>
        <w:pStyle w:val="Lijstalinea"/>
        <w:spacing w:line="240" w:lineRule="auto"/>
        <w:ind w:left="0"/>
        <w:contextualSpacing w:val="0"/>
      </w:pPr>
      <w:r w:rsidRPr="008B1377">
        <w:t xml:space="preserve">Het IV-team is verantwoordelijk is voor beheer van en regie op (doorontwikkeling van) de basisinfrastructuur. Reden hiervoor is dat de basisinfrastructuur de BIJ12-brede ‘onderlegger’ is, waarmee op een snellere, generieke en efficiëntere manier applicaties voor de provincies kunnen worden ontwikkeld, op een agile / </w:t>
      </w:r>
      <w:proofErr w:type="spellStart"/>
      <w:r w:rsidRPr="008B1377">
        <w:t>DevOps</w:t>
      </w:r>
      <w:proofErr w:type="spellEnd"/>
      <w:r w:rsidRPr="008B1377">
        <w:t xml:space="preserve"> manier. </w:t>
      </w:r>
    </w:p>
    <w:p w14:paraId="4D28B172" w14:textId="77777777" w:rsidR="00A075C8" w:rsidRPr="008B1377" w:rsidRDefault="00A075C8" w:rsidP="00D41C42">
      <w:pPr>
        <w:spacing w:line="240" w:lineRule="auto"/>
      </w:pPr>
    </w:p>
    <w:p w14:paraId="620F5A40" w14:textId="1EE79C7D" w:rsidR="00E332F5" w:rsidRPr="008B1377" w:rsidRDefault="00147D9C" w:rsidP="00D41C42">
      <w:pPr>
        <w:spacing w:line="240" w:lineRule="auto"/>
      </w:pPr>
      <w:r w:rsidRPr="008B1377">
        <w:t xml:space="preserve">Ad </w:t>
      </w:r>
      <w:r w:rsidR="004F202A" w:rsidRPr="008B1377">
        <w:t>6</w:t>
      </w:r>
      <w:r w:rsidRPr="008B1377">
        <w:t xml:space="preserve">. Bedrijfsvoering en management: </w:t>
      </w:r>
      <w:r w:rsidR="00CB6368" w:rsidRPr="008B1377">
        <w:br/>
      </w:r>
      <w:r w:rsidR="00254B7D" w:rsidRPr="008B1377">
        <w:t xml:space="preserve">Informatievoorziening bestaat niet alleen uit de beschikbaar gestelde middelen; er hoort ook een set aan werkafspraken, procedures en inzet van mensen bij. </w:t>
      </w:r>
      <w:r w:rsidR="00341BAF" w:rsidRPr="008B1377">
        <w:br/>
      </w:r>
      <w:r w:rsidR="00EA5C78" w:rsidRPr="008B1377">
        <w:t>Informatievoorziening</w:t>
      </w:r>
      <w:r w:rsidR="009F14F6" w:rsidRPr="008B1377">
        <w:t xml:space="preserve"> </w:t>
      </w:r>
      <w:r w:rsidR="00277C96" w:rsidRPr="008B1377">
        <w:t>ondersteunt bij het inrichten van procesmanagement</w:t>
      </w:r>
      <w:r w:rsidR="007552B9" w:rsidRPr="008B1377">
        <w:t xml:space="preserve"> en procesoptimalisatie</w:t>
      </w:r>
      <w:r w:rsidR="00277C96" w:rsidRPr="008B1377">
        <w:t xml:space="preserve"> binnen BIJ12. </w:t>
      </w:r>
    </w:p>
    <w:p w14:paraId="5F22D204" w14:textId="55DFC5AF" w:rsidR="006F4A5F" w:rsidRPr="008B1377" w:rsidRDefault="006F4A5F" w:rsidP="00D41C42">
      <w:pPr>
        <w:spacing w:line="240" w:lineRule="auto"/>
      </w:pPr>
    </w:p>
    <w:p w14:paraId="370FBD4E" w14:textId="08608A48" w:rsidR="005858E7" w:rsidRPr="008B1377" w:rsidRDefault="0023541F" w:rsidP="00D41C42">
      <w:pPr>
        <w:spacing w:line="240" w:lineRule="auto"/>
      </w:pPr>
      <w:r w:rsidRPr="008B1377">
        <w:t>A</w:t>
      </w:r>
      <w:r w:rsidR="004F202A" w:rsidRPr="008B1377">
        <w:t>d.7</w:t>
      </w:r>
      <w:r w:rsidRPr="008B1377">
        <w:t>. Data Storage en Archivering:</w:t>
      </w:r>
      <w:r w:rsidR="00E94DE4" w:rsidRPr="008B1377">
        <w:t xml:space="preserve"> </w:t>
      </w:r>
      <w:r w:rsidR="00CB6368" w:rsidRPr="008B1377">
        <w:br/>
        <w:t>M</w:t>
      </w:r>
      <w:r w:rsidR="00F46578" w:rsidRPr="008B1377">
        <w:t>aatregelen om te borgen dat informatie duurzaam toegankelijk is</w:t>
      </w:r>
      <w:r w:rsidR="003D27AB" w:rsidRPr="008B1377">
        <w:t xml:space="preserve"> en blijft</w:t>
      </w:r>
      <w:r w:rsidR="00F46578" w:rsidRPr="008B1377">
        <w:t>.</w:t>
      </w:r>
      <w:r w:rsidR="00E94DE4" w:rsidRPr="008B1377">
        <w:t xml:space="preserve"> Dit gaat niet alleen over de in te zetten techniek, maar ook over afspraken </w:t>
      </w:r>
      <w:r w:rsidR="00AA50F0" w:rsidRPr="008B1377">
        <w:t xml:space="preserve">over </w:t>
      </w:r>
      <w:r w:rsidR="00E94DE4" w:rsidRPr="008B1377">
        <w:t xml:space="preserve">waar welke informatie </w:t>
      </w:r>
      <w:r w:rsidR="00AA50F0" w:rsidRPr="008B1377">
        <w:t xml:space="preserve">hoelang </w:t>
      </w:r>
      <w:r w:rsidR="00E94DE4" w:rsidRPr="008B1377">
        <w:t>vindbaar moet zijn</w:t>
      </w:r>
      <w:r w:rsidR="006B203B" w:rsidRPr="008B1377">
        <w:t xml:space="preserve"> en hoe BIJ12 </w:t>
      </w:r>
      <w:r w:rsidR="00AC4106" w:rsidRPr="008B1377">
        <w:t xml:space="preserve">dit </w:t>
      </w:r>
      <w:r w:rsidR="006B203B" w:rsidRPr="008B1377">
        <w:t>borgt</w:t>
      </w:r>
      <w:r w:rsidR="00E94DE4" w:rsidRPr="008B1377">
        <w:t>.</w:t>
      </w:r>
      <w:r w:rsidR="0040178D" w:rsidRPr="008B1377">
        <w:t xml:space="preserve"> </w:t>
      </w:r>
      <w:r w:rsidR="00341BAF" w:rsidRPr="008B1377">
        <w:t xml:space="preserve">Zo worden de geldende bewaartermijnen vastgelegd in het DMS en </w:t>
      </w:r>
      <w:r w:rsidR="00485880" w:rsidRPr="008B1377">
        <w:t>toetst</w:t>
      </w:r>
      <w:r w:rsidR="00341BAF" w:rsidRPr="008B1377">
        <w:t xml:space="preserve"> de Kwaliteitsmanager en record keeper op de naleving hiervan. </w:t>
      </w:r>
    </w:p>
    <w:p w14:paraId="07F46D56" w14:textId="77777777" w:rsidR="005858E7" w:rsidRPr="008B1377" w:rsidRDefault="005858E7" w:rsidP="00D41C42">
      <w:pPr>
        <w:spacing w:line="240" w:lineRule="auto"/>
      </w:pPr>
    </w:p>
    <w:p w14:paraId="7421070B" w14:textId="4DD7F14E" w:rsidR="0023541F" w:rsidRPr="008B1377" w:rsidRDefault="005858E7" w:rsidP="00D41C42">
      <w:pPr>
        <w:spacing w:line="240" w:lineRule="auto"/>
      </w:pPr>
      <w:r w:rsidRPr="008B1377">
        <w:t xml:space="preserve">Ad 8. </w:t>
      </w:r>
      <w:r w:rsidR="00704EB9" w:rsidRPr="008B1377">
        <w:t xml:space="preserve">Data Governance: </w:t>
      </w:r>
      <w:r w:rsidR="00CB6368" w:rsidRPr="008B1377">
        <w:br/>
        <w:t>B</w:t>
      </w:r>
      <w:r w:rsidR="00704EB9" w:rsidRPr="008B1377">
        <w:t>orgen van datakwaliteit door grip en toezicht op de invoer</w:t>
      </w:r>
      <w:r w:rsidR="00CB6368" w:rsidRPr="008B1377">
        <w:t xml:space="preserve"> en</w:t>
      </w:r>
      <w:r w:rsidR="00704EB9" w:rsidRPr="008B1377">
        <w:t xml:space="preserve"> verwerking van data in </w:t>
      </w:r>
      <w:r w:rsidR="00341BAF" w:rsidRPr="008B1377">
        <w:t xml:space="preserve">processen en </w:t>
      </w:r>
      <w:r w:rsidR="00704EB9" w:rsidRPr="008B1377">
        <w:t>systemen</w:t>
      </w:r>
      <w:r w:rsidR="00341BAF" w:rsidRPr="008B1377">
        <w:t>, inclusief</w:t>
      </w:r>
      <w:r w:rsidR="00CB6368" w:rsidRPr="008B1377">
        <w:t xml:space="preserve"> de toegankelijkheid, beschikbaarheid en ontsluiting van de data</w:t>
      </w:r>
      <w:r w:rsidR="00704EB9" w:rsidRPr="008B1377">
        <w:t>.</w:t>
      </w:r>
      <w:r w:rsidR="00341BAF" w:rsidRPr="008B1377">
        <w:t xml:space="preserve"> Het gaat om afspraken over eigenaarschap en zeggenschap van de data en om autorisaties voor veilig gebruik ervan. Deze </w:t>
      </w:r>
      <w:r w:rsidR="00CB6368" w:rsidRPr="008B1377">
        <w:t xml:space="preserve">afspraken </w:t>
      </w:r>
      <w:r w:rsidR="00341BAF" w:rsidRPr="008B1377">
        <w:t xml:space="preserve">worden vastgelegd </w:t>
      </w:r>
      <w:r w:rsidR="00CB6368" w:rsidRPr="008B1377">
        <w:t>in Gegevensleveringsovereenkomsten en -Protocollen</w:t>
      </w:r>
      <w:r w:rsidR="00341BAF" w:rsidRPr="008B1377">
        <w:t xml:space="preserve"> met provincies en ketenpartners en in werkinstructies</w:t>
      </w:r>
      <w:r w:rsidR="00CB6368" w:rsidRPr="008B1377">
        <w:t xml:space="preserve">. </w:t>
      </w:r>
      <w:r w:rsidR="00704EB9" w:rsidRPr="008B1377">
        <w:t xml:space="preserve"> </w:t>
      </w:r>
      <w:r w:rsidR="003D27AB" w:rsidRPr="008B1377">
        <w:br/>
      </w:r>
    </w:p>
    <w:p w14:paraId="6C6E7C5A" w14:textId="57462EF1" w:rsidR="006B203B" w:rsidRPr="008B1377" w:rsidRDefault="006B203B" w:rsidP="00D41C42">
      <w:pPr>
        <w:spacing w:after="160" w:line="240" w:lineRule="auto"/>
      </w:pPr>
      <w:r w:rsidRPr="008B1377">
        <w:t xml:space="preserve">Ad </w:t>
      </w:r>
      <w:r w:rsidR="005858E7" w:rsidRPr="008B1377">
        <w:t>9</w:t>
      </w:r>
      <w:r w:rsidRPr="008B1377">
        <w:t>. Risicomanagement</w:t>
      </w:r>
      <w:r w:rsidR="00EC4570" w:rsidRPr="008B1377">
        <w:t xml:space="preserve"> / risicobeheer</w:t>
      </w:r>
      <w:r w:rsidRPr="008B1377">
        <w:t xml:space="preserve">: </w:t>
      </w:r>
      <w:r w:rsidR="00341BAF" w:rsidRPr="008B1377">
        <w:br/>
        <w:t>M</w:t>
      </w:r>
      <w:r w:rsidR="00855A84" w:rsidRPr="008B1377">
        <w:t xml:space="preserve">aatregelen voor </w:t>
      </w:r>
      <w:r w:rsidR="004C5818" w:rsidRPr="008B1377">
        <w:t>inzicht en beheersing van bedrijfsrisico’s</w:t>
      </w:r>
      <w:r w:rsidR="00EC4570" w:rsidRPr="008B1377">
        <w:rPr>
          <w:rFonts w:cs="Arial"/>
          <w:color w:val="222222"/>
          <w:shd w:val="clear" w:color="auto" w:fill="FFFFFF"/>
        </w:rPr>
        <w:t xml:space="preserve"> </w:t>
      </w:r>
      <w:r w:rsidR="00AE21FB" w:rsidRPr="008B1377">
        <w:rPr>
          <w:rFonts w:cs="Arial"/>
          <w:color w:val="222222"/>
          <w:shd w:val="clear" w:color="auto" w:fill="FFFFFF"/>
        </w:rPr>
        <w:t>(</w:t>
      </w:r>
      <w:r w:rsidR="00EC4570" w:rsidRPr="008B1377">
        <w:t>risico's</w:t>
      </w:r>
      <w:r w:rsidR="00EC4570" w:rsidRPr="008B1377">
        <w:rPr>
          <w:rFonts w:cs="Arial"/>
          <w:color w:val="222222"/>
          <w:shd w:val="clear" w:color="auto" w:fill="FFFFFF"/>
        </w:rPr>
        <w:t xml:space="preserve"> identifice</w:t>
      </w:r>
      <w:r w:rsidR="00AE21FB" w:rsidRPr="008B1377">
        <w:rPr>
          <w:rFonts w:cs="Arial"/>
          <w:color w:val="222222"/>
          <w:shd w:val="clear" w:color="auto" w:fill="FFFFFF"/>
        </w:rPr>
        <w:t>ren</w:t>
      </w:r>
      <w:r w:rsidR="00EC4570" w:rsidRPr="008B1377">
        <w:rPr>
          <w:rFonts w:cs="Arial"/>
          <w:color w:val="222222"/>
          <w:shd w:val="clear" w:color="auto" w:fill="FFFFFF"/>
        </w:rPr>
        <w:t>, beoorde</w:t>
      </w:r>
      <w:r w:rsidR="00AE21FB" w:rsidRPr="008B1377">
        <w:rPr>
          <w:rFonts w:cs="Arial"/>
          <w:color w:val="222222"/>
          <w:shd w:val="clear" w:color="auto" w:fill="FFFFFF"/>
        </w:rPr>
        <w:t>len</w:t>
      </w:r>
      <w:r w:rsidR="00EC4570" w:rsidRPr="008B1377">
        <w:rPr>
          <w:rFonts w:cs="Arial"/>
          <w:color w:val="222222"/>
          <w:shd w:val="clear" w:color="auto" w:fill="FFFFFF"/>
        </w:rPr>
        <w:t xml:space="preserve"> en vervolgstappen </w:t>
      </w:r>
      <w:r w:rsidR="00AE21FB" w:rsidRPr="008B1377">
        <w:rPr>
          <w:rFonts w:cs="Arial"/>
          <w:color w:val="222222"/>
          <w:shd w:val="clear" w:color="auto" w:fill="FFFFFF"/>
        </w:rPr>
        <w:t>definiëren)</w:t>
      </w:r>
      <w:r w:rsidR="00EC4570" w:rsidRPr="008B1377">
        <w:rPr>
          <w:rFonts w:cs="Arial"/>
          <w:color w:val="222222"/>
          <w:shd w:val="clear" w:color="auto" w:fill="FFFFFF"/>
        </w:rPr>
        <w:t xml:space="preserve">. In het kader van informatiebeheer gaat het o.m. om het voorkomen van datalekken, </w:t>
      </w:r>
      <w:r w:rsidR="00C52112" w:rsidRPr="008B1377">
        <w:rPr>
          <w:rFonts w:cs="Arial"/>
          <w:color w:val="222222"/>
          <w:shd w:val="clear" w:color="auto" w:fill="FFFFFF"/>
        </w:rPr>
        <w:t xml:space="preserve">het nemen van </w:t>
      </w:r>
      <w:r w:rsidR="00EC4570" w:rsidRPr="008B1377">
        <w:rPr>
          <w:rFonts w:cs="Arial"/>
          <w:color w:val="222222"/>
          <w:shd w:val="clear" w:color="auto" w:fill="FFFFFF"/>
        </w:rPr>
        <w:t>cyber security maatregelen</w:t>
      </w:r>
      <w:r w:rsidR="00F85DC9" w:rsidRPr="008B1377">
        <w:rPr>
          <w:rFonts w:cs="Arial"/>
          <w:color w:val="222222"/>
          <w:shd w:val="clear" w:color="auto" w:fill="FFFFFF"/>
        </w:rPr>
        <w:t xml:space="preserve"> en </w:t>
      </w:r>
      <w:r w:rsidR="00EC4570" w:rsidRPr="008B1377">
        <w:rPr>
          <w:rFonts w:cs="Arial"/>
          <w:color w:val="222222"/>
          <w:shd w:val="clear" w:color="auto" w:fill="FFFFFF"/>
        </w:rPr>
        <w:t xml:space="preserve">het voorkomen van </w:t>
      </w:r>
      <w:r w:rsidR="009A135E" w:rsidRPr="008B1377">
        <w:rPr>
          <w:rFonts w:cs="Arial"/>
          <w:color w:val="222222"/>
          <w:shd w:val="clear" w:color="auto" w:fill="FFFFFF"/>
        </w:rPr>
        <w:t>informatieverlies</w:t>
      </w:r>
      <w:r w:rsidR="00F85DC9" w:rsidRPr="008B1377">
        <w:rPr>
          <w:rFonts w:cs="Arial"/>
          <w:color w:val="222222"/>
          <w:shd w:val="clear" w:color="auto" w:fill="FFFFFF"/>
        </w:rPr>
        <w:t xml:space="preserve"> als gevolg van bijvoorbeeld diefstal of verlies van apparatuur of ongeoorloofd gebruik van data en informatie</w:t>
      </w:r>
      <w:r w:rsidR="009A135E" w:rsidRPr="008B1377">
        <w:rPr>
          <w:rFonts w:cs="Arial"/>
          <w:color w:val="222222"/>
          <w:shd w:val="clear" w:color="auto" w:fill="FFFFFF"/>
        </w:rPr>
        <w:t xml:space="preserve">. </w:t>
      </w:r>
    </w:p>
    <w:p w14:paraId="1984C3B8" w14:textId="1DDF385F" w:rsidR="00D366B0" w:rsidRPr="008B1377" w:rsidRDefault="008B1377" w:rsidP="00D41C42">
      <w:pPr>
        <w:pStyle w:val="Kop1"/>
        <w:spacing w:line="240" w:lineRule="auto"/>
      </w:pPr>
      <w:bookmarkStart w:id="26" w:name="_Toc64982955"/>
      <w:r>
        <w:lastRenderedPageBreak/>
        <w:t>Processen en kaders</w:t>
      </w:r>
      <w:bookmarkEnd w:id="26"/>
    </w:p>
    <w:p w14:paraId="0A0BB148" w14:textId="77777777" w:rsidR="00D366B0" w:rsidRPr="008B1377" w:rsidRDefault="00D366B0" w:rsidP="00D41C42">
      <w:pPr>
        <w:pStyle w:val="Kop2"/>
        <w:spacing w:line="240" w:lineRule="auto"/>
      </w:pPr>
      <w:bookmarkStart w:id="27" w:name="_Toc64982956"/>
      <w:bookmarkStart w:id="28" w:name="_Toc497961010"/>
      <w:bookmarkStart w:id="29" w:name="_Toc497961034"/>
      <w:r w:rsidRPr="008B1377">
        <w:t>Processen</w:t>
      </w:r>
      <w:bookmarkEnd w:id="27"/>
      <w:r w:rsidRPr="008B1377">
        <w:t xml:space="preserve"> </w:t>
      </w:r>
      <w:bookmarkEnd w:id="28"/>
      <w:bookmarkEnd w:id="29"/>
    </w:p>
    <w:p w14:paraId="4AEEE4C0" w14:textId="77777777" w:rsidR="00BF295F" w:rsidRPr="008B1377" w:rsidRDefault="00BF295F" w:rsidP="00D41C42">
      <w:pPr>
        <w:spacing w:line="240" w:lineRule="auto"/>
      </w:pPr>
      <w:r w:rsidRPr="008B1377">
        <w:t>BIJ12 levert:</w:t>
      </w:r>
    </w:p>
    <w:p w14:paraId="49CA881E" w14:textId="72698103" w:rsidR="00BF295F" w:rsidRPr="008B1377" w:rsidRDefault="00BF295F" w:rsidP="00D41C42">
      <w:pPr>
        <w:pStyle w:val="Lijstalinea"/>
        <w:numPr>
          <w:ilvl w:val="0"/>
          <w:numId w:val="50"/>
        </w:numPr>
        <w:spacing w:line="240" w:lineRule="auto"/>
      </w:pPr>
      <w:r w:rsidRPr="008B1377">
        <w:t xml:space="preserve">Gebundelde </w:t>
      </w:r>
      <w:r w:rsidR="001314C8" w:rsidRPr="008B1377">
        <w:t xml:space="preserve">data en </w:t>
      </w:r>
      <w:r w:rsidRPr="008B1377">
        <w:t xml:space="preserve">informatie: een interprovinciaal beeld; actuele, complete </w:t>
      </w:r>
      <w:r w:rsidR="003B7420" w:rsidRPr="008B1377">
        <w:t xml:space="preserve">data en </w:t>
      </w:r>
      <w:r w:rsidRPr="008B1377">
        <w:t>informatie, op een toegankelijke, efficiënte en effectieve manier</w:t>
      </w:r>
    </w:p>
    <w:p w14:paraId="79D4D617" w14:textId="20EE2B47" w:rsidR="00BF295F" w:rsidRPr="008B1377" w:rsidRDefault="00BF295F" w:rsidP="00D41C42">
      <w:pPr>
        <w:pStyle w:val="Lijstalinea"/>
        <w:numPr>
          <w:ilvl w:val="0"/>
          <w:numId w:val="50"/>
        </w:numPr>
        <w:spacing w:line="240" w:lineRule="auto"/>
      </w:pPr>
      <w:r w:rsidRPr="008B1377">
        <w:t xml:space="preserve">Goed werkende systemen en </w:t>
      </w:r>
      <w:r w:rsidR="001314C8" w:rsidRPr="008B1377">
        <w:t xml:space="preserve">gestandaardiseerde </w:t>
      </w:r>
      <w:r w:rsidRPr="008B1377">
        <w:t>processen</w:t>
      </w:r>
      <w:r w:rsidR="00A75C99" w:rsidRPr="008B1377">
        <w:t xml:space="preserve"> en gegevensuitwisseling (</w:t>
      </w:r>
      <w:r w:rsidR="003B7420" w:rsidRPr="008B1377">
        <w:t xml:space="preserve">Index Natuur en Landschap, </w:t>
      </w:r>
      <w:r w:rsidR="00A75C99" w:rsidRPr="008B1377">
        <w:t xml:space="preserve">IMNa </w:t>
      </w:r>
      <w:r w:rsidR="003B7420" w:rsidRPr="008B1377">
        <w:t xml:space="preserve">en Werkwijze monitoring </w:t>
      </w:r>
      <w:r w:rsidR="00A75C99" w:rsidRPr="008B1377">
        <w:t>= common ground natuur)</w:t>
      </w:r>
    </w:p>
    <w:p w14:paraId="75261F79" w14:textId="77777777" w:rsidR="00BF295F" w:rsidRPr="008B1377" w:rsidRDefault="00BF295F" w:rsidP="00D41C42">
      <w:pPr>
        <w:pStyle w:val="Lijstalinea"/>
        <w:numPr>
          <w:ilvl w:val="0"/>
          <w:numId w:val="50"/>
        </w:numPr>
        <w:spacing w:line="240" w:lineRule="auto"/>
      </w:pPr>
      <w:r w:rsidRPr="008B1377">
        <w:t>Interprovinciale (samen)werking</w:t>
      </w:r>
    </w:p>
    <w:p w14:paraId="52924D2E" w14:textId="77777777" w:rsidR="00BF295F" w:rsidRPr="008B1377" w:rsidRDefault="00BF295F" w:rsidP="00D41C42">
      <w:pPr>
        <w:pStyle w:val="Lijstalinea"/>
        <w:numPr>
          <w:ilvl w:val="0"/>
          <w:numId w:val="50"/>
        </w:numPr>
        <w:spacing w:line="240" w:lineRule="auto"/>
      </w:pPr>
      <w:r w:rsidRPr="008B1377">
        <w:t>Kwalitatief hoogwaardige dienstverlening voor provincies</w:t>
      </w:r>
    </w:p>
    <w:p w14:paraId="51A7D106" w14:textId="77777777" w:rsidR="00BF295F" w:rsidRPr="008B1377" w:rsidRDefault="00BF295F" w:rsidP="00D41C42">
      <w:pPr>
        <w:pStyle w:val="Lijstalinea"/>
        <w:numPr>
          <w:ilvl w:val="0"/>
          <w:numId w:val="50"/>
        </w:numPr>
        <w:spacing w:line="240" w:lineRule="auto"/>
      </w:pPr>
      <w:r w:rsidRPr="008B1377">
        <w:t>Flexibiliteit in het beantwoorden van (toekomstige) informatievragen</w:t>
      </w:r>
    </w:p>
    <w:p w14:paraId="6DBE6667" w14:textId="77777777" w:rsidR="00BF295F" w:rsidRPr="008B1377" w:rsidRDefault="00BF295F" w:rsidP="00D41C42">
      <w:pPr>
        <w:spacing w:line="240" w:lineRule="auto"/>
        <w:contextualSpacing/>
        <w:rPr>
          <w:rFonts w:eastAsia="Calibri" w:cstheme="minorHAnsi"/>
        </w:rPr>
      </w:pPr>
    </w:p>
    <w:p w14:paraId="7D9CBDD1" w14:textId="4076C005" w:rsidR="00D366B0" w:rsidRPr="008B1377" w:rsidRDefault="00D366B0" w:rsidP="00D41C42">
      <w:pPr>
        <w:spacing w:line="240" w:lineRule="auto"/>
        <w:contextualSpacing/>
        <w:rPr>
          <w:rFonts w:eastAsia="Calibri" w:cstheme="minorHAnsi"/>
        </w:rPr>
      </w:pPr>
      <w:r w:rsidRPr="008B1377">
        <w:rPr>
          <w:rFonts w:eastAsia="Calibri" w:cstheme="minorHAnsi"/>
        </w:rPr>
        <w:t xml:space="preserve">BIJ12 levert </w:t>
      </w:r>
      <w:r w:rsidR="00BF295F" w:rsidRPr="008B1377">
        <w:rPr>
          <w:rFonts w:eastAsia="Calibri" w:cstheme="minorHAnsi"/>
        </w:rPr>
        <w:t xml:space="preserve">dus </w:t>
      </w:r>
      <w:r w:rsidRPr="008B1377">
        <w:rPr>
          <w:rFonts w:eastAsia="Calibri" w:cstheme="minorHAnsi"/>
        </w:rPr>
        <w:t>een divers palet aan taken en diensten in opdracht van provincies. Kijkend naar de processen van BIJ12 is er een onderscheid tussen:</w:t>
      </w:r>
    </w:p>
    <w:p w14:paraId="012AF0A4" w14:textId="3EB0821A" w:rsidR="00D366B0" w:rsidRPr="008B1377" w:rsidRDefault="00BF295F" w:rsidP="00D41C42">
      <w:pPr>
        <w:pStyle w:val="Lijstalinea"/>
        <w:numPr>
          <w:ilvl w:val="0"/>
          <w:numId w:val="31"/>
        </w:numPr>
        <w:spacing w:after="160" w:line="240" w:lineRule="auto"/>
        <w:rPr>
          <w:rFonts w:eastAsia="Calibri" w:cstheme="minorHAnsi"/>
        </w:rPr>
      </w:pPr>
      <w:r w:rsidRPr="008B1377">
        <w:rPr>
          <w:rFonts w:eastAsia="Calibri" w:cstheme="minorHAnsi"/>
        </w:rPr>
        <w:t>P</w:t>
      </w:r>
      <w:r w:rsidR="00D366B0" w:rsidRPr="008B1377">
        <w:rPr>
          <w:rFonts w:eastAsia="Calibri" w:cstheme="minorHAnsi"/>
        </w:rPr>
        <w:t xml:space="preserve">rimaire processen </w:t>
      </w:r>
      <w:r w:rsidRPr="008B1377">
        <w:rPr>
          <w:rFonts w:eastAsia="Calibri" w:cstheme="minorHAnsi"/>
        </w:rPr>
        <w:t>voor</w:t>
      </w:r>
      <w:r w:rsidR="00D366B0" w:rsidRPr="008B1377">
        <w:rPr>
          <w:rFonts w:eastAsia="Calibri" w:cstheme="minorHAnsi"/>
        </w:rPr>
        <w:t xml:space="preserve"> </w:t>
      </w:r>
      <w:r w:rsidR="00531244" w:rsidRPr="008B1377">
        <w:rPr>
          <w:rFonts w:eastAsia="Calibri" w:cstheme="minorHAnsi"/>
        </w:rPr>
        <w:t>het leveren van professionele rapportages, analyses, informatie(voorzieningen)</w:t>
      </w:r>
      <w:r w:rsidR="003C34F7" w:rsidRPr="008B1377">
        <w:rPr>
          <w:rFonts w:eastAsia="Calibri" w:cstheme="minorHAnsi"/>
        </w:rPr>
        <w:t xml:space="preserve"> en applicaties voor provincies</w:t>
      </w:r>
      <w:r w:rsidR="00531244" w:rsidRPr="008B1377">
        <w:rPr>
          <w:rFonts w:eastAsia="Calibri" w:cstheme="minorHAnsi"/>
        </w:rPr>
        <w:t xml:space="preserve">, adviezen, gegevensverzamelingen en onderzoek en </w:t>
      </w:r>
      <w:r w:rsidR="00A320E1" w:rsidRPr="008B1377">
        <w:rPr>
          <w:rFonts w:eastAsia="Calibri" w:cstheme="minorHAnsi"/>
        </w:rPr>
        <w:t>het afhandelen van faunaschades</w:t>
      </w:r>
      <w:r w:rsidR="00D366B0" w:rsidRPr="008B1377">
        <w:rPr>
          <w:rFonts w:eastAsia="Calibri" w:cstheme="minorHAnsi"/>
        </w:rPr>
        <w:t xml:space="preserve">; </w:t>
      </w:r>
    </w:p>
    <w:p w14:paraId="675E84D7" w14:textId="5BE93EC9" w:rsidR="00D366B0" w:rsidRPr="008B1377" w:rsidRDefault="00BF295F" w:rsidP="00D41C42">
      <w:pPr>
        <w:pStyle w:val="Lijstalinea"/>
        <w:numPr>
          <w:ilvl w:val="0"/>
          <w:numId w:val="31"/>
        </w:numPr>
        <w:spacing w:after="160" w:line="240" w:lineRule="auto"/>
        <w:rPr>
          <w:rFonts w:eastAsia="Calibri" w:cstheme="minorHAnsi"/>
        </w:rPr>
      </w:pPr>
      <w:r w:rsidRPr="008B1377">
        <w:rPr>
          <w:rFonts w:eastAsia="Calibri" w:cstheme="minorHAnsi"/>
        </w:rPr>
        <w:t>O</w:t>
      </w:r>
      <w:r w:rsidR="00D366B0" w:rsidRPr="008B1377">
        <w:rPr>
          <w:rFonts w:eastAsia="Calibri" w:cstheme="minorHAnsi"/>
        </w:rPr>
        <w:t xml:space="preserve">ndersteunende </w:t>
      </w:r>
      <w:r w:rsidRPr="008B1377">
        <w:rPr>
          <w:rFonts w:eastAsia="Calibri" w:cstheme="minorHAnsi"/>
        </w:rPr>
        <w:t>bedrijfsvoering</w:t>
      </w:r>
      <w:r w:rsidR="00D366B0" w:rsidRPr="008B1377">
        <w:rPr>
          <w:rFonts w:eastAsia="Calibri" w:cstheme="minorHAnsi"/>
        </w:rPr>
        <w:t>processen BIJ12</w:t>
      </w:r>
      <w:r w:rsidR="00EA41FE" w:rsidRPr="008B1377">
        <w:rPr>
          <w:rFonts w:eastAsia="Calibri" w:cstheme="minorHAnsi"/>
        </w:rPr>
        <w:t xml:space="preserve">, </w:t>
      </w:r>
      <w:r w:rsidRPr="008B1377">
        <w:rPr>
          <w:rFonts w:eastAsia="Calibri" w:cstheme="minorHAnsi"/>
        </w:rPr>
        <w:t xml:space="preserve">o.a. </w:t>
      </w:r>
      <w:r w:rsidR="00EA41FE" w:rsidRPr="008B1377">
        <w:rPr>
          <w:rFonts w:eastAsia="Calibri" w:cstheme="minorHAnsi"/>
        </w:rPr>
        <w:t>kantoorautomatisering</w:t>
      </w:r>
      <w:r w:rsidR="00D366B0" w:rsidRPr="008B1377">
        <w:rPr>
          <w:rFonts w:eastAsia="Calibri" w:cstheme="minorHAnsi"/>
        </w:rPr>
        <w:t>;</w:t>
      </w:r>
    </w:p>
    <w:p w14:paraId="301B0DF7" w14:textId="7B13FD7C" w:rsidR="00D366B0" w:rsidRPr="008B1377" w:rsidRDefault="00D366B0" w:rsidP="00D41C42">
      <w:pPr>
        <w:pStyle w:val="Lijstalinea"/>
        <w:numPr>
          <w:ilvl w:val="0"/>
          <w:numId w:val="31"/>
        </w:numPr>
        <w:spacing w:after="160" w:line="240" w:lineRule="auto"/>
        <w:rPr>
          <w:rFonts w:eastAsia="Calibri" w:cstheme="minorHAnsi"/>
        </w:rPr>
      </w:pPr>
      <w:r w:rsidRPr="008B1377">
        <w:rPr>
          <w:rFonts w:eastAsia="Calibri" w:cstheme="minorHAnsi"/>
        </w:rPr>
        <w:t>(</w:t>
      </w:r>
      <w:r w:rsidR="003C34F7" w:rsidRPr="008B1377">
        <w:rPr>
          <w:rFonts w:eastAsia="Calibri" w:cstheme="minorHAnsi"/>
        </w:rPr>
        <w:t>O</w:t>
      </w:r>
      <w:r w:rsidRPr="008B1377">
        <w:rPr>
          <w:rFonts w:eastAsia="Calibri" w:cstheme="minorHAnsi"/>
        </w:rPr>
        <w:t>ndersteunende) processen voor de informatievoorziening van BIJ12</w:t>
      </w:r>
      <w:r w:rsidR="00231F92" w:rsidRPr="008B1377">
        <w:rPr>
          <w:rFonts w:eastAsia="Calibri" w:cstheme="minorHAnsi"/>
        </w:rPr>
        <w:t>.</w:t>
      </w:r>
    </w:p>
    <w:p w14:paraId="18D48219" w14:textId="77777777" w:rsidR="00D366B0" w:rsidRPr="008B1377" w:rsidRDefault="00D366B0" w:rsidP="00D41C42">
      <w:pPr>
        <w:pStyle w:val="Kop2"/>
        <w:spacing w:line="240" w:lineRule="auto"/>
      </w:pPr>
      <w:bookmarkStart w:id="30" w:name="_Toc497961011"/>
      <w:bookmarkStart w:id="31" w:name="_Toc497961035"/>
      <w:bookmarkStart w:id="32" w:name="_Toc64982957"/>
      <w:r w:rsidRPr="008B1377">
        <w:t>Kaders voor de informatievoorziening</w:t>
      </w:r>
      <w:bookmarkEnd w:id="30"/>
      <w:bookmarkEnd w:id="31"/>
      <w:bookmarkEnd w:id="32"/>
    </w:p>
    <w:p w14:paraId="2B8FC3CA" w14:textId="36C236FB" w:rsidR="00D366B0" w:rsidRPr="008B1377" w:rsidRDefault="00D366B0" w:rsidP="00D41C42">
      <w:pPr>
        <w:spacing w:line="240" w:lineRule="auto"/>
        <w:rPr>
          <w:rFonts w:eastAsia="Calibri"/>
        </w:rPr>
      </w:pPr>
      <w:r w:rsidRPr="008B1377">
        <w:rPr>
          <w:rFonts w:eastAsia="Calibri"/>
        </w:rPr>
        <w:t xml:space="preserve">Met </w:t>
      </w:r>
      <w:r w:rsidR="00F82D29" w:rsidRPr="008B1377">
        <w:rPr>
          <w:rFonts w:eastAsia="Calibri"/>
        </w:rPr>
        <w:t xml:space="preserve">het </w:t>
      </w:r>
      <w:r w:rsidRPr="008B1377">
        <w:rPr>
          <w:rFonts w:eastAsia="Calibri"/>
        </w:rPr>
        <w:t xml:space="preserve">oog op de </w:t>
      </w:r>
      <w:r w:rsidR="00223881" w:rsidRPr="008B1377">
        <w:rPr>
          <w:rFonts w:eastAsia="Calibri"/>
        </w:rPr>
        <w:t xml:space="preserve">eerder </w:t>
      </w:r>
      <w:r w:rsidRPr="008B1377">
        <w:rPr>
          <w:rFonts w:eastAsia="Calibri"/>
        </w:rPr>
        <w:t>genoemde informatiedoelen in relatie tot de processen van BIJ12, geld</w:t>
      </w:r>
      <w:r w:rsidR="0012160E" w:rsidRPr="008B1377">
        <w:rPr>
          <w:rFonts w:eastAsia="Calibri"/>
        </w:rPr>
        <w:t>t</w:t>
      </w:r>
      <w:r w:rsidRPr="008B1377">
        <w:rPr>
          <w:rFonts w:eastAsia="Calibri"/>
        </w:rPr>
        <w:t xml:space="preserve"> een aantal principes. Onderstaand</w:t>
      </w:r>
      <w:r w:rsidR="002D5768" w:rsidRPr="008B1377">
        <w:rPr>
          <w:rFonts w:eastAsia="Calibri"/>
        </w:rPr>
        <w:t>e</w:t>
      </w:r>
      <w:r w:rsidRPr="008B1377">
        <w:rPr>
          <w:rFonts w:eastAsia="Calibri"/>
        </w:rPr>
        <w:t xml:space="preserve"> tabel geeft de relatie weer tussen de informatiedoelen van BIJ12 en de principes. </w:t>
      </w:r>
    </w:p>
    <w:p w14:paraId="4556D388" w14:textId="77777777" w:rsidR="00522F1F" w:rsidRPr="008B1377" w:rsidRDefault="00522F1F" w:rsidP="00D41C42">
      <w:pPr>
        <w:spacing w:line="240" w:lineRule="auto"/>
        <w:rPr>
          <w:rFonts w:eastAsia="Calibri"/>
        </w:rPr>
      </w:pPr>
    </w:p>
    <w:p w14:paraId="2EFDD642" w14:textId="77777777" w:rsidR="00D366B0" w:rsidRPr="008B1377" w:rsidRDefault="00D366B0" w:rsidP="00D41C42">
      <w:pPr>
        <w:spacing w:line="240" w:lineRule="auto"/>
        <w:rPr>
          <w:rFonts w:ascii="Calibri" w:eastAsia="Calibri" w:hAnsi="Calibri"/>
          <w:i/>
          <w:color w:val="FF0000"/>
        </w:rPr>
      </w:pPr>
      <w:r>
        <w:rPr>
          <w:noProof/>
        </w:rPr>
        <w:drawing>
          <wp:inline distT="0" distB="0" distL="0" distR="0" wp14:anchorId="6DAE950F" wp14:editId="0EEE7CE7">
            <wp:extent cx="5137150" cy="3302000"/>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37150" cy="3302000"/>
                    </a:xfrm>
                    <a:prstGeom prst="rect">
                      <a:avLst/>
                    </a:prstGeom>
                  </pic:spPr>
                </pic:pic>
              </a:graphicData>
            </a:graphic>
          </wp:inline>
        </w:drawing>
      </w:r>
    </w:p>
    <w:p w14:paraId="5B117140" w14:textId="77777777" w:rsidR="00D366B0" w:rsidRPr="008B1377" w:rsidRDefault="00D366B0" w:rsidP="00D41C42">
      <w:pPr>
        <w:spacing w:line="240" w:lineRule="auto"/>
        <w:rPr>
          <w:rFonts w:ascii="Calibri" w:eastAsia="Calibri" w:hAnsi="Calibri"/>
          <w:i/>
          <w:color w:val="FF0000"/>
        </w:rPr>
      </w:pPr>
    </w:p>
    <w:p w14:paraId="473284D5" w14:textId="77777777" w:rsidR="00BA31B7" w:rsidRPr="008B1377" w:rsidRDefault="00BA31B7" w:rsidP="00D41C42">
      <w:pPr>
        <w:spacing w:line="240" w:lineRule="auto"/>
        <w:rPr>
          <w:rFonts w:eastAsia="Calibri"/>
          <w:i/>
          <w:color w:val="943634" w:themeColor="accent2" w:themeShade="BF"/>
        </w:rPr>
      </w:pPr>
      <w:r w:rsidRPr="008B1377">
        <w:rPr>
          <w:rStyle w:val="Subtielebenadrukking"/>
          <w:color w:val="943634" w:themeColor="accent2" w:themeShade="BF"/>
        </w:rPr>
        <w:t xml:space="preserve">Principe 1. </w:t>
      </w:r>
      <w:r w:rsidRPr="008B1377">
        <w:rPr>
          <w:rFonts w:eastAsia="Calibri"/>
          <w:i/>
          <w:color w:val="943634" w:themeColor="accent2" w:themeShade="BF"/>
        </w:rPr>
        <w:t>Conformeren aan van toepassing zijnde wet- &amp; regelgeving voor de informatievoorziening.</w:t>
      </w:r>
    </w:p>
    <w:tbl>
      <w:tblPr>
        <w:tblW w:w="8008" w:type="dxa"/>
        <w:tblCellMar>
          <w:left w:w="10" w:type="dxa"/>
          <w:right w:w="10" w:type="dxa"/>
        </w:tblCellMar>
        <w:tblLook w:val="0000" w:firstRow="0" w:lastRow="0" w:firstColumn="0" w:lastColumn="0" w:noHBand="0" w:noVBand="0"/>
      </w:tblPr>
      <w:tblGrid>
        <w:gridCol w:w="988"/>
        <w:gridCol w:w="2910"/>
        <w:gridCol w:w="4110"/>
      </w:tblGrid>
      <w:tr w:rsidR="00BA31B7" w:rsidRPr="008B1377" w14:paraId="5674DC5F"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1EBE63" w14:textId="77777777" w:rsidR="00BA31B7" w:rsidRPr="008B1377" w:rsidRDefault="00BA31B7" w:rsidP="00D41C42">
            <w:pPr>
              <w:spacing w:line="240" w:lineRule="auto"/>
            </w:pPr>
            <w:r w:rsidRPr="008B1377">
              <w:t>Principe 1.1</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7AC217" w14:textId="77777777" w:rsidR="00BA31B7" w:rsidRPr="008B1377" w:rsidRDefault="00BA31B7" w:rsidP="00D41C42">
            <w:pPr>
              <w:spacing w:line="240" w:lineRule="auto"/>
            </w:pPr>
            <w:bookmarkStart w:id="33" w:name="_Hlk497464790"/>
            <w:r w:rsidRPr="008B1377">
              <w:t>BIJ12 conformeert zich aan de Provinciale Baseline Informatiehuishouding</w:t>
            </w:r>
            <w:bookmarkEnd w:id="33"/>
            <w:r w:rsidRPr="008B1377">
              <w:t xml:space="preserve">. </w:t>
            </w:r>
          </w:p>
        </w:tc>
      </w:tr>
      <w:tr w:rsidR="00BA31B7" w:rsidRPr="008B1377" w14:paraId="0F00D53B"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37178E" w14:textId="77777777" w:rsidR="00BA31B7" w:rsidRPr="008B1377" w:rsidRDefault="00BA31B7" w:rsidP="00D41C42">
            <w:pPr>
              <w:spacing w:line="240" w:lineRule="auto"/>
            </w:pPr>
            <w:r w:rsidRPr="008B1377">
              <w:t>Reden</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8F83C5" w14:textId="72DA32A9" w:rsidR="00BA31B7" w:rsidRPr="008B1377" w:rsidRDefault="00BA31B7" w:rsidP="00D41C42">
            <w:pPr>
              <w:pStyle w:val="Lijstalinea"/>
              <w:numPr>
                <w:ilvl w:val="0"/>
                <w:numId w:val="13"/>
              </w:numPr>
              <w:suppressAutoHyphens/>
              <w:autoSpaceDN w:val="0"/>
              <w:spacing w:line="240" w:lineRule="auto"/>
              <w:ind w:left="357" w:hanging="357"/>
              <w:textAlignment w:val="baseline"/>
            </w:pPr>
            <w:r w:rsidRPr="008B1377">
              <w:rPr>
                <w:rFonts w:eastAsia="Calibri"/>
              </w:rPr>
              <w:t xml:space="preserve">De Provinciale Baseline Informatiehuishouding is ontwikkeld voor de provincies, met inbegrip van hun samenwerkingsverbanden en uitvoerende diensten. </w:t>
            </w:r>
          </w:p>
          <w:p w14:paraId="44BEE698" w14:textId="77777777" w:rsidR="00BA31B7" w:rsidRPr="008B1377" w:rsidRDefault="00BA31B7" w:rsidP="00D41C42">
            <w:pPr>
              <w:numPr>
                <w:ilvl w:val="0"/>
                <w:numId w:val="13"/>
              </w:numPr>
              <w:suppressAutoHyphens/>
              <w:autoSpaceDN w:val="0"/>
              <w:spacing w:line="240" w:lineRule="auto"/>
              <w:textAlignment w:val="baseline"/>
            </w:pPr>
            <w:r w:rsidRPr="008B1377">
              <w:rPr>
                <w:rFonts w:eastAsia="Calibri"/>
              </w:rPr>
              <w:lastRenderedPageBreak/>
              <w:t>De Baseline borgt de basiseisen voor overheidsinformatie: de toegankelijkheid, vindbaarheid, uitwisselbaarheid, betrouwbaarheid, authenticiteit en volledigheid van overheidsinformatie. Dit zijn tevens de kwaliteitscriteria vanuit ‘Informatie op Orde’</w:t>
            </w:r>
            <w:r w:rsidRPr="008B1377">
              <w:rPr>
                <w:rStyle w:val="Voetnootmarkering"/>
                <w:rFonts w:eastAsia="Calibri"/>
              </w:rPr>
              <w:footnoteReference w:id="5"/>
            </w:r>
          </w:p>
          <w:p w14:paraId="6AA140BD" w14:textId="0B2D5DC3" w:rsidR="00BA31B7" w:rsidRPr="008B1377" w:rsidRDefault="00BA31B7" w:rsidP="00D41C42">
            <w:pPr>
              <w:numPr>
                <w:ilvl w:val="0"/>
                <w:numId w:val="13"/>
              </w:numPr>
              <w:suppressAutoHyphens/>
              <w:autoSpaceDN w:val="0"/>
              <w:spacing w:line="240" w:lineRule="auto"/>
              <w:textAlignment w:val="baseline"/>
            </w:pPr>
            <w:r w:rsidRPr="008B1377">
              <w:t xml:space="preserve">De Baseline neemt de principes mee uit de vigerende wet- &amp; regelgeving voor </w:t>
            </w:r>
            <w:r w:rsidR="00F82D29" w:rsidRPr="008B1377">
              <w:t>hoe om te gaan</w:t>
            </w:r>
            <w:r w:rsidRPr="008B1377">
              <w:t xml:space="preserve"> met overheidsinformatie</w:t>
            </w:r>
            <w:r w:rsidRPr="008B1377">
              <w:rPr>
                <w:rStyle w:val="Voetnootmarkering"/>
              </w:rPr>
              <w:footnoteReference w:id="6"/>
            </w:r>
            <w:r w:rsidRPr="008B1377">
              <w:t xml:space="preserve">: </w:t>
            </w:r>
          </w:p>
          <w:p w14:paraId="473D859A" w14:textId="77777777" w:rsidR="00BA31B7" w:rsidRPr="008B1377" w:rsidRDefault="00BA31B7" w:rsidP="00D41C42">
            <w:pPr>
              <w:pStyle w:val="Lijstalinea"/>
              <w:numPr>
                <w:ilvl w:val="0"/>
                <w:numId w:val="14"/>
              </w:numPr>
              <w:suppressAutoHyphens/>
              <w:autoSpaceDN w:val="0"/>
              <w:spacing w:line="240" w:lineRule="auto"/>
              <w:ind w:left="1077" w:hanging="357"/>
              <w:textAlignment w:val="baseline"/>
            </w:pPr>
            <w:r w:rsidRPr="008B1377">
              <w:t xml:space="preserve">de Provinciewet </w:t>
            </w:r>
          </w:p>
          <w:p w14:paraId="1E3B30DA" w14:textId="77777777" w:rsidR="00BA31B7" w:rsidRPr="008B1377" w:rsidRDefault="00BA31B7" w:rsidP="00D41C42">
            <w:pPr>
              <w:pStyle w:val="Lijstalinea"/>
              <w:numPr>
                <w:ilvl w:val="1"/>
                <w:numId w:val="13"/>
              </w:numPr>
              <w:suppressAutoHyphens/>
              <w:autoSpaceDN w:val="0"/>
              <w:spacing w:line="240" w:lineRule="auto"/>
              <w:ind w:left="1077" w:hanging="357"/>
              <w:textAlignment w:val="baseline"/>
            </w:pPr>
            <w:r w:rsidRPr="008B1377">
              <w:t>de Algemene wet bestuursrecht (</w:t>
            </w:r>
            <w:proofErr w:type="spellStart"/>
            <w:r w:rsidRPr="008B1377">
              <w:t>Awb</w:t>
            </w:r>
            <w:proofErr w:type="spellEnd"/>
            <w:r w:rsidRPr="008B1377">
              <w:t xml:space="preserve">), inclusief de Wet elektronisch bestuurlijk verkeer </w:t>
            </w:r>
          </w:p>
          <w:p w14:paraId="5FCDCEBF" w14:textId="77777777" w:rsidR="00BA31B7" w:rsidRPr="008B1377" w:rsidRDefault="00BA31B7" w:rsidP="00D41C42">
            <w:pPr>
              <w:pStyle w:val="Lijstalinea"/>
              <w:numPr>
                <w:ilvl w:val="1"/>
                <w:numId w:val="13"/>
              </w:numPr>
              <w:suppressAutoHyphens/>
              <w:autoSpaceDN w:val="0"/>
              <w:spacing w:line="240" w:lineRule="auto"/>
              <w:ind w:left="1077" w:hanging="357"/>
              <w:textAlignment w:val="baseline"/>
            </w:pPr>
            <w:r w:rsidRPr="008B1377">
              <w:t>de Archiefwet 1995</w:t>
            </w:r>
          </w:p>
          <w:p w14:paraId="75814E06" w14:textId="77777777" w:rsidR="00BA31B7" w:rsidRPr="008B1377" w:rsidRDefault="00BA31B7" w:rsidP="00D41C42">
            <w:pPr>
              <w:pStyle w:val="Lijstalinea"/>
              <w:numPr>
                <w:ilvl w:val="1"/>
                <w:numId w:val="13"/>
              </w:numPr>
              <w:suppressAutoHyphens/>
              <w:autoSpaceDN w:val="0"/>
              <w:spacing w:line="240" w:lineRule="auto"/>
              <w:ind w:left="1077" w:hanging="357"/>
              <w:textAlignment w:val="baseline"/>
            </w:pPr>
            <w:r w:rsidRPr="008B1377">
              <w:t xml:space="preserve">het Archiefbesluit 1995 </w:t>
            </w:r>
          </w:p>
          <w:p w14:paraId="7C9B37CF" w14:textId="77777777" w:rsidR="00BA31B7" w:rsidRPr="008B1377" w:rsidRDefault="00BA31B7" w:rsidP="00D41C42">
            <w:pPr>
              <w:pStyle w:val="Lijstalinea"/>
              <w:numPr>
                <w:ilvl w:val="1"/>
                <w:numId w:val="13"/>
              </w:numPr>
              <w:suppressAutoHyphens/>
              <w:autoSpaceDN w:val="0"/>
              <w:spacing w:line="240" w:lineRule="auto"/>
              <w:ind w:left="1077" w:hanging="357"/>
              <w:textAlignment w:val="baseline"/>
            </w:pPr>
            <w:r w:rsidRPr="008B1377">
              <w:t xml:space="preserve">de Archiefregeling </w:t>
            </w:r>
          </w:p>
          <w:p w14:paraId="69B8F54F" w14:textId="77777777" w:rsidR="00BA31B7" w:rsidRPr="008B1377" w:rsidRDefault="00BA31B7" w:rsidP="00D41C42">
            <w:pPr>
              <w:pStyle w:val="Lijstalinea"/>
              <w:numPr>
                <w:ilvl w:val="1"/>
                <w:numId w:val="13"/>
              </w:numPr>
              <w:suppressAutoHyphens/>
              <w:autoSpaceDN w:val="0"/>
              <w:spacing w:line="240" w:lineRule="auto"/>
              <w:ind w:left="1077" w:hanging="357"/>
              <w:textAlignment w:val="baseline"/>
            </w:pPr>
            <w:r w:rsidRPr="008B1377">
              <w:t>de Auteurswet en de Databankenwet</w:t>
            </w:r>
          </w:p>
          <w:p w14:paraId="118F6BB4" w14:textId="77777777" w:rsidR="004F202A" w:rsidRPr="008B1377" w:rsidRDefault="00BA31B7" w:rsidP="00D41C42">
            <w:pPr>
              <w:numPr>
                <w:ilvl w:val="1"/>
                <w:numId w:val="13"/>
              </w:numPr>
              <w:suppressAutoHyphens/>
              <w:autoSpaceDN w:val="0"/>
              <w:spacing w:line="240" w:lineRule="auto"/>
              <w:ind w:left="1077" w:hanging="357"/>
              <w:textAlignment w:val="baseline"/>
            </w:pPr>
            <w:r w:rsidRPr="008B1377">
              <w:t>de Wet bescherming persoonsgegevens (</w:t>
            </w:r>
            <w:proofErr w:type="spellStart"/>
            <w:r w:rsidRPr="008B1377">
              <w:t>Wbp</w:t>
            </w:r>
            <w:proofErr w:type="spellEnd"/>
            <w:r w:rsidRPr="008B1377">
              <w:t>)</w:t>
            </w:r>
          </w:p>
          <w:p w14:paraId="77A7D44D" w14:textId="13C2CEA7" w:rsidR="00BA31B7" w:rsidRPr="008B1377" w:rsidRDefault="004F202A" w:rsidP="00D41C42">
            <w:pPr>
              <w:numPr>
                <w:ilvl w:val="1"/>
                <w:numId w:val="13"/>
              </w:numPr>
              <w:suppressAutoHyphens/>
              <w:autoSpaceDN w:val="0"/>
              <w:spacing w:line="240" w:lineRule="auto"/>
              <w:ind w:left="1077" w:hanging="357"/>
              <w:textAlignment w:val="baseline"/>
            </w:pPr>
            <w:r w:rsidRPr="008B1377">
              <w:t>de Algemene Verordening Gegevensbescherming (AVG)</w:t>
            </w:r>
            <w:r w:rsidR="00BA31B7" w:rsidRPr="008B1377">
              <w:t xml:space="preserve"> </w:t>
            </w:r>
          </w:p>
          <w:p w14:paraId="7C8890CB" w14:textId="77777777" w:rsidR="00BA31B7" w:rsidRPr="008B1377" w:rsidRDefault="00BA31B7" w:rsidP="00D41C42">
            <w:pPr>
              <w:numPr>
                <w:ilvl w:val="1"/>
                <w:numId w:val="13"/>
              </w:numPr>
              <w:suppressAutoHyphens/>
              <w:autoSpaceDN w:val="0"/>
              <w:spacing w:line="240" w:lineRule="auto"/>
              <w:ind w:left="1077" w:hanging="357"/>
              <w:textAlignment w:val="baseline"/>
            </w:pPr>
            <w:r w:rsidRPr="008B1377">
              <w:t>de Wet elektronische handtekeningen</w:t>
            </w:r>
          </w:p>
          <w:p w14:paraId="1E27C1A5" w14:textId="77777777" w:rsidR="00BA31B7" w:rsidRPr="008B1377" w:rsidRDefault="00BA31B7" w:rsidP="00D41C42">
            <w:pPr>
              <w:numPr>
                <w:ilvl w:val="1"/>
                <w:numId w:val="13"/>
              </w:numPr>
              <w:suppressAutoHyphens/>
              <w:autoSpaceDN w:val="0"/>
              <w:spacing w:line="240" w:lineRule="auto"/>
              <w:ind w:left="1077" w:hanging="357"/>
              <w:textAlignment w:val="baseline"/>
            </w:pPr>
            <w:r w:rsidRPr="008B1377">
              <w:t>de Wet openbaarheid van bestuur (</w:t>
            </w:r>
            <w:proofErr w:type="spellStart"/>
            <w:r w:rsidRPr="008B1377">
              <w:t>Wob</w:t>
            </w:r>
            <w:proofErr w:type="spellEnd"/>
            <w:r w:rsidRPr="008B1377">
              <w:t xml:space="preserve">) </w:t>
            </w:r>
          </w:p>
          <w:p w14:paraId="763CA131" w14:textId="081E38A5" w:rsidR="00BA31B7" w:rsidRPr="008B1377" w:rsidRDefault="00BA31B7" w:rsidP="00D41C42">
            <w:pPr>
              <w:pStyle w:val="Lijstalinea"/>
              <w:numPr>
                <w:ilvl w:val="0"/>
                <w:numId w:val="13"/>
              </w:numPr>
              <w:suppressAutoHyphens/>
              <w:autoSpaceDN w:val="0"/>
              <w:spacing w:line="240" w:lineRule="auto"/>
              <w:ind w:left="357" w:hanging="357"/>
              <w:textAlignment w:val="baseline"/>
            </w:pPr>
            <w:r w:rsidRPr="008B1377">
              <w:t xml:space="preserve">De baseline heeft als belangrijke pijler de NEN-ISO 15489, </w:t>
            </w:r>
            <w:r w:rsidR="00F82D29" w:rsidRPr="008B1377">
              <w:t>die</w:t>
            </w:r>
            <w:r w:rsidRPr="008B1377">
              <w:t xml:space="preserve"> als (</w:t>
            </w:r>
            <w:proofErr w:type="spellStart"/>
            <w:r w:rsidRPr="008B1377">
              <w:t>overheids</w:t>
            </w:r>
            <w:proofErr w:type="spellEnd"/>
            <w:r w:rsidRPr="008B1377">
              <w:t xml:space="preserve">)standaard geldt voor informatiebeheer. </w:t>
            </w:r>
          </w:p>
        </w:tc>
      </w:tr>
      <w:tr w:rsidR="00BA31B7" w:rsidRPr="008B1377" w14:paraId="49DEF102" w14:textId="77777777" w:rsidTr="002D5768">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00F8CC" w14:textId="77777777" w:rsidR="00BA31B7" w:rsidRPr="008B1377" w:rsidRDefault="00BA31B7" w:rsidP="00D41C42">
            <w:pPr>
              <w:spacing w:line="240" w:lineRule="auto"/>
            </w:pPr>
            <w:r w:rsidRPr="008B1377">
              <w:lastRenderedPageBreak/>
              <w:t>Werking</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558512" w14:textId="77777777" w:rsidR="00BA31B7" w:rsidRPr="008B1377" w:rsidRDefault="00BA31B7" w:rsidP="00D41C42">
            <w:pPr>
              <w:spacing w:line="240" w:lineRule="auto"/>
            </w:pPr>
            <w:r w:rsidRPr="008B1377">
              <w:t xml:space="preserve">De Baseline bestaat samengevat uit zeven normen. Hieronder is per norm aangeven hoe BIJ12 borgt dat er aan de norm wordt voldaan. </w:t>
            </w:r>
          </w:p>
        </w:tc>
      </w:tr>
      <w:tr w:rsidR="00BA31B7" w:rsidRPr="008B1377" w14:paraId="46CEA56A" w14:textId="77777777" w:rsidTr="002D5768">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D0C21B" w14:textId="77777777" w:rsidR="00BA31B7" w:rsidRPr="008B1377" w:rsidRDefault="00BA31B7" w:rsidP="00D41C42">
            <w:pPr>
              <w:pStyle w:val="Lijstalinea"/>
              <w:spacing w:line="240" w:lineRule="auto"/>
              <w:ind w:left="360"/>
              <w:rPr>
                <w:b/>
              </w:rPr>
            </w:pPr>
            <w:r w:rsidRPr="008B1377">
              <w:rPr>
                <w:b/>
              </w:rPr>
              <w:t>De normen (wat)</w:t>
            </w:r>
          </w:p>
          <w:p w14:paraId="4BB33A42" w14:textId="1204EBA0" w:rsidR="00BA31B7" w:rsidRPr="008B1377" w:rsidRDefault="00BA31B7" w:rsidP="00D41C42">
            <w:pPr>
              <w:pStyle w:val="Lijstalinea"/>
              <w:numPr>
                <w:ilvl w:val="0"/>
                <w:numId w:val="15"/>
              </w:numPr>
              <w:spacing w:after="160" w:line="240" w:lineRule="auto"/>
            </w:pPr>
            <w:r w:rsidRPr="008B1377">
              <w:t xml:space="preserve">De verantwoordelijkheden voor de duurzame toegankelijkheid en betrouwbaarheid van informatie zijn belegd en beschreven. </w:t>
            </w:r>
          </w:p>
          <w:p w14:paraId="61D018E3" w14:textId="0757AC69" w:rsidR="00F82D29" w:rsidRPr="008B1377" w:rsidRDefault="00F82D29" w:rsidP="00D41C42">
            <w:pPr>
              <w:pStyle w:val="Lijstalinea"/>
              <w:spacing w:after="160" w:line="240" w:lineRule="auto"/>
              <w:ind w:left="360"/>
            </w:pPr>
          </w:p>
          <w:p w14:paraId="35CED583" w14:textId="77777777" w:rsidR="00BA31B7" w:rsidRPr="008B1377" w:rsidRDefault="00BA31B7" w:rsidP="00D41C42">
            <w:pPr>
              <w:spacing w:line="240" w:lineRule="auto"/>
            </w:pPr>
          </w:p>
          <w:p w14:paraId="5AE1CCC4" w14:textId="77777777" w:rsidR="00BA31B7" w:rsidRPr="008B1377" w:rsidRDefault="00BA31B7" w:rsidP="00D41C42">
            <w:pPr>
              <w:pStyle w:val="Lijstalinea"/>
              <w:spacing w:line="240" w:lineRule="auto"/>
              <w:ind w:left="360"/>
            </w:pPr>
          </w:p>
          <w:p w14:paraId="237974AA" w14:textId="77777777" w:rsidR="00BA31B7" w:rsidRPr="008B1377" w:rsidRDefault="00BA31B7" w:rsidP="00D41C42">
            <w:pPr>
              <w:pStyle w:val="Lijstalinea"/>
              <w:numPr>
                <w:ilvl w:val="0"/>
                <w:numId w:val="15"/>
              </w:numPr>
              <w:spacing w:after="160" w:line="240" w:lineRule="auto"/>
            </w:pPr>
            <w:r w:rsidRPr="008B1377">
              <w:t xml:space="preserve">De inrichting van organisatie, processen, personeel en hulpmiddelen is kwantitatief en kwalitatief toereikend voor de borging van duurzame toegankelijkheid en betrouwbaarheid van informatie. </w:t>
            </w:r>
          </w:p>
          <w:p w14:paraId="057D6219" w14:textId="77777777" w:rsidR="00BA31B7" w:rsidRPr="008B1377" w:rsidRDefault="00BA31B7" w:rsidP="00D41C42">
            <w:pPr>
              <w:pStyle w:val="Lijstalinea"/>
              <w:spacing w:line="240" w:lineRule="auto"/>
              <w:ind w:left="360"/>
            </w:pPr>
          </w:p>
          <w:p w14:paraId="3628FF5F" w14:textId="77777777" w:rsidR="00BA31B7" w:rsidRPr="008B1377" w:rsidRDefault="00BA31B7" w:rsidP="00D41C42">
            <w:pPr>
              <w:pStyle w:val="Lijstalinea"/>
              <w:numPr>
                <w:ilvl w:val="0"/>
                <w:numId w:val="15"/>
              </w:numPr>
              <w:spacing w:after="160" w:line="240" w:lineRule="auto"/>
            </w:pPr>
            <w:r w:rsidRPr="008B1377">
              <w:t xml:space="preserve">Voor verschillende aspecten van het informatiebeheer zijn standaarden gedefinieerd en in gebruik. </w:t>
            </w:r>
          </w:p>
          <w:p w14:paraId="5DD9B262" w14:textId="77777777" w:rsidR="00BA31B7" w:rsidRPr="008B1377" w:rsidRDefault="00BA31B7" w:rsidP="00D41C42">
            <w:pPr>
              <w:pStyle w:val="Lijstalinea"/>
              <w:spacing w:line="240" w:lineRule="auto"/>
              <w:ind w:left="360"/>
            </w:pPr>
          </w:p>
          <w:p w14:paraId="039D2F66" w14:textId="77777777" w:rsidR="00BA31B7" w:rsidRPr="008B1377" w:rsidRDefault="00BA31B7" w:rsidP="00D41C42">
            <w:pPr>
              <w:pStyle w:val="Lijstalinea"/>
              <w:spacing w:line="240" w:lineRule="auto"/>
              <w:ind w:left="360"/>
            </w:pPr>
          </w:p>
          <w:p w14:paraId="40300EB5" w14:textId="77777777" w:rsidR="00BA31B7" w:rsidRPr="008B1377" w:rsidRDefault="00BA31B7" w:rsidP="00D41C42">
            <w:pPr>
              <w:pStyle w:val="Lijstalinea"/>
              <w:spacing w:line="240" w:lineRule="auto"/>
              <w:ind w:left="360"/>
            </w:pPr>
          </w:p>
          <w:p w14:paraId="0EB10781" w14:textId="77777777" w:rsidR="00BA31B7" w:rsidRPr="008B1377" w:rsidRDefault="00BA31B7" w:rsidP="00D41C42">
            <w:pPr>
              <w:pStyle w:val="Lijstalinea"/>
              <w:spacing w:line="240" w:lineRule="auto"/>
              <w:ind w:left="360"/>
            </w:pPr>
          </w:p>
          <w:p w14:paraId="387999DC" w14:textId="77777777" w:rsidR="00BA31B7" w:rsidRPr="008B1377" w:rsidRDefault="00BA31B7" w:rsidP="00D41C42">
            <w:pPr>
              <w:spacing w:line="240" w:lineRule="auto"/>
            </w:pPr>
          </w:p>
          <w:p w14:paraId="2C105707" w14:textId="44AA3A0F" w:rsidR="00BA31B7" w:rsidRPr="008B1377" w:rsidRDefault="00BA31B7" w:rsidP="00D41C42">
            <w:pPr>
              <w:pStyle w:val="Lijstalinea"/>
              <w:spacing w:line="240" w:lineRule="auto"/>
              <w:ind w:left="360"/>
            </w:pPr>
          </w:p>
          <w:p w14:paraId="51823999" w14:textId="0E529B91" w:rsidR="00621C6C" w:rsidRPr="008B1377" w:rsidRDefault="00621C6C" w:rsidP="00D41C42">
            <w:pPr>
              <w:pStyle w:val="Lijstalinea"/>
              <w:spacing w:line="240" w:lineRule="auto"/>
              <w:ind w:left="360"/>
            </w:pPr>
          </w:p>
          <w:p w14:paraId="1226BE6E" w14:textId="6CF5BB81" w:rsidR="00DF13F5" w:rsidRPr="008B1377" w:rsidRDefault="00DF13F5" w:rsidP="00D41C42">
            <w:pPr>
              <w:pStyle w:val="Lijstalinea"/>
              <w:spacing w:line="240" w:lineRule="auto"/>
              <w:ind w:left="360"/>
            </w:pPr>
          </w:p>
          <w:p w14:paraId="2A272832" w14:textId="77777777" w:rsidR="00DF13F5" w:rsidRPr="008B1377" w:rsidRDefault="00DF13F5" w:rsidP="00D41C42">
            <w:pPr>
              <w:pStyle w:val="Lijstalinea"/>
              <w:spacing w:line="240" w:lineRule="auto"/>
              <w:ind w:left="360"/>
            </w:pPr>
          </w:p>
          <w:p w14:paraId="09E773AC" w14:textId="77777777" w:rsidR="00BA31B7" w:rsidRPr="008B1377" w:rsidRDefault="00BA31B7" w:rsidP="00D41C42">
            <w:pPr>
              <w:pStyle w:val="Lijstalinea"/>
              <w:numPr>
                <w:ilvl w:val="0"/>
                <w:numId w:val="15"/>
              </w:numPr>
              <w:spacing w:after="160" w:line="240" w:lineRule="auto"/>
            </w:pPr>
            <w:r w:rsidRPr="008B1377">
              <w:t xml:space="preserve">Er is een - geprioriteerde - classificatie van producten, processen, informatie en verantwoordelijkheden, waarbij rekening is gehouden met wet- en regelgeving. </w:t>
            </w:r>
          </w:p>
          <w:p w14:paraId="0F4D55F1" w14:textId="77777777" w:rsidR="00BA31B7" w:rsidRPr="008B1377" w:rsidRDefault="00BA31B7" w:rsidP="00D41C42">
            <w:pPr>
              <w:pStyle w:val="Lijstalinea"/>
              <w:spacing w:line="240" w:lineRule="auto"/>
              <w:ind w:left="360"/>
            </w:pPr>
          </w:p>
          <w:p w14:paraId="24E6CAD4" w14:textId="77777777" w:rsidR="00BA31B7" w:rsidRPr="008B1377" w:rsidRDefault="00BA31B7" w:rsidP="00D41C42">
            <w:pPr>
              <w:pStyle w:val="Lijstalinea"/>
              <w:numPr>
                <w:ilvl w:val="0"/>
                <w:numId w:val="15"/>
              </w:numPr>
              <w:spacing w:after="160" w:line="240" w:lineRule="auto"/>
            </w:pPr>
            <w:r w:rsidRPr="008B1377">
              <w:t>Een - al of niet geautomatiseerd - systeem waarmee overheidsinforma</w:t>
            </w:r>
            <w:r w:rsidRPr="008B1377">
              <w:lastRenderedPageBreak/>
              <w:t xml:space="preserve">tie wordt beheerd, ondersteunt aantoonbaar de eisen van duurzame toegankelijkheid en betrouwbaarheid, op het niveau van het geldende beheerregime. </w:t>
            </w:r>
          </w:p>
          <w:p w14:paraId="2BA9692E" w14:textId="77777777" w:rsidR="00BA31B7" w:rsidRPr="008B1377" w:rsidRDefault="00BA31B7" w:rsidP="00D41C42">
            <w:pPr>
              <w:pStyle w:val="Lijstalinea"/>
              <w:spacing w:line="240" w:lineRule="auto"/>
              <w:ind w:left="360"/>
            </w:pPr>
          </w:p>
          <w:p w14:paraId="1D34E0DB" w14:textId="77777777" w:rsidR="00BA31B7" w:rsidRPr="008B1377" w:rsidRDefault="00BA31B7" w:rsidP="00D41C42">
            <w:pPr>
              <w:pStyle w:val="Lijstalinea"/>
              <w:numPr>
                <w:ilvl w:val="0"/>
                <w:numId w:val="15"/>
              </w:numPr>
              <w:spacing w:after="160" w:line="240" w:lineRule="auto"/>
            </w:pPr>
            <w:r w:rsidRPr="008B1377">
              <w:t>Bij het creëren en gebruiken van overheidsinformatie worden de kwaliteitseisen voor duurzame toegankelijkheid en betrouwbaarheid in acht genomen.</w:t>
            </w:r>
          </w:p>
          <w:p w14:paraId="10A2EE8E" w14:textId="77777777" w:rsidR="00BA31B7" w:rsidRPr="008B1377" w:rsidRDefault="00BA31B7" w:rsidP="00D41C42">
            <w:pPr>
              <w:pStyle w:val="Lijstalinea"/>
              <w:spacing w:line="240" w:lineRule="auto"/>
              <w:ind w:left="360"/>
            </w:pPr>
          </w:p>
          <w:p w14:paraId="55A66B84" w14:textId="77777777" w:rsidR="00BA31B7" w:rsidRPr="008B1377" w:rsidRDefault="00BA31B7" w:rsidP="00D41C42">
            <w:pPr>
              <w:pStyle w:val="Lijstalinea"/>
              <w:numPr>
                <w:ilvl w:val="0"/>
                <w:numId w:val="15"/>
              </w:numPr>
              <w:spacing w:after="160" w:line="240" w:lineRule="auto"/>
            </w:pPr>
            <w:r w:rsidRPr="008B1377">
              <w:t>De duurzame toegankelijkheid en betrouwbaarheid van overheidsinformatie is tot het moment van verwijdering gewaarborgd, en de verwijdering verloopt conform vastgelegde procedures.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778E0D" w14:textId="77777777" w:rsidR="00BA31B7" w:rsidRPr="008B1377" w:rsidRDefault="00BA31B7" w:rsidP="00D41C42">
            <w:pPr>
              <w:pStyle w:val="Lijstalinea"/>
              <w:spacing w:line="240" w:lineRule="auto"/>
              <w:ind w:left="1080"/>
              <w:rPr>
                <w:b/>
              </w:rPr>
            </w:pPr>
            <w:r w:rsidRPr="008B1377">
              <w:rPr>
                <w:b/>
              </w:rPr>
              <w:lastRenderedPageBreak/>
              <w:t>De toepassing (waar)</w:t>
            </w:r>
          </w:p>
          <w:p w14:paraId="41918687" w14:textId="77777777" w:rsidR="00BA31B7" w:rsidRPr="008B1377" w:rsidRDefault="00BA31B7" w:rsidP="00D41C42">
            <w:pPr>
              <w:pStyle w:val="Lijstalinea"/>
              <w:numPr>
                <w:ilvl w:val="0"/>
                <w:numId w:val="14"/>
              </w:numPr>
              <w:spacing w:after="160" w:line="240" w:lineRule="auto"/>
              <w:ind w:left="284" w:hanging="284"/>
            </w:pPr>
            <w:r w:rsidRPr="008B1377">
              <w:t xml:space="preserve">De beheerovereenkomst tussen BIJ12 en provincies inzake het informatie en archiefbeheer. </w:t>
            </w:r>
          </w:p>
          <w:p w14:paraId="06E2C1FD" w14:textId="196C6C5A" w:rsidR="00BA31B7" w:rsidRPr="008B1377" w:rsidRDefault="00BA31B7" w:rsidP="00D41C42">
            <w:pPr>
              <w:pStyle w:val="Lijstalinea"/>
              <w:numPr>
                <w:ilvl w:val="0"/>
                <w:numId w:val="14"/>
              </w:numPr>
              <w:spacing w:after="160" w:line="240" w:lineRule="auto"/>
              <w:ind w:left="284" w:hanging="284"/>
            </w:pPr>
            <w:r w:rsidRPr="008B1377">
              <w:t>Kwaliteitssysteem voor het informatie- en archiefbeheer.</w:t>
            </w:r>
          </w:p>
          <w:p w14:paraId="6F85710A" w14:textId="621F6504" w:rsidR="00DF13F5" w:rsidRPr="008B1377" w:rsidRDefault="00DF13F5" w:rsidP="00D41C42">
            <w:pPr>
              <w:pStyle w:val="Lijstalinea"/>
              <w:numPr>
                <w:ilvl w:val="0"/>
                <w:numId w:val="14"/>
              </w:numPr>
              <w:spacing w:after="160" w:line="240" w:lineRule="auto"/>
              <w:ind w:left="284" w:hanging="284"/>
            </w:pPr>
            <w:r w:rsidRPr="008B1377">
              <w:t>Archiefbeleid</w:t>
            </w:r>
          </w:p>
          <w:p w14:paraId="4438AB53" w14:textId="77777777" w:rsidR="00BA31B7" w:rsidRPr="008B1377" w:rsidRDefault="00BA31B7" w:rsidP="00D41C42">
            <w:pPr>
              <w:pStyle w:val="Lijstalinea"/>
              <w:spacing w:line="240" w:lineRule="auto"/>
              <w:ind w:left="284" w:hanging="284"/>
            </w:pPr>
          </w:p>
          <w:p w14:paraId="4D1173A1" w14:textId="77777777" w:rsidR="00BA31B7" w:rsidRPr="008B1377" w:rsidRDefault="00BA31B7" w:rsidP="00D41C42">
            <w:pPr>
              <w:pStyle w:val="Lijstalinea"/>
              <w:numPr>
                <w:ilvl w:val="0"/>
                <w:numId w:val="14"/>
              </w:numPr>
              <w:spacing w:after="160" w:line="240" w:lineRule="auto"/>
              <w:ind w:left="284" w:hanging="284"/>
            </w:pPr>
            <w:r w:rsidRPr="008B1377">
              <w:t>De inrichting van de IV-organisatie van BIJ12.</w:t>
            </w:r>
          </w:p>
          <w:p w14:paraId="318DD795" w14:textId="77777777" w:rsidR="00BA31B7" w:rsidRPr="008B1377" w:rsidRDefault="00BA31B7" w:rsidP="00D41C42">
            <w:pPr>
              <w:pStyle w:val="Lijstalinea"/>
              <w:numPr>
                <w:ilvl w:val="0"/>
                <w:numId w:val="16"/>
              </w:numPr>
              <w:spacing w:after="160" w:line="240" w:lineRule="auto"/>
              <w:ind w:left="284" w:hanging="284"/>
            </w:pPr>
            <w:r w:rsidRPr="008B1377">
              <w:t>Kwaliteitssysteem voor het informatie- en archiefbeheer</w:t>
            </w:r>
          </w:p>
          <w:p w14:paraId="28C0AE77" w14:textId="18170E9C" w:rsidR="00BA31B7" w:rsidRPr="008B1377" w:rsidRDefault="00F82D29" w:rsidP="00D41C42">
            <w:pPr>
              <w:spacing w:line="240" w:lineRule="auto"/>
            </w:pPr>
            <w:r w:rsidRPr="008B1377">
              <w:br/>
            </w:r>
            <w:r w:rsidRPr="008B1377">
              <w:br/>
            </w:r>
          </w:p>
          <w:p w14:paraId="02F1CCDF" w14:textId="35F2A32F" w:rsidR="00BA31B7" w:rsidRPr="008B1377" w:rsidRDefault="00BA31B7" w:rsidP="00D41C42">
            <w:pPr>
              <w:pStyle w:val="Lijstalinea"/>
              <w:numPr>
                <w:ilvl w:val="0"/>
                <w:numId w:val="16"/>
              </w:numPr>
              <w:spacing w:after="160" w:line="240" w:lineRule="auto"/>
              <w:ind w:left="284" w:hanging="284"/>
            </w:pPr>
            <w:r w:rsidRPr="008B1377">
              <w:t>Metadata</w:t>
            </w:r>
            <w:r w:rsidR="00F82D29" w:rsidRPr="008B1377">
              <w:t>-</w:t>
            </w:r>
            <w:r w:rsidRPr="008B1377">
              <w:t>schema voor procesinformatie behorend bij wettelijke en/of gemandateerde taken en bedrijfsvoering.</w:t>
            </w:r>
          </w:p>
          <w:p w14:paraId="114D3EFD" w14:textId="190E752A" w:rsidR="00BA31B7" w:rsidRPr="008B1377" w:rsidRDefault="00621C6C" w:rsidP="00D41C42">
            <w:pPr>
              <w:pStyle w:val="Lijstalinea"/>
              <w:numPr>
                <w:ilvl w:val="0"/>
                <w:numId w:val="16"/>
              </w:numPr>
              <w:spacing w:after="160" w:line="240" w:lineRule="auto"/>
              <w:ind w:left="284" w:hanging="284"/>
            </w:pPr>
            <w:r w:rsidRPr="008B1377">
              <w:t>Toepassing van s</w:t>
            </w:r>
            <w:r w:rsidR="00BA31B7" w:rsidRPr="008B1377">
              <w:t>electielijsten voor procesinformatie behorend bij wettelijke en/of gemandateerde taken en bedrijfsvoering.</w:t>
            </w:r>
          </w:p>
          <w:p w14:paraId="5B761753" w14:textId="77777777" w:rsidR="00BA31B7" w:rsidRPr="008B1377" w:rsidRDefault="00BA31B7" w:rsidP="00D41C42">
            <w:pPr>
              <w:pStyle w:val="Lijstalinea"/>
              <w:numPr>
                <w:ilvl w:val="0"/>
                <w:numId w:val="16"/>
              </w:numPr>
              <w:spacing w:after="160" w:line="240" w:lineRule="auto"/>
              <w:ind w:left="284" w:hanging="284"/>
            </w:pPr>
            <w:r w:rsidRPr="008B1377">
              <w:t>Ordeningsschema</w:t>
            </w:r>
          </w:p>
          <w:p w14:paraId="5C69AA76" w14:textId="62CA4934" w:rsidR="00BA31B7" w:rsidRPr="008B1377" w:rsidRDefault="00BA31B7" w:rsidP="00D41C42">
            <w:pPr>
              <w:pStyle w:val="Lijstalinea"/>
              <w:numPr>
                <w:ilvl w:val="0"/>
                <w:numId w:val="16"/>
              </w:numPr>
              <w:spacing w:after="160" w:line="240" w:lineRule="auto"/>
              <w:ind w:left="284" w:hanging="284"/>
            </w:pPr>
            <w:r w:rsidRPr="008B1377">
              <w:t>Bewaarstrategie</w:t>
            </w:r>
          </w:p>
          <w:p w14:paraId="05673353" w14:textId="5E18ACCD" w:rsidR="00DF13F5" w:rsidRPr="008B1377" w:rsidRDefault="00DF13F5" w:rsidP="00D41C42">
            <w:pPr>
              <w:pStyle w:val="Lijstalinea"/>
              <w:numPr>
                <w:ilvl w:val="0"/>
                <w:numId w:val="16"/>
              </w:numPr>
              <w:spacing w:after="160" w:line="240" w:lineRule="auto"/>
              <w:ind w:left="284" w:hanging="284"/>
            </w:pPr>
            <w:r w:rsidRPr="008B1377">
              <w:t>Archiefbeleid</w:t>
            </w:r>
          </w:p>
          <w:p w14:paraId="73AA2516" w14:textId="4B7E3F43" w:rsidR="00F82D29" w:rsidRPr="008B1377" w:rsidRDefault="00F82D29" w:rsidP="00D41C42">
            <w:pPr>
              <w:pStyle w:val="Lijstalinea"/>
              <w:numPr>
                <w:ilvl w:val="0"/>
                <w:numId w:val="16"/>
              </w:numPr>
              <w:spacing w:after="160" w:line="240" w:lineRule="auto"/>
              <w:ind w:left="284" w:hanging="284"/>
            </w:pPr>
            <w:r w:rsidRPr="008B1377">
              <w:t>Architectuurdocument</w:t>
            </w:r>
          </w:p>
          <w:p w14:paraId="5CBD4C81" w14:textId="77777777" w:rsidR="00BA31B7" w:rsidRPr="008B1377" w:rsidRDefault="00BA31B7" w:rsidP="00D41C42">
            <w:pPr>
              <w:pStyle w:val="Lijstalinea"/>
              <w:spacing w:line="240" w:lineRule="auto"/>
              <w:ind w:left="284"/>
            </w:pPr>
          </w:p>
          <w:p w14:paraId="652CD052" w14:textId="454DD4AA" w:rsidR="00BA31B7" w:rsidRPr="008B1377" w:rsidRDefault="00BA31B7" w:rsidP="00D41C42">
            <w:pPr>
              <w:pStyle w:val="Lijstalinea"/>
              <w:numPr>
                <w:ilvl w:val="0"/>
                <w:numId w:val="16"/>
              </w:numPr>
              <w:spacing w:after="160" w:line="240" w:lineRule="auto"/>
              <w:ind w:left="284" w:hanging="284"/>
            </w:pPr>
            <w:r w:rsidRPr="008B1377">
              <w:t xml:space="preserve">Metasets </w:t>
            </w:r>
            <w:proofErr w:type="spellStart"/>
            <w:r w:rsidRPr="008B1377">
              <w:t>obv</w:t>
            </w:r>
            <w:proofErr w:type="spellEnd"/>
            <w:r w:rsidRPr="008B1377">
              <w:t xml:space="preserve"> het metadata</w:t>
            </w:r>
            <w:r w:rsidR="00F82D29" w:rsidRPr="008B1377">
              <w:t>-</w:t>
            </w:r>
            <w:r w:rsidRPr="008B1377">
              <w:t xml:space="preserve">schema </w:t>
            </w:r>
          </w:p>
          <w:p w14:paraId="0340C35E" w14:textId="77777777" w:rsidR="00BA31B7" w:rsidRPr="008B1377" w:rsidRDefault="00BA31B7" w:rsidP="00D41C42">
            <w:pPr>
              <w:pStyle w:val="Lijstalinea"/>
              <w:numPr>
                <w:ilvl w:val="0"/>
                <w:numId w:val="16"/>
              </w:numPr>
              <w:spacing w:after="160" w:line="240" w:lineRule="auto"/>
              <w:ind w:left="284" w:hanging="284"/>
            </w:pPr>
            <w:r w:rsidRPr="008B1377">
              <w:t>Kwaliteitssysteem voor het informatie- en archiefbeheer.</w:t>
            </w:r>
          </w:p>
          <w:p w14:paraId="66939E00" w14:textId="77777777" w:rsidR="00BA31B7" w:rsidRPr="008B1377" w:rsidRDefault="00BA31B7" w:rsidP="00D41C42">
            <w:pPr>
              <w:pStyle w:val="Lijstalinea"/>
              <w:spacing w:line="240" w:lineRule="auto"/>
              <w:ind w:left="284"/>
            </w:pPr>
          </w:p>
          <w:p w14:paraId="25B05550" w14:textId="77777777" w:rsidR="00621C6C" w:rsidRPr="008B1377" w:rsidRDefault="00621C6C" w:rsidP="00D41C42">
            <w:pPr>
              <w:pStyle w:val="Lijstalinea"/>
              <w:spacing w:line="240" w:lineRule="auto"/>
              <w:ind w:left="284"/>
            </w:pPr>
          </w:p>
          <w:p w14:paraId="41136754" w14:textId="77777777" w:rsidR="00BA31B7" w:rsidRPr="008B1377" w:rsidRDefault="00BA31B7" w:rsidP="00D41C42">
            <w:pPr>
              <w:spacing w:line="240" w:lineRule="auto"/>
            </w:pPr>
          </w:p>
          <w:p w14:paraId="206FDFED" w14:textId="77777777" w:rsidR="00BA31B7" w:rsidRPr="008B1377" w:rsidRDefault="00BA31B7" w:rsidP="00D41C42">
            <w:pPr>
              <w:pStyle w:val="Lijstalinea"/>
              <w:numPr>
                <w:ilvl w:val="0"/>
                <w:numId w:val="16"/>
              </w:numPr>
              <w:spacing w:after="160" w:line="240" w:lineRule="auto"/>
              <w:ind w:left="284" w:hanging="284"/>
            </w:pPr>
            <w:r w:rsidRPr="008B1377">
              <w:t>RMA functionaliteit volgens NEN 2082</w:t>
            </w:r>
          </w:p>
          <w:p w14:paraId="7EEE5BD7" w14:textId="77777777" w:rsidR="00BA31B7" w:rsidRPr="008B1377" w:rsidRDefault="00BA31B7" w:rsidP="00D41C42">
            <w:pPr>
              <w:pStyle w:val="Lijstalinea"/>
              <w:numPr>
                <w:ilvl w:val="0"/>
                <w:numId w:val="16"/>
              </w:numPr>
              <w:spacing w:after="160" w:line="240" w:lineRule="auto"/>
              <w:ind w:left="284" w:hanging="284"/>
            </w:pPr>
            <w:r w:rsidRPr="008B1377">
              <w:t>Metadata inrichting volgens NEN-ISO 23081 en het TMLO</w:t>
            </w:r>
          </w:p>
          <w:p w14:paraId="194631A8" w14:textId="77777777" w:rsidR="00BA31B7" w:rsidRPr="008B1377" w:rsidRDefault="00BA31B7" w:rsidP="00D41C42">
            <w:pPr>
              <w:pStyle w:val="Lijstalinea"/>
              <w:numPr>
                <w:ilvl w:val="0"/>
                <w:numId w:val="16"/>
              </w:numPr>
              <w:spacing w:after="160" w:line="240" w:lineRule="auto"/>
              <w:ind w:left="284" w:hanging="284"/>
            </w:pPr>
            <w:r w:rsidRPr="008B1377">
              <w:lastRenderedPageBreak/>
              <w:t xml:space="preserve">Normen van het Nationaal Archief voor de infrastructurele componenten waarvan het informatiesysteem gebruik maakt. </w:t>
            </w:r>
          </w:p>
          <w:p w14:paraId="5221123D" w14:textId="77777777" w:rsidR="00BA31B7" w:rsidRPr="008B1377" w:rsidRDefault="00BA31B7" w:rsidP="00D41C42">
            <w:pPr>
              <w:pStyle w:val="Lijstalinea"/>
              <w:spacing w:after="160" w:line="240" w:lineRule="auto"/>
              <w:ind w:left="284"/>
            </w:pPr>
          </w:p>
          <w:p w14:paraId="59C5A153" w14:textId="77777777" w:rsidR="00BA31B7" w:rsidRPr="008B1377" w:rsidRDefault="00BA31B7" w:rsidP="00D41C42">
            <w:pPr>
              <w:pStyle w:val="Lijstalinea"/>
              <w:numPr>
                <w:ilvl w:val="0"/>
                <w:numId w:val="16"/>
              </w:numPr>
              <w:spacing w:after="160" w:line="240" w:lineRule="auto"/>
              <w:ind w:left="284" w:hanging="284"/>
            </w:pPr>
            <w:r w:rsidRPr="008B1377">
              <w:t>Waar mogelijk selectie bij de bron</w:t>
            </w:r>
          </w:p>
          <w:p w14:paraId="0DCACDF7" w14:textId="55E46A1A" w:rsidR="00BA31B7" w:rsidRPr="008B1377" w:rsidRDefault="00BA31B7" w:rsidP="00D41C42">
            <w:pPr>
              <w:pStyle w:val="Lijstalinea"/>
              <w:numPr>
                <w:ilvl w:val="0"/>
                <w:numId w:val="16"/>
              </w:numPr>
              <w:spacing w:after="160" w:line="240" w:lineRule="auto"/>
              <w:ind w:left="284" w:hanging="284"/>
            </w:pPr>
            <w:r w:rsidRPr="008B1377">
              <w:t>Toepassing metadata</w:t>
            </w:r>
            <w:r w:rsidR="00F82D29" w:rsidRPr="008B1377">
              <w:t>-</w:t>
            </w:r>
            <w:r w:rsidRPr="008B1377">
              <w:t>schema</w:t>
            </w:r>
          </w:p>
          <w:p w14:paraId="384C23EB" w14:textId="77777777" w:rsidR="00BA31B7" w:rsidRPr="008B1377" w:rsidRDefault="00BA31B7" w:rsidP="00D41C42">
            <w:pPr>
              <w:pStyle w:val="Lijstalinea"/>
              <w:numPr>
                <w:ilvl w:val="0"/>
                <w:numId w:val="16"/>
              </w:numPr>
              <w:spacing w:after="160" w:line="240" w:lineRule="auto"/>
              <w:ind w:left="284" w:hanging="284"/>
            </w:pPr>
            <w:r w:rsidRPr="008B1377">
              <w:t xml:space="preserve">Toetsing werkprocessen aan de Algemene Verordening Gegevensbescherming (AVG). </w:t>
            </w:r>
          </w:p>
          <w:p w14:paraId="5C0AC822" w14:textId="77777777" w:rsidR="00BA31B7" w:rsidRPr="008B1377" w:rsidRDefault="00BA31B7" w:rsidP="00D41C42">
            <w:pPr>
              <w:spacing w:line="240" w:lineRule="auto"/>
            </w:pPr>
          </w:p>
          <w:p w14:paraId="24ACB16C" w14:textId="77777777" w:rsidR="00BA31B7" w:rsidRPr="008B1377" w:rsidRDefault="00BA31B7" w:rsidP="00D41C42">
            <w:pPr>
              <w:pStyle w:val="Lijstalinea"/>
              <w:numPr>
                <w:ilvl w:val="0"/>
                <w:numId w:val="17"/>
              </w:numPr>
              <w:spacing w:after="160" w:line="240" w:lineRule="auto"/>
              <w:ind w:left="284" w:hanging="284"/>
            </w:pPr>
            <w:r w:rsidRPr="008B1377">
              <w:t>Autorisatieschema</w:t>
            </w:r>
          </w:p>
          <w:p w14:paraId="101F3363" w14:textId="77777777" w:rsidR="00BA31B7" w:rsidRPr="008B1377" w:rsidRDefault="00BA31B7" w:rsidP="00D41C42">
            <w:pPr>
              <w:pStyle w:val="Lijstalinea"/>
              <w:numPr>
                <w:ilvl w:val="0"/>
                <w:numId w:val="17"/>
              </w:numPr>
              <w:spacing w:after="160" w:line="240" w:lineRule="auto"/>
              <w:ind w:left="284" w:hanging="284"/>
            </w:pPr>
            <w:r w:rsidRPr="008B1377">
              <w:t>Vervanging procedure</w:t>
            </w:r>
          </w:p>
          <w:p w14:paraId="5C688713" w14:textId="36C75A50" w:rsidR="00BA31B7" w:rsidRPr="008B1377" w:rsidRDefault="00BA31B7" w:rsidP="00D41C42">
            <w:pPr>
              <w:pStyle w:val="Lijstalinea"/>
              <w:numPr>
                <w:ilvl w:val="0"/>
                <w:numId w:val="17"/>
              </w:numPr>
              <w:spacing w:after="160" w:line="240" w:lineRule="auto"/>
              <w:ind w:left="284" w:hanging="284"/>
            </w:pPr>
            <w:r w:rsidRPr="008B1377">
              <w:t>Toepassing metadata</w:t>
            </w:r>
            <w:r w:rsidR="00F82D29" w:rsidRPr="008B1377">
              <w:t>-</w:t>
            </w:r>
            <w:r w:rsidRPr="008B1377">
              <w:t>schema</w:t>
            </w:r>
          </w:p>
          <w:p w14:paraId="18030474" w14:textId="748D7A10" w:rsidR="00DF13F5" w:rsidRPr="008B1377" w:rsidRDefault="00DF13F5" w:rsidP="00D41C42">
            <w:pPr>
              <w:pStyle w:val="Lijstalinea"/>
              <w:numPr>
                <w:ilvl w:val="0"/>
                <w:numId w:val="17"/>
              </w:numPr>
              <w:spacing w:after="160" w:line="240" w:lineRule="auto"/>
              <w:ind w:left="284" w:hanging="284"/>
            </w:pPr>
            <w:r w:rsidRPr="008B1377">
              <w:t>Archiefbeleid</w:t>
            </w:r>
            <w:r w:rsidR="00F82D29" w:rsidRPr="008B1377">
              <w:t xml:space="preserve"> incl. vernietiging</w:t>
            </w:r>
          </w:p>
        </w:tc>
      </w:tr>
    </w:tbl>
    <w:p w14:paraId="00ACB418" w14:textId="77777777" w:rsidR="00BA31B7" w:rsidRPr="008B1377" w:rsidRDefault="00BA31B7" w:rsidP="00D41C42">
      <w:pPr>
        <w:spacing w:line="240" w:lineRule="auto"/>
        <w:rPr>
          <w:rFonts w:eastAsia="Calibri"/>
          <w:i/>
        </w:rPr>
      </w:pPr>
    </w:p>
    <w:tbl>
      <w:tblPr>
        <w:tblW w:w="8008" w:type="dxa"/>
        <w:tblCellMar>
          <w:left w:w="10" w:type="dxa"/>
          <w:right w:w="10" w:type="dxa"/>
        </w:tblCellMar>
        <w:tblLook w:val="0000" w:firstRow="0" w:lastRow="0" w:firstColumn="0" w:lastColumn="0" w:noHBand="0" w:noVBand="0"/>
      </w:tblPr>
      <w:tblGrid>
        <w:gridCol w:w="988"/>
        <w:gridCol w:w="7020"/>
      </w:tblGrid>
      <w:tr w:rsidR="00BA31B7" w:rsidRPr="008B1377" w14:paraId="76296433"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85B55C" w14:textId="77777777" w:rsidR="00BA31B7" w:rsidRPr="008B1377" w:rsidRDefault="00BA31B7" w:rsidP="00D41C42">
            <w:pPr>
              <w:spacing w:line="240" w:lineRule="auto"/>
            </w:pPr>
            <w:r w:rsidRPr="008B1377">
              <w:t>Principe 1.2</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8B96EA" w14:textId="77777777" w:rsidR="00BA31B7" w:rsidRPr="008B1377" w:rsidRDefault="00BA31B7" w:rsidP="00D41C42">
            <w:pPr>
              <w:spacing w:line="240" w:lineRule="auto"/>
            </w:pPr>
            <w:r w:rsidRPr="008B1377">
              <w:t xml:space="preserve">BIJ12 conformeert zich aan de </w:t>
            </w:r>
            <w:bookmarkStart w:id="34" w:name="_Hlk497464811"/>
            <w:r w:rsidRPr="008B1377">
              <w:t xml:space="preserve">Interprovinciale Baseline Informatiebeveiliging. </w:t>
            </w:r>
            <w:bookmarkEnd w:id="34"/>
          </w:p>
        </w:tc>
      </w:tr>
      <w:tr w:rsidR="00BA31B7" w:rsidRPr="008B1377" w14:paraId="7E70ED70"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F5E686" w14:textId="77777777" w:rsidR="00BA31B7" w:rsidRPr="008B1377" w:rsidRDefault="00BA31B7" w:rsidP="00D41C42">
            <w:pPr>
              <w:spacing w:line="240" w:lineRule="auto"/>
            </w:pPr>
            <w:r w:rsidRPr="008B1377">
              <w:t>Reden</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996F07" w14:textId="633FBD67" w:rsidR="00BA31B7" w:rsidRPr="008B1377" w:rsidRDefault="00BA31B7" w:rsidP="00D41C42">
            <w:pPr>
              <w:numPr>
                <w:ilvl w:val="0"/>
                <w:numId w:val="13"/>
              </w:numPr>
              <w:suppressAutoHyphens/>
              <w:autoSpaceDN w:val="0"/>
              <w:spacing w:line="240" w:lineRule="auto"/>
              <w:ind w:left="357" w:hanging="357"/>
              <w:textAlignment w:val="baseline"/>
            </w:pPr>
            <w:r w:rsidRPr="008B1377">
              <w:t xml:space="preserve">BIJ12 gaat op een verantwoorde wijze om met informatie, met </w:t>
            </w:r>
            <w:r w:rsidR="00F82D29" w:rsidRPr="008B1377">
              <w:t xml:space="preserve">het </w:t>
            </w:r>
            <w:r w:rsidRPr="008B1377">
              <w:t xml:space="preserve">oog op het </w:t>
            </w:r>
            <w:r w:rsidR="00621C6C" w:rsidRPr="008B1377">
              <w:t xml:space="preserve">risico op het </w:t>
            </w:r>
            <w:r w:rsidRPr="008B1377">
              <w:t>verliezen</w:t>
            </w:r>
            <w:r w:rsidR="00621C6C" w:rsidRPr="008B1377">
              <w:t xml:space="preserve"> </w:t>
            </w:r>
            <w:r w:rsidRPr="008B1377">
              <w:t>of misbruik van informatie.</w:t>
            </w:r>
          </w:p>
          <w:p w14:paraId="49456344" w14:textId="77777777" w:rsidR="00BA31B7" w:rsidRPr="008B1377" w:rsidRDefault="00BA31B7" w:rsidP="00D41C42">
            <w:pPr>
              <w:numPr>
                <w:ilvl w:val="0"/>
                <w:numId w:val="13"/>
              </w:numPr>
              <w:suppressAutoHyphens/>
              <w:autoSpaceDN w:val="0"/>
              <w:spacing w:line="240" w:lineRule="auto"/>
              <w:ind w:left="357" w:hanging="357"/>
              <w:textAlignment w:val="baseline"/>
            </w:pPr>
            <w:r w:rsidRPr="008B1377">
              <w:rPr>
                <w:rFonts w:eastAsia="Calibri"/>
              </w:rPr>
              <w:t>Informatiebeveiliging heeft ten doel het behouden van de vertrouwelijkheid, integriteit en beschikbaarheid van informatie.</w:t>
            </w:r>
          </w:p>
          <w:p w14:paraId="05FE0E22" w14:textId="77777777" w:rsidR="00BA31B7" w:rsidRPr="008B1377" w:rsidRDefault="00BA31B7" w:rsidP="00D41C42">
            <w:pPr>
              <w:numPr>
                <w:ilvl w:val="0"/>
                <w:numId w:val="13"/>
              </w:numPr>
              <w:suppressAutoHyphens/>
              <w:autoSpaceDN w:val="0"/>
              <w:spacing w:line="240" w:lineRule="auto"/>
              <w:ind w:left="357" w:hanging="357"/>
              <w:textAlignment w:val="baseline"/>
            </w:pPr>
            <w:r w:rsidRPr="008B1377">
              <w:rPr>
                <w:rFonts w:eastAsia="Calibri"/>
              </w:rPr>
              <w:t xml:space="preserve">De Baseline is gebaseerd op de </w:t>
            </w:r>
            <w:bookmarkStart w:id="35" w:name="_Hlk497297583"/>
            <w:r w:rsidRPr="008B1377">
              <w:rPr>
                <w:rFonts w:eastAsia="Calibri"/>
              </w:rPr>
              <w:t>NEN-ISO/IEC-27001 en 27002</w:t>
            </w:r>
            <w:bookmarkEnd w:id="35"/>
            <w:r w:rsidRPr="008B1377">
              <w:rPr>
                <w:rFonts w:eastAsia="Calibri"/>
              </w:rPr>
              <w:t>, dé standaard voor informatiebeveiliging</w:t>
            </w:r>
          </w:p>
        </w:tc>
      </w:tr>
      <w:tr w:rsidR="00BA31B7" w:rsidRPr="008B1377" w14:paraId="3B81C8DD" w14:textId="77777777" w:rsidTr="002D5768">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51DFA4" w14:textId="77777777" w:rsidR="00BA31B7" w:rsidRPr="008B1377" w:rsidRDefault="00BA31B7" w:rsidP="00D41C42">
            <w:pPr>
              <w:spacing w:line="240" w:lineRule="auto"/>
            </w:pPr>
            <w:r w:rsidRPr="008B1377">
              <w:t>Werking</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FD7D74" w14:textId="77777777" w:rsidR="00BA31B7" w:rsidRPr="008B1377" w:rsidRDefault="00BA31B7" w:rsidP="00D41C42">
            <w:pPr>
              <w:spacing w:line="240" w:lineRule="auto"/>
            </w:pPr>
            <w:r w:rsidRPr="008B1377">
              <w:t xml:space="preserve">Informatiebeveiliging omvat procedures, maatregelen vanuit de aandachtsgebieden: mens en organisatie, basisinfrastructuur en ICT. Het beslaat alle informatie die een organisatie nodig heeft om haar processen naar behoren uit te kunnen voeren. Verder reikend dan de technische kant, gaat dit ook over zaken zoals toegangsbeveiliging, personeel, beleid, bureauveiligheid en gedrag van medewerkers. De Baseline informatiebeveiliging biedt naast een kader ook praktische handvatten voor de implementatie. </w:t>
            </w:r>
          </w:p>
          <w:p w14:paraId="0FC2B40B" w14:textId="47984725" w:rsidR="00BA31B7" w:rsidRPr="008B1377" w:rsidRDefault="00BA31B7" w:rsidP="00D41C42">
            <w:pPr>
              <w:spacing w:line="240" w:lineRule="auto"/>
            </w:pPr>
            <w:r w:rsidRPr="008B1377">
              <w:t>De informatiebeveiliging voor BIJ12, gebaseerd op de Baseline, krijgt vorm in een informatiebeveiligingsbeleid. Dat beleid maakt deel uit van de</w:t>
            </w:r>
            <w:r w:rsidR="00223881" w:rsidRPr="008B1377">
              <w:t xml:space="preserve"> informatiestrategie van BIJ12.</w:t>
            </w:r>
          </w:p>
        </w:tc>
      </w:tr>
    </w:tbl>
    <w:p w14:paraId="7D0388F8" w14:textId="77777777" w:rsidR="00BA31B7" w:rsidRPr="008B1377" w:rsidRDefault="00BA31B7" w:rsidP="00D41C42">
      <w:pPr>
        <w:keepNext/>
        <w:keepLines/>
        <w:spacing w:before="40" w:line="240" w:lineRule="auto"/>
        <w:outlineLvl w:val="2"/>
        <w:rPr>
          <w:color w:val="243F60" w:themeColor="accent1" w:themeShade="7F"/>
        </w:rPr>
      </w:pPr>
      <w:r w:rsidRPr="008B1377">
        <w:rPr>
          <w:color w:val="243F60" w:themeColor="accent1" w:themeShade="7F"/>
        </w:rPr>
        <w:tab/>
      </w:r>
    </w:p>
    <w:p w14:paraId="0BAA8543" w14:textId="77777777" w:rsidR="00BA31B7" w:rsidRPr="008B1377" w:rsidRDefault="00BA31B7" w:rsidP="00D41C42">
      <w:pPr>
        <w:spacing w:line="240" w:lineRule="auto"/>
        <w:rPr>
          <w:color w:val="243F60" w:themeColor="accent1" w:themeShade="7F"/>
        </w:rPr>
      </w:pPr>
      <w:bookmarkStart w:id="36" w:name="_Toc497961033"/>
      <w:r w:rsidRPr="008B1377">
        <w:t>De genoemde baselines zijn complementair aan elkaar.</w:t>
      </w:r>
      <w:bookmarkEnd w:id="36"/>
    </w:p>
    <w:p w14:paraId="27C715DC" w14:textId="77777777" w:rsidR="00BA31B7" w:rsidRPr="008B1377" w:rsidRDefault="00BA31B7" w:rsidP="00D41C42">
      <w:pPr>
        <w:spacing w:line="240" w:lineRule="auto"/>
        <w:rPr>
          <w:rFonts w:ascii="Calibri" w:eastAsia="Calibri" w:hAnsi="Calibri"/>
          <w:i/>
          <w:color w:val="FF0000"/>
        </w:rPr>
      </w:pPr>
    </w:p>
    <w:p w14:paraId="1B9E6D72" w14:textId="77777777" w:rsidR="00D366B0" w:rsidRPr="008B1377" w:rsidRDefault="00D366B0" w:rsidP="00D41C42">
      <w:pPr>
        <w:spacing w:line="240" w:lineRule="auto"/>
        <w:rPr>
          <w:rFonts w:ascii="Calibri" w:eastAsia="Calibri" w:hAnsi="Calibri"/>
          <w:color w:val="943634" w:themeColor="accent2" w:themeShade="BF"/>
        </w:rPr>
      </w:pPr>
      <w:r w:rsidRPr="008B1377">
        <w:rPr>
          <w:rStyle w:val="Subtielebenadrukking"/>
          <w:color w:val="943634" w:themeColor="accent2" w:themeShade="BF"/>
        </w:rPr>
        <w:t xml:space="preserve">Principe 2. </w:t>
      </w:r>
      <w:bookmarkStart w:id="37" w:name="_Hlk497464588"/>
      <w:r w:rsidRPr="008B1377">
        <w:rPr>
          <w:rFonts w:eastAsia="Calibri"/>
          <w:i/>
          <w:color w:val="943634" w:themeColor="accent2" w:themeShade="BF"/>
        </w:rPr>
        <w:t>Werken onder architectuur</w:t>
      </w:r>
      <w:bookmarkEnd w:id="37"/>
      <w:r w:rsidRPr="008B1377">
        <w:rPr>
          <w:rFonts w:eastAsia="Calibri"/>
          <w:i/>
          <w:color w:val="943634" w:themeColor="accent2" w:themeShade="BF"/>
        </w:rPr>
        <w:t>.</w:t>
      </w:r>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7A7C9302" w14:textId="77777777" w:rsidTr="00D366B0">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95DB2" w14:textId="77777777" w:rsidR="00D366B0" w:rsidRPr="008B1377" w:rsidRDefault="00D366B0" w:rsidP="00D41C42">
            <w:pPr>
              <w:spacing w:line="240" w:lineRule="auto"/>
            </w:pPr>
            <w:r w:rsidRPr="008B1377">
              <w:t>Principe 2</w:t>
            </w:r>
            <w:r w:rsidR="00BA31B7" w:rsidRPr="008B1377">
              <w:t>.1</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EC40BE" w14:textId="13D99538" w:rsidR="00D366B0" w:rsidRPr="008B1377" w:rsidRDefault="00D366B0" w:rsidP="00D41C42">
            <w:pPr>
              <w:spacing w:line="240" w:lineRule="auto"/>
            </w:pPr>
            <w:bookmarkStart w:id="38" w:name="_Hlk497464831"/>
            <w:r w:rsidRPr="008B1377">
              <w:t>BIJ12 werkt op basis van architectuur aan de informatievoorziening.</w:t>
            </w:r>
            <w:r w:rsidR="00F41F33" w:rsidRPr="008B1377">
              <w:t xml:space="preserve"> </w:t>
            </w:r>
            <w:bookmarkEnd w:id="38"/>
          </w:p>
        </w:tc>
      </w:tr>
      <w:tr w:rsidR="00D366B0" w:rsidRPr="008B1377" w14:paraId="3E8CBD7E" w14:textId="77777777" w:rsidTr="00D366B0">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20B9B3"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80D92D" w14:textId="7658EA7E" w:rsidR="00D366B0" w:rsidRPr="008B1377" w:rsidRDefault="00D366B0" w:rsidP="00D41C42">
            <w:pPr>
              <w:numPr>
                <w:ilvl w:val="0"/>
                <w:numId w:val="13"/>
              </w:numPr>
              <w:suppressAutoHyphens/>
              <w:autoSpaceDN w:val="0"/>
              <w:spacing w:line="240" w:lineRule="auto"/>
              <w:textAlignment w:val="baseline"/>
              <w:rPr>
                <w:rFonts w:eastAsia="Calibri"/>
              </w:rPr>
            </w:pPr>
            <w:r w:rsidRPr="008B1377">
              <w:t>Een bij de bedrijfsdoelstellingen passende informatievoorziening kan alleen ontstaan als er bewust toegewerkt wordt naar een gezamenlijk beeld van hoe die informatievoorziening eruit moet zien.</w:t>
            </w:r>
          </w:p>
          <w:p w14:paraId="7C186252" w14:textId="77777777" w:rsidR="00D366B0" w:rsidRPr="008B1377" w:rsidRDefault="00D366B0" w:rsidP="00D41C42">
            <w:pPr>
              <w:numPr>
                <w:ilvl w:val="0"/>
                <w:numId w:val="13"/>
              </w:numPr>
              <w:suppressAutoHyphens/>
              <w:autoSpaceDN w:val="0"/>
              <w:spacing w:line="240" w:lineRule="auto"/>
              <w:textAlignment w:val="baseline"/>
              <w:rPr>
                <w:rFonts w:eastAsia="Calibri"/>
              </w:rPr>
            </w:pPr>
            <w:r w:rsidRPr="008B1377">
              <w:rPr>
                <w:rFonts w:eastAsia="Calibri"/>
              </w:rPr>
              <w:t xml:space="preserve">Architectuur is als een bouwtekening voor een huis gebaseerd op afspraken over het (toekomstig) gebruik en de bestemming van de ruimten. Het vergemakkelijkt keuzes over de inrichting. </w:t>
            </w:r>
          </w:p>
          <w:p w14:paraId="4E80CEDC" w14:textId="5009CD9E" w:rsidR="00D366B0" w:rsidRPr="008B1377" w:rsidRDefault="00D366B0" w:rsidP="00D41C42">
            <w:pPr>
              <w:numPr>
                <w:ilvl w:val="0"/>
                <w:numId w:val="13"/>
              </w:numPr>
              <w:suppressAutoHyphens/>
              <w:autoSpaceDN w:val="0"/>
              <w:spacing w:line="240" w:lineRule="auto"/>
              <w:textAlignment w:val="baseline"/>
              <w:rPr>
                <w:rFonts w:eastAsia="Calibri"/>
              </w:rPr>
            </w:pPr>
            <w:r w:rsidRPr="008B1377">
              <w:t xml:space="preserve">Werken onder architectuur betekent dat BIJ12 een methodiek heeft om de impact </w:t>
            </w:r>
            <w:r w:rsidR="00F82D29" w:rsidRPr="008B1377">
              <w:t>van toekomstige ontwikkelingen</w:t>
            </w:r>
            <w:r w:rsidR="00142814" w:rsidRPr="008B1377">
              <w:t xml:space="preserve"> te toetsen aan</w:t>
            </w:r>
            <w:r w:rsidRPr="008B1377">
              <w:t xml:space="preserve"> de </w:t>
            </w:r>
            <w:r w:rsidR="00142814" w:rsidRPr="008B1377">
              <w:t xml:space="preserve">huidige IV en de veranderende behoefte aan (toekomstige) </w:t>
            </w:r>
            <w:r w:rsidRPr="008B1377">
              <w:t>informatievoorziening.</w:t>
            </w:r>
            <w:r w:rsidR="00F41F33" w:rsidRPr="008B1377">
              <w:t xml:space="preserve"> </w:t>
            </w:r>
          </w:p>
        </w:tc>
      </w:tr>
      <w:tr w:rsidR="00D366B0" w:rsidRPr="008B1377" w14:paraId="6CBCB2E7" w14:textId="77777777" w:rsidTr="00D366B0">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4E5002" w14:textId="77777777" w:rsidR="00D366B0" w:rsidRPr="008B1377" w:rsidRDefault="00D366B0"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28B537" w14:textId="2321FD78" w:rsidR="00D366B0" w:rsidRPr="008B1377" w:rsidRDefault="00D366B0" w:rsidP="00D41C42">
            <w:pPr>
              <w:spacing w:line="240" w:lineRule="auto"/>
            </w:pPr>
            <w:r w:rsidRPr="008B1377">
              <w:t>BIJ12 ontwikkelt een eigen Enterprise Architectuur</w:t>
            </w:r>
            <w:r w:rsidR="00142814" w:rsidRPr="008B1377">
              <w:t xml:space="preserve"> en basisinfrastructuur</w:t>
            </w:r>
            <w:r w:rsidRPr="008B1377">
              <w:t>. Dit omvat zowel de bedrijfskundige kant, al</w:t>
            </w:r>
            <w:r w:rsidR="00142814" w:rsidRPr="008B1377">
              <w:t>s</w:t>
            </w:r>
            <w:r w:rsidRPr="008B1377">
              <w:t xml:space="preserve"> de technische kant en het informatieperspectief. </w:t>
            </w:r>
            <w:r w:rsidR="00142814" w:rsidRPr="008B1377">
              <w:t xml:space="preserve">Hiervoor zijn al diverse referentiearchitecturen </w:t>
            </w:r>
            <w:r w:rsidRPr="008B1377">
              <w:t>zoals de PETRA en de NORA</w:t>
            </w:r>
            <w:r w:rsidR="00142814" w:rsidRPr="008B1377">
              <w:t xml:space="preserve"> beschikbaar</w:t>
            </w:r>
            <w:r w:rsidRPr="008B1377">
              <w:t xml:space="preserve">. BIJ12 maakt hier gebruik van. </w:t>
            </w:r>
          </w:p>
        </w:tc>
      </w:tr>
    </w:tbl>
    <w:p w14:paraId="1E284367" w14:textId="77777777" w:rsidR="00D366B0" w:rsidRPr="008B1377" w:rsidRDefault="00D366B0" w:rsidP="00D41C42">
      <w:pPr>
        <w:spacing w:line="240" w:lineRule="auto"/>
        <w:rPr>
          <w:rFonts w:ascii="Calibri" w:eastAsia="Calibri" w:hAnsi="Calibri"/>
          <w:i/>
          <w:color w:val="FF0000"/>
        </w:rPr>
      </w:pPr>
    </w:p>
    <w:p w14:paraId="09AE8716" w14:textId="77777777" w:rsidR="00BA31B7" w:rsidRPr="008B1377" w:rsidRDefault="00BA31B7" w:rsidP="00D41C42">
      <w:pPr>
        <w:spacing w:line="240" w:lineRule="auto"/>
        <w:rPr>
          <w:rFonts w:ascii="Calibri" w:eastAsia="Calibri" w:hAnsi="Calibri"/>
          <w:color w:val="943634" w:themeColor="accent2" w:themeShade="BF"/>
        </w:rPr>
      </w:pPr>
    </w:p>
    <w:tbl>
      <w:tblPr>
        <w:tblW w:w="8150" w:type="dxa"/>
        <w:tblCellMar>
          <w:left w:w="10" w:type="dxa"/>
          <w:right w:w="10" w:type="dxa"/>
        </w:tblCellMar>
        <w:tblLook w:val="0000" w:firstRow="0" w:lastRow="0" w:firstColumn="0" w:lastColumn="0" w:noHBand="0" w:noVBand="0"/>
      </w:tblPr>
      <w:tblGrid>
        <w:gridCol w:w="988"/>
        <w:gridCol w:w="7162"/>
      </w:tblGrid>
      <w:tr w:rsidR="00BA31B7" w:rsidRPr="008B1377" w14:paraId="4E06A8C2"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81011B" w14:textId="77777777" w:rsidR="00BA31B7" w:rsidRPr="008B1377" w:rsidRDefault="00BA31B7" w:rsidP="00D41C42">
            <w:pPr>
              <w:spacing w:line="240" w:lineRule="auto"/>
            </w:pPr>
            <w:r w:rsidRPr="008B1377">
              <w:t>Principe 2.2</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141F6E" w14:textId="0A7EFE6B" w:rsidR="00BA31B7" w:rsidRPr="008B1377" w:rsidRDefault="00BA31B7" w:rsidP="00D41C42">
            <w:pPr>
              <w:spacing w:line="240" w:lineRule="auto"/>
            </w:pPr>
            <w:r w:rsidRPr="008B1377">
              <w:t xml:space="preserve">BIJ12 </w:t>
            </w:r>
            <w:r w:rsidR="00142814" w:rsidRPr="008B1377">
              <w:t xml:space="preserve">gebruikt </w:t>
            </w:r>
            <w:r w:rsidRPr="008B1377">
              <w:t xml:space="preserve">voor het uitwisselen van informatie met derden en partners alleen functionaliteiten die door BIJ12 geboden en ondersteund worden. </w:t>
            </w:r>
          </w:p>
        </w:tc>
      </w:tr>
      <w:tr w:rsidR="00BA31B7" w:rsidRPr="008B1377" w14:paraId="372A7A66" w14:textId="77777777" w:rsidTr="002D5768">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850698" w14:textId="77777777" w:rsidR="00BA31B7" w:rsidRPr="008B1377" w:rsidRDefault="00BA31B7" w:rsidP="00D41C42">
            <w:pPr>
              <w:spacing w:line="240" w:lineRule="auto"/>
            </w:pPr>
            <w:r w:rsidRPr="008B1377">
              <w:lastRenderedPageBreak/>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5AF98B" w14:textId="37803B18" w:rsidR="00BA31B7" w:rsidRPr="008B1377" w:rsidRDefault="00BA31B7"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Nederlandse overheidsinformatie moet binnen Nederlandse landsgrenzen blijven. EU</w:t>
            </w:r>
            <w:r w:rsidR="00142814" w:rsidRPr="008B1377">
              <w:rPr>
                <w:rFonts w:eastAsia="Calibri"/>
              </w:rPr>
              <w:t>-</w:t>
            </w:r>
            <w:r w:rsidRPr="008B1377">
              <w:rPr>
                <w:rFonts w:eastAsia="Calibri"/>
              </w:rPr>
              <w:t>regelgeving borgt dat. BIJ12 wil daarom geen gebruik maken van functionaliteiten die niet onder EU regelgeving vallen.</w:t>
            </w:r>
          </w:p>
          <w:p w14:paraId="4F241AF1" w14:textId="77777777" w:rsidR="00BA31B7" w:rsidRPr="008B1377" w:rsidRDefault="00BA31B7"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 xml:space="preserve">BIJ12 stelt de kenniswerker centraal en zoekt daarbij naar de financieel- en organisatorisch meest haalbare oplossingen. Veiligheid van informatie staat evenwel altijd voorop. </w:t>
            </w:r>
          </w:p>
        </w:tc>
      </w:tr>
      <w:tr w:rsidR="00BA31B7" w:rsidRPr="008B1377" w14:paraId="597A8E19" w14:textId="77777777" w:rsidTr="002D5768">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A675A4" w14:textId="77777777" w:rsidR="00BA31B7" w:rsidRPr="008B1377" w:rsidRDefault="00BA31B7"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6E8896" w14:textId="17825ED8" w:rsidR="00BA31B7" w:rsidRPr="008B1377" w:rsidRDefault="00BA31B7" w:rsidP="00D41C42">
            <w:pPr>
              <w:pStyle w:val="Normaalweb"/>
              <w:spacing w:line="240" w:lineRule="auto"/>
            </w:pPr>
            <w:r w:rsidRPr="008B1377">
              <w:rPr>
                <w:rFonts w:eastAsiaTheme="minorEastAsia" w:cstheme="minorBidi"/>
                <w:bCs/>
                <w:kern w:val="24"/>
              </w:rPr>
              <w:t xml:space="preserve">BIJ12 heeft haar applicatielandschap in beeld. Keuzes </w:t>
            </w:r>
            <w:r w:rsidR="00142814" w:rsidRPr="008B1377">
              <w:rPr>
                <w:rFonts w:eastAsiaTheme="minorEastAsia" w:cstheme="minorBidi"/>
                <w:bCs/>
                <w:kern w:val="24"/>
              </w:rPr>
              <w:t xml:space="preserve">voor te hanteren componenten en voorkeurssoftware </w:t>
            </w:r>
            <w:r w:rsidRPr="008B1377">
              <w:rPr>
                <w:rFonts w:eastAsiaTheme="minorEastAsia" w:cstheme="minorBidi"/>
                <w:bCs/>
                <w:kern w:val="24"/>
              </w:rPr>
              <w:t>zijn uitgewerkt in de architectuur, mede op basis van het eerdergenoemd informatiebeveiligingsbeleid.</w:t>
            </w:r>
            <w:r w:rsidR="00142814" w:rsidRPr="008B1377">
              <w:rPr>
                <w:rFonts w:eastAsiaTheme="minorEastAsia" w:cstheme="minorBidi"/>
                <w:bCs/>
                <w:kern w:val="24"/>
              </w:rPr>
              <w:t xml:space="preserve"> </w:t>
            </w:r>
          </w:p>
        </w:tc>
      </w:tr>
    </w:tbl>
    <w:p w14:paraId="4DAA4A58" w14:textId="77777777" w:rsidR="00BA31B7" w:rsidRPr="008B1377" w:rsidRDefault="00BA31B7" w:rsidP="00D41C42">
      <w:pPr>
        <w:spacing w:line="240" w:lineRule="auto"/>
        <w:rPr>
          <w:rStyle w:val="Subtielebenadrukking"/>
          <w:color w:val="943634" w:themeColor="accent2" w:themeShade="BF"/>
        </w:rPr>
      </w:pPr>
    </w:p>
    <w:p w14:paraId="18F2F613" w14:textId="77777777" w:rsidR="00D366B0" w:rsidRPr="008B1377" w:rsidRDefault="00D366B0" w:rsidP="00D41C42">
      <w:pPr>
        <w:spacing w:line="240" w:lineRule="auto"/>
        <w:rPr>
          <w:rFonts w:ascii="Calibri" w:eastAsia="Calibri" w:hAnsi="Calibri"/>
          <w:color w:val="943634" w:themeColor="accent2" w:themeShade="BF"/>
        </w:rPr>
      </w:pPr>
      <w:r w:rsidRPr="008B1377">
        <w:rPr>
          <w:rStyle w:val="Subtielebenadrukking"/>
          <w:color w:val="943634" w:themeColor="accent2" w:themeShade="BF"/>
        </w:rPr>
        <w:t xml:space="preserve">Principe </w:t>
      </w:r>
      <w:r w:rsidRPr="008B1377">
        <w:rPr>
          <w:rStyle w:val="Subtielebenadrukking"/>
          <w:i w:val="0"/>
          <w:color w:val="943634" w:themeColor="accent2" w:themeShade="BF"/>
        </w:rPr>
        <w:t xml:space="preserve">3. </w:t>
      </w:r>
      <w:bookmarkStart w:id="39" w:name="_Hlk497464617"/>
      <w:r w:rsidRPr="008B1377">
        <w:rPr>
          <w:rFonts w:eastAsia="Calibri"/>
          <w:i/>
          <w:color w:val="943634" w:themeColor="accent2" w:themeShade="BF"/>
        </w:rPr>
        <w:t>Aansluiten op gangbare standaarden en kwaliteitsnormen voor de inrichting van de eigen informatievoorziening</w:t>
      </w:r>
      <w:bookmarkEnd w:id="39"/>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6E997A6B" w14:textId="77777777" w:rsidTr="00D366B0">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D70427" w14:textId="77777777" w:rsidR="00D366B0" w:rsidRPr="008B1377" w:rsidRDefault="00D366B0" w:rsidP="00D41C42">
            <w:pPr>
              <w:spacing w:line="240" w:lineRule="auto"/>
            </w:pPr>
            <w:r w:rsidRPr="008B1377">
              <w:t>Principe 3</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C7306C" w14:textId="5EC1FBDE" w:rsidR="00D366B0" w:rsidRPr="008B1377" w:rsidRDefault="00D366B0" w:rsidP="00D41C42">
            <w:pPr>
              <w:spacing w:line="240" w:lineRule="auto"/>
            </w:pPr>
            <w:bookmarkStart w:id="40" w:name="_Hlk497464848"/>
            <w:r w:rsidRPr="008B1377">
              <w:t>BIJ12 maakt gebruik van voor de overheid gangbare standaarden voor de inrichting van de informatievoorziening. Daarbij haakt BIJ12 zoveel mogelijk aan op de standaarden die door provincies worden gehanteerd.</w:t>
            </w:r>
            <w:r w:rsidR="00F41F33" w:rsidRPr="008B1377">
              <w:t xml:space="preserve"> </w:t>
            </w:r>
            <w:r w:rsidRPr="008B1377">
              <w:t>Daar waar BIJ12 afwijkt</w:t>
            </w:r>
            <w:r w:rsidR="00142814" w:rsidRPr="008B1377">
              <w:t>,</w:t>
            </w:r>
            <w:r w:rsidRPr="008B1377">
              <w:t xml:space="preserve"> geldt het pas toe of leg uit principe. </w:t>
            </w:r>
            <w:bookmarkEnd w:id="40"/>
          </w:p>
        </w:tc>
      </w:tr>
      <w:tr w:rsidR="00D366B0" w:rsidRPr="008B1377" w14:paraId="4FCA149F" w14:textId="77777777" w:rsidTr="00D366B0">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FA5D40"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D815D2" w14:textId="42DBBCD0" w:rsidR="00D366B0" w:rsidRPr="008B1377" w:rsidRDefault="00D366B0" w:rsidP="00D41C42">
            <w:pPr>
              <w:numPr>
                <w:ilvl w:val="0"/>
                <w:numId w:val="13"/>
              </w:numPr>
              <w:suppressAutoHyphens/>
              <w:autoSpaceDN w:val="0"/>
              <w:spacing w:line="240" w:lineRule="auto"/>
              <w:textAlignment w:val="baseline"/>
              <w:rPr>
                <w:rFonts w:eastAsia="Calibri"/>
              </w:rPr>
            </w:pPr>
            <w:r w:rsidRPr="008B1377">
              <w:rPr>
                <w:rFonts w:eastAsia="Calibri"/>
              </w:rPr>
              <w:t>BIJ12 wil betrouwbare informatie leveren en deze ook kunnen uitwisselen. De provincies hanteren reeds bestaande en erkende standaarden. BIJ12 wil het wiel</w:t>
            </w:r>
            <w:r w:rsidR="00F41F33" w:rsidRPr="008B1377">
              <w:rPr>
                <w:rFonts w:eastAsia="Calibri"/>
              </w:rPr>
              <w:t xml:space="preserve"> </w:t>
            </w:r>
            <w:r w:rsidRPr="008B1377">
              <w:rPr>
                <w:rFonts w:eastAsia="Calibri"/>
              </w:rPr>
              <w:t>niet opnieuw uitvinden, maar base</w:t>
            </w:r>
            <w:r w:rsidR="00142814" w:rsidRPr="008B1377">
              <w:rPr>
                <w:rFonts w:eastAsia="Calibri"/>
              </w:rPr>
              <w:t>ert zich</w:t>
            </w:r>
            <w:r w:rsidRPr="008B1377">
              <w:rPr>
                <w:rFonts w:eastAsia="Calibri"/>
              </w:rPr>
              <w:t xml:space="preserve"> op de gangbare standaarden. </w:t>
            </w:r>
          </w:p>
        </w:tc>
      </w:tr>
      <w:tr w:rsidR="00D366B0" w:rsidRPr="008B1377" w14:paraId="1790BF0D" w14:textId="77777777" w:rsidTr="00D366B0">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85F101" w14:textId="77777777" w:rsidR="00D366B0" w:rsidRPr="008B1377" w:rsidRDefault="00D366B0"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7B73A7" w14:textId="24F461AD" w:rsidR="00D366B0" w:rsidRPr="008B1377" w:rsidRDefault="00D366B0" w:rsidP="00D41C42">
            <w:pPr>
              <w:spacing w:after="120" w:line="240" w:lineRule="auto"/>
            </w:pPr>
            <w:r w:rsidRPr="008B1377">
              <w:t xml:space="preserve">BIJ12 hanteert een minimale set aan standaarden voor de eigen </w:t>
            </w:r>
            <w:r w:rsidR="00373CF7" w:rsidRPr="008B1377">
              <w:t>informatie- en archiefbeheer</w:t>
            </w:r>
            <w:r w:rsidRPr="008B1377">
              <w:t xml:space="preserve">. Voor de wettelijke en gemandateerde taken zit hier een verplichting in. Voor de overige dienstverlening van BIJ12 geldt het aansluiten waar mogelijk en waar haalbaar. </w:t>
            </w:r>
          </w:p>
          <w:p w14:paraId="3A10A1AA" w14:textId="77777777" w:rsidR="00D366B0" w:rsidRPr="008B1377" w:rsidRDefault="00D366B0" w:rsidP="00D41C42">
            <w:pPr>
              <w:spacing w:after="120" w:line="240" w:lineRule="auto"/>
            </w:pPr>
            <w:r w:rsidRPr="008B1377">
              <w:t xml:space="preserve">BIJ12 volgt de NENISO 15489 voor de inrichting van het informatiebeheer. Dit is tevens een belangrijke pijler van de Provinciale Baseline informatiehuishouding. </w:t>
            </w:r>
          </w:p>
          <w:p w14:paraId="2B16C1FD" w14:textId="02E74425" w:rsidR="00D366B0" w:rsidRPr="008B1377" w:rsidRDefault="00D366B0" w:rsidP="00D41C42">
            <w:pPr>
              <w:spacing w:after="120" w:line="240" w:lineRule="auto"/>
            </w:pPr>
            <w:r w:rsidRPr="008B1377">
              <w:t xml:space="preserve">BIJ12 baseert en toetst de inrichting van het digitaal informatiebeheer aan de NEN ISO 2082, de norm voor digitaal informatiebeheer (recordmanagement). Voor de wettelijke en de gemandateerde taken is BIJ12 verplicht haar informatiesysteem hieraan te laten voldoen. </w:t>
            </w:r>
          </w:p>
          <w:p w14:paraId="231CC879" w14:textId="54440CB3" w:rsidR="00D366B0" w:rsidRPr="008B1377" w:rsidRDefault="00D366B0" w:rsidP="00D41C42">
            <w:pPr>
              <w:spacing w:line="240" w:lineRule="auto"/>
            </w:pPr>
            <w:r w:rsidRPr="008B1377">
              <w:t>BIJ12 hanteert de NEN ISO 23081 en het TMLO (toepassingsprofiel metadata lagere overheden) bij het metadata</w:t>
            </w:r>
            <w:r w:rsidR="00142814" w:rsidRPr="008B1377">
              <w:t>-</w:t>
            </w:r>
            <w:r w:rsidRPr="008B1377">
              <w:t>schema voor BIJ12. Het TMLO is een uitwerking van de NEN ISO 23081 en is verplicht bij het informatiebeheer voor de wettelijke en gemandateerde taken.</w:t>
            </w:r>
            <w:r w:rsidR="00F41F33" w:rsidRPr="008B1377">
              <w:t xml:space="preserve"> </w:t>
            </w:r>
          </w:p>
          <w:p w14:paraId="03D03B75" w14:textId="77777777" w:rsidR="007218F1" w:rsidRPr="008B1377" w:rsidRDefault="007218F1" w:rsidP="00D41C42">
            <w:pPr>
              <w:spacing w:line="240" w:lineRule="auto"/>
            </w:pPr>
          </w:p>
          <w:p w14:paraId="2243A153" w14:textId="77777777" w:rsidR="00D366B0" w:rsidRPr="008B1377" w:rsidRDefault="00D366B0" w:rsidP="00D41C42">
            <w:pPr>
              <w:spacing w:line="240" w:lineRule="auto"/>
            </w:pPr>
            <w:r w:rsidRPr="008B1377">
              <w:t>BIJ12 maakt gebruik van KIDO</w:t>
            </w:r>
            <w:r w:rsidRPr="008B1377">
              <w:rPr>
                <w:rStyle w:val="Voetnootmarkering"/>
              </w:rPr>
              <w:footnoteReference w:id="7"/>
            </w:r>
            <w:r w:rsidRPr="008B1377">
              <w:t xml:space="preserve"> bij de inrichting van haar kwaliteitssysteem voor het informatiebeheer. </w:t>
            </w:r>
            <w:r w:rsidR="005D3E7C" w:rsidRPr="008B1377">
              <w:t>Het is ontwikkeld in samenspraak met het IPO en biedt</w:t>
            </w:r>
            <w:r w:rsidRPr="008B1377">
              <w:t xml:space="preserve"> praktische instrumenten voor kwaliteitstoetsing. Geen v</w:t>
            </w:r>
            <w:r w:rsidR="005D3E7C" w:rsidRPr="008B1377">
              <w:t xml:space="preserve">erplichting, maar vooral handig voor BIJ12. </w:t>
            </w:r>
            <w:r w:rsidRPr="008B1377">
              <w:t xml:space="preserve"> </w:t>
            </w:r>
          </w:p>
        </w:tc>
      </w:tr>
    </w:tbl>
    <w:p w14:paraId="26FE1DA8" w14:textId="77777777" w:rsidR="00D366B0" w:rsidRPr="008B1377" w:rsidRDefault="00D366B0" w:rsidP="00D41C42">
      <w:pPr>
        <w:spacing w:line="240" w:lineRule="auto"/>
        <w:rPr>
          <w:rFonts w:ascii="Calibri" w:eastAsia="Calibri" w:hAnsi="Calibri"/>
          <w:i/>
          <w:color w:val="FF0000"/>
        </w:rPr>
      </w:pPr>
    </w:p>
    <w:p w14:paraId="7DC477E4" w14:textId="77777777" w:rsidR="00D366B0" w:rsidRPr="008B1377" w:rsidRDefault="00D366B0" w:rsidP="00D41C42">
      <w:pPr>
        <w:spacing w:line="240" w:lineRule="auto"/>
        <w:rPr>
          <w:rFonts w:ascii="Calibri" w:eastAsia="Calibri" w:hAnsi="Calibri"/>
          <w:color w:val="943634" w:themeColor="accent2" w:themeShade="BF"/>
        </w:rPr>
      </w:pPr>
      <w:r w:rsidRPr="008B1377">
        <w:rPr>
          <w:rFonts w:ascii="Calibri" w:eastAsia="Calibri" w:hAnsi="Calibri"/>
          <w:i/>
          <w:color w:val="FF0000"/>
        </w:rPr>
        <w:t xml:space="preserve"> </w:t>
      </w:r>
      <w:r w:rsidRPr="008B1377">
        <w:rPr>
          <w:rStyle w:val="Subtielebenadrukking"/>
          <w:color w:val="943634" w:themeColor="accent2" w:themeShade="BF"/>
        </w:rPr>
        <w:t>Principe 4</w:t>
      </w:r>
      <w:r w:rsidRPr="008B1377">
        <w:rPr>
          <w:rStyle w:val="Subtielebenadrukking"/>
          <w:i w:val="0"/>
          <w:color w:val="943634" w:themeColor="accent2" w:themeShade="BF"/>
        </w:rPr>
        <w:t xml:space="preserve">. </w:t>
      </w:r>
      <w:bookmarkStart w:id="41" w:name="_Hlk497464639"/>
      <w:r w:rsidRPr="008B1377">
        <w:rPr>
          <w:rFonts w:eastAsia="Calibri"/>
          <w:i/>
          <w:color w:val="943634" w:themeColor="accent2" w:themeShade="BF"/>
        </w:rPr>
        <w:t xml:space="preserve">Procesinformatie is archiefwaardige informatie </w:t>
      </w:r>
      <w:bookmarkEnd w:id="41"/>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44D8C1E3" w14:textId="77777777" w:rsidTr="00522F1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385911" w14:textId="77777777" w:rsidR="00D366B0" w:rsidRPr="008B1377" w:rsidRDefault="00D366B0" w:rsidP="00D41C42">
            <w:pPr>
              <w:spacing w:line="240" w:lineRule="auto"/>
            </w:pPr>
            <w:r w:rsidRPr="008B1377">
              <w:t>Principe 4</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BDC91B" w14:textId="749737C1" w:rsidR="00D366B0" w:rsidRPr="008B1377" w:rsidRDefault="003B7420" w:rsidP="00D41C42">
            <w:pPr>
              <w:spacing w:line="240" w:lineRule="auto"/>
            </w:pPr>
            <w:bookmarkStart w:id="42" w:name="_Hlk497464867"/>
            <w:r w:rsidRPr="008B1377">
              <w:t>I</w:t>
            </w:r>
            <w:r w:rsidR="00D366B0" w:rsidRPr="008B1377">
              <w:t>nformatie d</w:t>
            </w:r>
            <w:r w:rsidRPr="008B1377">
              <w:t xml:space="preserve">ie </w:t>
            </w:r>
            <w:r w:rsidR="00D366B0" w:rsidRPr="008B1377">
              <w:t xml:space="preserve">vanuit de </w:t>
            </w:r>
            <w:r w:rsidR="00AE0A2C" w:rsidRPr="008B1377">
              <w:t>werk</w:t>
            </w:r>
            <w:r w:rsidR="00D366B0" w:rsidRPr="008B1377">
              <w:t xml:space="preserve">processen </w:t>
            </w:r>
            <w:r w:rsidR="00AE0A2C" w:rsidRPr="008B1377">
              <w:t xml:space="preserve">opgemaakt, </w:t>
            </w:r>
            <w:r w:rsidR="00D366B0" w:rsidRPr="008B1377">
              <w:t>gedeeld en/of gepubliceerd wordt</w:t>
            </w:r>
            <w:r w:rsidR="00142814" w:rsidRPr="008B1377">
              <w:t>,</w:t>
            </w:r>
            <w:r w:rsidR="00D366B0" w:rsidRPr="008B1377">
              <w:t xml:space="preserve"> is archiefwaardige informatie voor de wettelijke eigenaren van de informatie (zorgdragers). </w:t>
            </w:r>
            <w:bookmarkEnd w:id="42"/>
          </w:p>
        </w:tc>
      </w:tr>
      <w:tr w:rsidR="00D366B0" w:rsidRPr="008B1377" w14:paraId="3DCB017D" w14:textId="77777777" w:rsidTr="00522F1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92FA54"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9A52B1" w14:textId="0E046CD6" w:rsidR="00D366B0" w:rsidRPr="008B1377" w:rsidRDefault="00435544"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Veelal zit het</w:t>
            </w:r>
            <w:r w:rsidR="00D366B0" w:rsidRPr="008B1377">
              <w:t xml:space="preserve"> wettelijk eigenaarschap </w:t>
            </w:r>
            <w:r w:rsidR="00D366B0" w:rsidRPr="008B1377">
              <w:rPr>
                <w:rFonts w:eastAsia="Calibri"/>
              </w:rPr>
              <w:t>van informatie dat gecreëerd en beheerd wordt door BIJ12</w:t>
            </w:r>
            <w:r w:rsidR="00373CF7" w:rsidRPr="008B1377">
              <w:rPr>
                <w:rFonts w:eastAsia="Calibri"/>
              </w:rPr>
              <w:t xml:space="preserve"> vanuit de ondersteuning</w:t>
            </w:r>
            <w:r w:rsidRPr="008B1377">
              <w:rPr>
                <w:rFonts w:eastAsia="Calibri"/>
              </w:rPr>
              <w:t xml:space="preserve"> van wettelijke taken, bij de </w:t>
            </w:r>
            <w:r w:rsidR="00D366B0" w:rsidRPr="008B1377">
              <w:rPr>
                <w:rFonts w:eastAsia="Calibri"/>
              </w:rPr>
              <w:t>provincies</w:t>
            </w:r>
            <w:r w:rsidRPr="008B1377">
              <w:rPr>
                <w:rFonts w:eastAsia="Calibri"/>
              </w:rPr>
              <w:t xml:space="preserve">. </w:t>
            </w:r>
            <w:r w:rsidR="00D366B0" w:rsidRPr="008B1377">
              <w:rPr>
                <w:rFonts w:eastAsia="Calibri"/>
              </w:rPr>
              <w:t>De procesinformatie en de context waarbinnen de procesinformatie is opgemaakt, moet daarom goed gedocumenteerd zijn. Deze procesinformatie is naast archiefwaardig daarom ook archief</w:t>
            </w:r>
            <w:r w:rsidR="00142814" w:rsidRPr="008B1377">
              <w:rPr>
                <w:rFonts w:eastAsia="Calibri"/>
              </w:rPr>
              <w:t>-</w:t>
            </w:r>
            <w:r w:rsidR="00D366B0" w:rsidRPr="008B1377">
              <w:rPr>
                <w:rFonts w:eastAsia="Calibri"/>
              </w:rPr>
              <w:t>plichtig op basis van de archiefwet.</w:t>
            </w:r>
          </w:p>
          <w:p w14:paraId="52631289" w14:textId="77777777" w:rsidR="00D366B0" w:rsidRPr="008B1377" w:rsidRDefault="00D366B0"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In het kader van verantwoording moeten processen kunnen worden gereconstrueerd aan de hand van procesinformatie. De procesinformatie is dan archiefwaardig en soms archief plichtig voortkomend uit overige afspraken en wetgeving (zoals voor financiële verantwoording)</w:t>
            </w:r>
          </w:p>
        </w:tc>
      </w:tr>
      <w:tr w:rsidR="00D366B0" w:rsidRPr="008B1377" w14:paraId="18A98E5F" w14:textId="77777777" w:rsidTr="00522F1F">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04EB95" w14:textId="77777777" w:rsidR="00D366B0" w:rsidRPr="008B1377" w:rsidRDefault="00D366B0" w:rsidP="00D41C42">
            <w:pPr>
              <w:spacing w:line="240" w:lineRule="auto"/>
            </w:pPr>
            <w:r w:rsidRPr="008B1377">
              <w:lastRenderedPageBreak/>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CE7E6F" w14:textId="5AD00005" w:rsidR="00D366B0" w:rsidRPr="008B1377" w:rsidRDefault="00D366B0" w:rsidP="00D41C42">
            <w:pPr>
              <w:suppressAutoHyphens/>
              <w:autoSpaceDN w:val="0"/>
              <w:spacing w:line="240" w:lineRule="auto"/>
              <w:textAlignment w:val="baseline"/>
            </w:pPr>
            <w:r w:rsidRPr="008B1377">
              <w:t>De vorm van de informatie</w:t>
            </w:r>
            <w:r w:rsidR="000F488A" w:rsidRPr="008B1377">
              <w:t xml:space="preserve"> (papier, digitaal, </w:t>
            </w:r>
            <w:proofErr w:type="spellStart"/>
            <w:r w:rsidR="000F488A" w:rsidRPr="008B1377">
              <w:t>cloud</w:t>
            </w:r>
            <w:proofErr w:type="spellEnd"/>
            <w:r w:rsidR="000F488A" w:rsidRPr="008B1377">
              <w:t>)</w:t>
            </w:r>
            <w:r w:rsidRPr="008B1377">
              <w:t xml:space="preserve"> is niet bepalend voor de archiefwaardigheid ervan: het is allemaal informatie. </w:t>
            </w:r>
          </w:p>
          <w:p w14:paraId="57D530DB" w14:textId="789D9515" w:rsidR="00D366B0" w:rsidRPr="008B1377" w:rsidRDefault="00D366B0" w:rsidP="00D41C42">
            <w:pPr>
              <w:suppressAutoHyphens/>
              <w:autoSpaceDN w:val="0"/>
              <w:spacing w:line="240" w:lineRule="auto"/>
              <w:textAlignment w:val="baseline"/>
            </w:pPr>
            <w:r w:rsidRPr="008B1377">
              <w:t>Sommige informatie d</w:t>
            </w:r>
            <w:r w:rsidR="009A24E6" w:rsidRPr="008B1377">
              <w:t>ie</w:t>
            </w:r>
            <w:r w:rsidRPr="008B1377">
              <w:t xml:space="preserve"> wordt gebruikt of verwerkt heeft niet de relevantie dat het nog door derden als bewijsvoering of ter verantwoording moet worden overlegd. BIJ12 stelt per proces vast wat valt onder archiefwaardige informatie en wat niet. De maatstaf daarbij is hoe belangrijk het is dat de informatie tijd en plaats-onafhankelijk toegankelijk is én dat de informatie betrouwbaar is. </w:t>
            </w:r>
          </w:p>
          <w:p w14:paraId="28C014CE" w14:textId="77777777" w:rsidR="00D366B0" w:rsidRPr="008B1377" w:rsidRDefault="00D366B0" w:rsidP="00D41C42">
            <w:pPr>
              <w:pStyle w:val="Lijstalinea"/>
              <w:numPr>
                <w:ilvl w:val="0"/>
                <w:numId w:val="18"/>
              </w:numPr>
              <w:suppressAutoHyphens/>
              <w:autoSpaceDN w:val="0"/>
              <w:spacing w:line="240" w:lineRule="auto"/>
              <w:textAlignment w:val="baseline"/>
              <w:rPr>
                <w:rFonts w:eastAsia="Calibri"/>
              </w:rPr>
            </w:pPr>
            <w:r w:rsidRPr="008B1377">
              <w:rPr>
                <w:rFonts w:eastAsia="Calibri"/>
              </w:rPr>
              <w:t>Hoog risico: informatie moet tijd- en plaats-onafhankelijk toegankelijk én aantoonbaar betrouwbaar zijn.</w:t>
            </w:r>
            <w:r w:rsidR="00F41F33" w:rsidRPr="008B1377">
              <w:rPr>
                <w:rFonts w:eastAsia="Calibri"/>
              </w:rPr>
              <w:t xml:space="preserve"> </w:t>
            </w:r>
          </w:p>
          <w:p w14:paraId="6BEAF51B" w14:textId="77777777" w:rsidR="00D366B0" w:rsidRPr="008B1377" w:rsidRDefault="00D366B0" w:rsidP="00D41C42">
            <w:pPr>
              <w:pStyle w:val="Lijstalinea"/>
              <w:numPr>
                <w:ilvl w:val="0"/>
                <w:numId w:val="18"/>
              </w:numPr>
              <w:suppressAutoHyphens/>
              <w:autoSpaceDN w:val="0"/>
              <w:spacing w:line="240" w:lineRule="auto"/>
              <w:textAlignment w:val="baseline"/>
              <w:rPr>
                <w:rFonts w:eastAsia="Calibri"/>
              </w:rPr>
            </w:pPr>
            <w:r w:rsidRPr="008B1377">
              <w:rPr>
                <w:rFonts w:eastAsia="Calibri"/>
              </w:rPr>
              <w:t xml:space="preserve">Middelmatig risico: informatie moet tijd- en plaats-onafhankelijk toegankelijk zijn. Betrouwbaarheid en authenticiteit van de informatie hoeft niet in het proces te worden geborgd. </w:t>
            </w:r>
          </w:p>
          <w:p w14:paraId="2FC9F795" w14:textId="77777777" w:rsidR="00D366B0" w:rsidRPr="008B1377" w:rsidRDefault="00D366B0" w:rsidP="00D41C42">
            <w:pPr>
              <w:pStyle w:val="Lijstalinea"/>
              <w:numPr>
                <w:ilvl w:val="0"/>
                <w:numId w:val="18"/>
              </w:numPr>
              <w:suppressAutoHyphens/>
              <w:autoSpaceDN w:val="0"/>
              <w:spacing w:line="240" w:lineRule="auto"/>
              <w:textAlignment w:val="baseline"/>
            </w:pPr>
            <w:r w:rsidRPr="008B1377">
              <w:rPr>
                <w:rFonts w:eastAsia="Calibri"/>
              </w:rPr>
              <w:t xml:space="preserve">Licht risico: informatie moet alleen persoonsafhankelijk toegankelijk zijn. </w:t>
            </w:r>
          </w:p>
          <w:p w14:paraId="722BE2D2" w14:textId="77777777" w:rsidR="00D366B0" w:rsidRPr="008B1377" w:rsidRDefault="00D366B0" w:rsidP="00D41C42">
            <w:pPr>
              <w:pStyle w:val="Lijstalinea"/>
              <w:numPr>
                <w:ilvl w:val="0"/>
                <w:numId w:val="18"/>
              </w:numPr>
              <w:suppressAutoHyphens/>
              <w:autoSpaceDN w:val="0"/>
              <w:spacing w:line="240" w:lineRule="auto"/>
              <w:textAlignment w:val="baseline"/>
            </w:pPr>
            <w:r w:rsidRPr="008B1377">
              <w:rPr>
                <w:rFonts w:eastAsia="Calibri"/>
              </w:rPr>
              <w:t>Geen risico: informatie heeft geen formele beheersing nodig.</w:t>
            </w:r>
            <w:r w:rsidRPr="008B1377">
              <w:rPr>
                <w:rFonts w:eastAsia="Calibri"/>
                <w:i/>
              </w:rPr>
              <w:t xml:space="preserve"> </w:t>
            </w:r>
          </w:p>
        </w:tc>
      </w:tr>
    </w:tbl>
    <w:p w14:paraId="3BC7A48F" w14:textId="77777777" w:rsidR="00D366B0" w:rsidRPr="008B1377" w:rsidRDefault="00D366B0" w:rsidP="00D41C42">
      <w:pPr>
        <w:spacing w:line="240" w:lineRule="auto"/>
        <w:rPr>
          <w:rFonts w:ascii="Calibri" w:eastAsia="Calibri" w:hAnsi="Calibri"/>
          <w:i/>
          <w:color w:val="FF0000"/>
        </w:rPr>
      </w:pPr>
      <w:r w:rsidRPr="008B1377">
        <w:rPr>
          <w:rFonts w:ascii="Calibri" w:eastAsia="Calibri" w:hAnsi="Calibri"/>
          <w:i/>
          <w:color w:val="FF0000"/>
        </w:rPr>
        <w:t xml:space="preserve"> </w:t>
      </w:r>
    </w:p>
    <w:p w14:paraId="7500D7D0" w14:textId="77777777" w:rsidR="00D366B0" w:rsidRPr="008B1377" w:rsidRDefault="00D366B0" w:rsidP="00D41C42">
      <w:pPr>
        <w:spacing w:line="240" w:lineRule="auto"/>
        <w:rPr>
          <w:rFonts w:ascii="Calibri" w:eastAsia="Calibri" w:hAnsi="Calibri"/>
          <w:color w:val="943634" w:themeColor="accent2" w:themeShade="BF"/>
        </w:rPr>
      </w:pPr>
      <w:bookmarkStart w:id="43" w:name="_Hlk496772617"/>
      <w:r w:rsidRPr="008B1377">
        <w:rPr>
          <w:rStyle w:val="Subtielebenadrukking"/>
          <w:color w:val="943634" w:themeColor="accent2" w:themeShade="BF"/>
        </w:rPr>
        <w:t>Principe 5</w:t>
      </w:r>
      <w:r w:rsidRPr="008B1377">
        <w:rPr>
          <w:rStyle w:val="Subtielebenadrukking"/>
          <w:i w:val="0"/>
          <w:color w:val="943634" w:themeColor="accent2" w:themeShade="BF"/>
        </w:rPr>
        <w:t xml:space="preserve">. </w:t>
      </w:r>
      <w:r w:rsidRPr="008B1377">
        <w:rPr>
          <w:rFonts w:eastAsia="Calibri"/>
          <w:i/>
          <w:color w:val="943634" w:themeColor="accent2" w:themeShade="BF"/>
        </w:rPr>
        <w:t>Proceseigenaarschap voor processturing</w:t>
      </w:r>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3B9B9BAC"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644CE9" w14:textId="77777777" w:rsidR="00D366B0" w:rsidRPr="008B1377" w:rsidRDefault="00D366B0" w:rsidP="00D41C42">
            <w:pPr>
              <w:spacing w:line="240" w:lineRule="auto"/>
            </w:pPr>
            <w:r w:rsidRPr="008B1377">
              <w:t>Principe 5</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E75458" w14:textId="77777777" w:rsidR="00D366B0" w:rsidRPr="008B1377" w:rsidRDefault="00D366B0" w:rsidP="00D41C42">
            <w:pPr>
              <w:spacing w:line="240" w:lineRule="auto"/>
            </w:pPr>
            <w:bookmarkStart w:id="44" w:name="_Hlk497464697"/>
            <w:r w:rsidRPr="008B1377">
              <w:t xml:space="preserve">BIJ12 zet proceseigenaarschap in voor het sturen op processen. </w:t>
            </w:r>
            <w:bookmarkEnd w:id="44"/>
          </w:p>
        </w:tc>
      </w:tr>
      <w:tr w:rsidR="00D366B0" w:rsidRPr="008B1377" w14:paraId="33FD00F6"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AFD7F2"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FC3D2E" w14:textId="24C4713D" w:rsidR="00D366B0" w:rsidRPr="008B1377" w:rsidRDefault="00D366B0" w:rsidP="00D41C42">
            <w:pPr>
              <w:numPr>
                <w:ilvl w:val="0"/>
                <w:numId w:val="13"/>
              </w:numPr>
              <w:suppressAutoHyphens/>
              <w:autoSpaceDN w:val="0"/>
              <w:spacing w:line="240" w:lineRule="auto"/>
              <w:ind w:left="284" w:hanging="284"/>
              <w:textAlignment w:val="baseline"/>
            </w:pPr>
            <w:r w:rsidRPr="008B1377">
              <w:rPr>
                <w:rFonts w:eastAsia="Calibri"/>
              </w:rPr>
              <w:t>De taakinhoudelijke verantwoordelijkheid van processen ligt bij de kenniswerker in het proces (dat is iedereen die een bijdrage levert aan de processen van BIJ12). Processturing gebeurt niet automatisch als een groep de gezamenlijke verantwoordelijkheid voor de processen draagt: iemand moet formeel aanspreekbaar zijn, met bijbehorend mandaat.</w:t>
            </w:r>
            <w:r w:rsidR="00F41F33" w:rsidRPr="008B1377">
              <w:rPr>
                <w:rFonts w:eastAsia="Calibri"/>
              </w:rPr>
              <w:t xml:space="preserve"> </w:t>
            </w:r>
          </w:p>
          <w:p w14:paraId="7EC3AE27" w14:textId="0466D335" w:rsidR="00D366B0" w:rsidRPr="008B1377" w:rsidRDefault="00D366B0" w:rsidP="00D41C42">
            <w:pPr>
              <w:numPr>
                <w:ilvl w:val="0"/>
                <w:numId w:val="13"/>
              </w:numPr>
              <w:suppressAutoHyphens/>
              <w:autoSpaceDN w:val="0"/>
              <w:spacing w:line="240" w:lineRule="auto"/>
              <w:ind w:left="284" w:hanging="284"/>
              <w:textAlignment w:val="baseline"/>
            </w:pPr>
            <w:r w:rsidRPr="008B1377">
              <w:rPr>
                <w:rFonts w:eastAsia="Calibri"/>
              </w:rPr>
              <w:t xml:space="preserve">Sommige processen lopen dwars door units heen. </w:t>
            </w:r>
          </w:p>
        </w:tc>
      </w:tr>
      <w:tr w:rsidR="00D366B0" w:rsidRPr="008B1377" w14:paraId="6555ADC4" w14:textId="77777777" w:rsidTr="00613F87">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1A9B56" w14:textId="77777777" w:rsidR="00D366B0" w:rsidRPr="008B1377" w:rsidRDefault="00D366B0"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441E93" w14:textId="08E8F2EA" w:rsidR="00A35A9C" w:rsidRPr="008B1377" w:rsidRDefault="00D366B0" w:rsidP="00D41C42">
            <w:pPr>
              <w:spacing w:after="120" w:line="240" w:lineRule="auto"/>
            </w:pPr>
            <w:r w:rsidRPr="008B1377">
              <w:t xml:space="preserve">De definitie van proceseigenaar is </w:t>
            </w:r>
            <w:r w:rsidR="00E93942" w:rsidRPr="008B1377">
              <w:t>de persoon</w:t>
            </w:r>
            <w:r w:rsidRPr="008B1377">
              <w:t xml:space="preserve"> die verantwoordelijk is voor de werking, de werkbaarheid en het resultaat van de processen. Vanuit informatieperspectief is de beschikbaarheid, betrouwbaarheid en toegankelijkheid van procesinformatie ook belegd bij de proceseigenaren. </w:t>
            </w:r>
            <w:r w:rsidR="00E93942" w:rsidRPr="008B1377">
              <w:t>Proceseigenaren hebben mandaat om binnen hun processen in te grijpen op de inzet van mensen en middelen.</w:t>
            </w:r>
          </w:p>
        </w:tc>
      </w:tr>
      <w:bookmarkEnd w:id="43"/>
    </w:tbl>
    <w:p w14:paraId="203B4F03" w14:textId="01E94BDB" w:rsidR="003335CC" w:rsidRPr="008B1377" w:rsidRDefault="003335CC" w:rsidP="00D41C42">
      <w:pPr>
        <w:spacing w:line="240" w:lineRule="auto"/>
        <w:rPr>
          <w:rStyle w:val="Subtielebenadrukking"/>
          <w:rFonts w:ascii="Calibri" w:eastAsia="Calibri" w:hAnsi="Calibri"/>
          <w:iCs w:val="0"/>
          <w:color w:val="FF0000"/>
        </w:rPr>
      </w:pPr>
    </w:p>
    <w:p w14:paraId="2E6A1537" w14:textId="427511DE" w:rsidR="00D366B0" w:rsidRPr="008B1377" w:rsidRDefault="00D366B0" w:rsidP="00D41C42">
      <w:pPr>
        <w:spacing w:line="240" w:lineRule="auto"/>
        <w:rPr>
          <w:rFonts w:ascii="Calibri" w:eastAsia="Calibri" w:hAnsi="Calibri"/>
          <w:color w:val="943634" w:themeColor="accent2" w:themeShade="BF"/>
        </w:rPr>
      </w:pPr>
      <w:r w:rsidRPr="008B1377">
        <w:rPr>
          <w:rStyle w:val="Subtielebenadrukking"/>
          <w:color w:val="943634" w:themeColor="accent2" w:themeShade="BF"/>
        </w:rPr>
        <w:t xml:space="preserve">Principe 6. </w:t>
      </w:r>
      <w:r w:rsidRPr="008B1377">
        <w:rPr>
          <w:rFonts w:eastAsia="Calibri"/>
          <w:i/>
          <w:color w:val="943634" w:themeColor="accent2" w:themeShade="BF"/>
        </w:rPr>
        <w:t>Continu verbeteren vanuit een kwaliteitssystematiek</w:t>
      </w:r>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74462F27"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BCA8C9" w14:textId="77777777" w:rsidR="00D366B0" w:rsidRPr="008B1377" w:rsidRDefault="00D366B0" w:rsidP="00D41C42">
            <w:pPr>
              <w:spacing w:line="240" w:lineRule="auto"/>
            </w:pPr>
            <w:r w:rsidRPr="008B1377">
              <w:t>Principe 6</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A3FDA2" w14:textId="77777777" w:rsidR="00D366B0" w:rsidRPr="008B1377" w:rsidRDefault="00D366B0" w:rsidP="00D41C42">
            <w:pPr>
              <w:spacing w:line="240" w:lineRule="auto"/>
            </w:pPr>
            <w:bookmarkStart w:id="45" w:name="_Hlk497464717"/>
            <w:r w:rsidRPr="008B1377">
              <w:t xml:space="preserve">BIJ12 werkt aan continu verbeteren op basis van een afgesproken kwaliteitssystematiek. </w:t>
            </w:r>
            <w:bookmarkEnd w:id="45"/>
          </w:p>
        </w:tc>
      </w:tr>
      <w:tr w:rsidR="00D366B0" w:rsidRPr="008B1377" w14:paraId="45BFCDCB"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8BDC62"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92871F" w14:textId="55EFC8F7" w:rsidR="00D366B0" w:rsidRPr="008B1377" w:rsidRDefault="00D366B0"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 xml:space="preserve">BIJ12 wil </w:t>
            </w:r>
            <w:r w:rsidR="003B7420" w:rsidRPr="008B1377">
              <w:rPr>
                <w:rFonts w:eastAsia="Calibri"/>
              </w:rPr>
              <w:t>toe naar een</w:t>
            </w:r>
            <w:r w:rsidRPr="008B1377">
              <w:rPr>
                <w:rFonts w:eastAsia="Calibri"/>
              </w:rPr>
              <w:t xml:space="preserve"> uniforme werkwijze en efficiënter gebruik van informatie. Een kwaliteitssystematiek helpt daarbij. </w:t>
            </w:r>
          </w:p>
          <w:p w14:paraId="7B56A333" w14:textId="77777777" w:rsidR="00D366B0" w:rsidRPr="008B1377" w:rsidRDefault="00D366B0" w:rsidP="00D41C42">
            <w:pPr>
              <w:numPr>
                <w:ilvl w:val="0"/>
                <w:numId w:val="13"/>
              </w:numPr>
              <w:suppressAutoHyphens/>
              <w:autoSpaceDN w:val="0"/>
              <w:spacing w:line="240" w:lineRule="auto"/>
              <w:ind w:left="284" w:hanging="284"/>
              <w:textAlignment w:val="baseline"/>
            </w:pPr>
            <w:r w:rsidRPr="008B1377">
              <w:t xml:space="preserve">Continu verbeteren vanuit een kwaliteitssystematiek ondervangt veel onderwerpen van de Provinciale baseline Informatiehuishouding (zie principe 1) </w:t>
            </w:r>
          </w:p>
        </w:tc>
      </w:tr>
      <w:tr w:rsidR="00D366B0" w:rsidRPr="008B1377" w14:paraId="345088E6" w14:textId="77777777" w:rsidTr="00613F87">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46BEBC" w14:textId="77777777" w:rsidR="00D366B0" w:rsidRPr="008B1377" w:rsidRDefault="00D366B0"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B2DAE6" w14:textId="6C591157" w:rsidR="003335CC" w:rsidRPr="008B1377" w:rsidRDefault="00D366B0" w:rsidP="00D41C42">
            <w:pPr>
              <w:spacing w:line="240" w:lineRule="auto"/>
            </w:pPr>
            <w:r w:rsidRPr="008B1377">
              <w:t xml:space="preserve">Iedere unit hanteert </w:t>
            </w:r>
            <w:r w:rsidR="003335CC" w:rsidRPr="008B1377">
              <w:t xml:space="preserve">in de basis </w:t>
            </w:r>
            <w:r w:rsidRPr="008B1377">
              <w:t xml:space="preserve">dezelfde kwaliteitssystematiek. Ook specifiek </w:t>
            </w:r>
            <w:r w:rsidR="003335CC" w:rsidRPr="008B1377">
              <w:t xml:space="preserve">voor </w:t>
            </w:r>
            <w:r w:rsidRPr="008B1377">
              <w:t xml:space="preserve">het informatie- en archiefbeheer </w:t>
            </w:r>
            <w:r w:rsidR="003335CC" w:rsidRPr="008B1377">
              <w:t>geldt</w:t>
            </w:r>
            <w:r w:rsidRPr="008B1377">
              <w:t xml:space="preserve"> dezelfde kwaliteitssystematiek.</w:t>
            </w:r>
            <w:r w:rsidR="003335CC" w:rsidRPr="008B1377">
              <w:t xml:space="preserve"> Welk regime voor het informatiebeheer daarbij wordt toegepast hangt af van het soort van proces en de archiefwaardigheid van de bijbehorende procesinformatie (zie ook principe 4). Er zijn 4 categorieën processen die bepalend zijn voor het regime:</w:t>
            </w:r>
          </w:p>
          <w:p w14:paraId="0E49B613" w14:textId="11704E63" w:rsidR="003335CC" w:rsidRPr="008B1377" w:rsidRDefault="003335CC" w:rsidP="00D41C42">
            <w:pPr>
              <w:pStyle w:val="Lijstalinea"/>
              <w:numPr>
                <w:ilvl w:val="0"/>
                <w:numId w:val="47"/>
              </w:numPr>
              <w:spacing w:line="240" w:lineRule="auto"/>
            </w:pPr>
            <w:r w:rsidRPr="008B1377">
              <w:t xml:space="preserve">Processen die vallen onder de werking van Archiefwet- en regelgeving, omdat deze hebben te maken met de uitvoering van wettelijke/gemandateerde taken of openbaar </w:t>
            </w:r>
            <w:proofErr w:type="spellStart"/>
            <w:r w:rsidRPr="008B1377">
              <w:t>gezagtaken</w:t>
            </w:r>
            <w:proofErr w:type="spellEnd"/>
            <w:r w:rsidRPr="008B1377">
              <w:t>. Hiervoor geldt het zware regime voor het informatiebeheer. Dit houdt in dat alles aantoonbaar moet functioneren conform Archiefwet en regelgeving.</w:t>
            </w:r>
          </w:p>
          <w:p w14:paraId="6429A7AD" w14:textId="4D748CAF" w:rsidR="003335CC" w:rsidRPr="008B1377" w:rsidRDefault="003335CC" w:rsidP="00D41C42">
            <w:pPr>
              <w:pStyle w:val="Lijstalinea"/>
              <w:numPr>
                <w:ilvl w:val="0"/>
                <w:numId w:val="47"/>
              </w:numPr>
              <w:spacing w:line="240" w:lineRule="auto"/>
            </w:pPr>
            <w:r w:rsidRPr="008B1377">
              <w:t>Processen die de AVG</w:t>
            </w:r>
            <w:r w:rsidRPr="008B1377">
              <w:rPr>
                <w:rStyle w:val="Voetnootmarkering"/>
              </w:rPr>
              <w:footnoteReference w:id="8"/>
            </w:r>
            <w:r w:rsidRPr="008B1377">
              <w:t>raken, omdat in de processen persoonsgegevens worden verwerkt</w:t>
            </w:r>
            <w:r w:rsidRPr="008B1377">
              <w:rPr>
                <w:rStyle w:val="Voetnootmarkering"/>
              </w:rPr>
              <w:footnoteReference w:id="9"/>
            </w:r>
            <w:r w:rsidRPr="008B1377">
              <w:t>. Hiervoor geldt het medium+ regime voor het informatiebeheer. De nadruk ligt op inzicht in- en verantwoording over de verwerking van persoonsgegevens.</w:t>
            </w:r>
          </w:p>
          <w:p w14:paraId="52F54365" w14:textId="26573BE1" w:rsidR="003335CC" w:rsidRPr="008B1377" w:rsidRDefault="003335CC" w:rsidP="00D41C42">
            <w:pPr>
              <w:pStyle w:val="Lijstalinea"/>
              <w:numPr>
                <w:ilvl w:val="0"/>
                <w:numId w:val="47"/>
              </w:numPr>
              <w:spacing w:line="240" w:lineRule="auto"/>
            </w:pPr>
            <w:r w:rsidRPr="008B1377">
              <w:lastRenderedPageBreak/>
              <w:t xml:space="preserve">Processen waarover verantwoording moet worden afgelegd aan derden, zoals aan het IPO of de belastingdienst. Hiervoor geldt het medium regime voor het informatiebeheer. De nadruk ligt op de onderbouwing van de procesresultaten. </w:t>
            </w:r>
          </w:p>
          <w:p w14:paraId="7FE89653" w14:textId="2490177E" w:rsidR="003335CC" w:rsidRPr="008B1377" w:rsidRDefault="003335CC" w:rsidP="00D41C42">
            <w:pPr>
              <w:pStyle w:val="Lijstalinea"/>
              <w:numPr>
                <w:ilvl w:val="0"/>
                <w:numId w:val="47"/>
              </w:numPr>
              <w:spacing w:line="240" w:lineRule="auto"/>
            </w:pPr>
            <w:r w:rsidRPr="008B1377">
              <w:t xml:space="preserve">Overige processen buiten </w:t>
            </w:r>
            <w:r w:rsidR="00E12B1D" w:rsidRPr="008B1377">
              <w:t>bovenstaande categorieën</w:t>
            </w:r>
            <w:r w:rsidRPr="008B1377">
              <w:t>. Hiervoor geldt het lichtste regime. Dit houdt in dat</w:t>
            </w:r>
            <w:r w:rsidR="00E12B1D" w:rsidRPr="008B1377">
              <w:t xml:space="preserve"> er alleen wordt vastgelegd wat doelmatig en praktisch is. </w:t>
            </w:r>
          </w:p>
          <w:p w14:paraId="46E21351" w14:textId="77777777" w:rsidR="00373CF7" w:rsidRPr="008B1377" w:rsidRDefault="00373CF7" w:rsidP="00D41C42">
            <w:pPr>
              <w:pStyle w:val="Lijstalinea"/>
              <w:spacing w:line="240" w:lineRule="auto"/>
              <w:ind w:left="360"/>
            </w:pPr>
          </w:p>
          <w:p w14:paraId="371011E8" w14:textId="53F9F953" w:rsidR="00D366B0" w:rsidRPr="008B1377" w:rsidRDefault="003335CC" w:rsidP="00D41C42">
            <w:pPr>
              <w:spacing w:line="240" w:lineRule="auto"/>
            </w:pPr>
            <w:r w:rsidRPr="008B1377">
              <w:t xml:space="preserve">Wanneer processen </w:t>
            </w:r>
            <w:r w:rsidR="00DD1730" w:rsidRPr="008B1377">
              <w:t>in</w:t>
            </w:r>
            <w:r w:rsidRPr="008B1377">
              <w:t xml:space="preserve"> meerdere categorieën vallen, geldt het zwaardere regime.</w:t>
            </w:r>
            <w:r w:rsidR="00373CF7" w:rsidRPr="008B1377">
              <w:t xml:space="preserve"> </w:t>
            </w:r>
            <w:r w:rsidR="00D366B0" w:rsidRPr="008B1377">
              <w:t>De kaders daarvoor moeten als geheel worden genomen. Deze zijn:</w:t>
            </w:r>
            <w:r w:rsidR="00F41F33" w:rsidRPr="008B1377">
              <w:t xml:space="preserve"> </w:t>
            </w:r>
          </w:p>
          <w:p w14:paraId="4DFD6EFC" w14:textId="77777777" w:rsidR="00B21BCE" w:rsidRPr="008B1377" w:rsidRDefault="00E93942" w:rsidP="00D41C42">
            <w:pPr>
              <w:pStyle w:val="Lijstalinea"/>
              <w:numPr>
                <w:ilvl w:val="0"/>
                <w:numId w:val="40"/>
              </w:numPr>
              <w:spacing w:line="240" w:lineRule="auto"/>
            </w:pPr>
            <w:r w:rsidRPr="008B1377">
              <w:t>De p</w:t>
            </w:r>
            <w:r w:rsidR="00D366B0" w:rsidRPr="008B1377">
              <w:t>rocessen zijn beschreven en op eenduidige en vergelijkbare</w:t>
            </w:r>
            <w:r w:rsidRPr="008B1377">
              <w:t xml:space="preserve"> wijze</w:t>
            </w:r>
            <w:r w:rsidR="003335CC" w:rsidRPr="008B1377">
              <w:t>;</w:t>
            </w:r>
          </w:p>
          <w:p w14:paraId="1F78AB19" w14:textId="77777777" w:rsidR="00D366B0" w:rsidRPr="008B1377" w:rsidRDefault="00E93942" w:rsidP="00D41C42">
            <w:pPr>
              <w:pStyle w:val="Lijstalinea"/>
              <w:numPr>
                <w:ilvl w:val="0"/>
                <w:numId w:val="40"/>
              </w:numPr>
              <w:spacing w:line="240" w:lineRule="auto"/>
              <w:rPr>
                <w:rFonts w:cstheme="minorHAnsi"/>
              </w:rPr>
            </w:pPr>
            <w:r w:rsidRPr="008B1377">
              <w:rPr>
                <w:rFonts w:eastAsia="Calibri" w:cstheme="minorHAnsi"/>
              </w:rPr>
              <w:t>K</w:t>
            </w:r>
            <w:r w:rsidR="00D366B0" w:rsidRPr="008B1377">
              <w:rPr>
                <w:rFonts w:eastAsia="Calibri" w:cstheme="minorHAnsi"/>
              </w:rPr>
              <w:t>waliteitscriteria zijn benoemd;</w:t>
            </w:r>
          </w:p>
          <w:p w14:paraId="734892AE" w14:textId="21744012" w:rsidR="00D366B0" w:rsidRPr="008B1377" w:rsidRDefault="00E93942" w:rsidP="00D41C42">
            <w:pPr>
              <w:numPr>
                <w:ilvl w:val="0"/>
                <w:numId w:val="19"/>
              </w:numPr>
              <w:spacing w:line="240" w:lineRule="auto"/>
              <w:contextualSpacing/>
              <w:rPr>
                <w:rFonts w:cstheme="minorHAnsi"/>
              </w:rPr>
            </w:pPr>
            <w:r w:rsidRPr="008B1377">
              <w:rPr>
                <w:rFonts w:eastAsia="Calibri" w:cstheme="minorHAnsi"/>
              </w:rPr>
              <w:t>H</w:t>
            </w:r>
            <w:r w:rsidR="00D366B0" w:rsidRPr="008B1377">
              <w:rPr>
                <w:rFonts w:eastAsia="Calibri" w:cstheme="minorHAnsi"/>
              </w:rPr>
              <w:t xml:space="preserve">et </w:t>
            </w:r>
            <w:r w:rsidR="00755A64" w:rsidRPr="008B1377">
              <w:rPr>
                <w:rFonts w:eastAsia="Calibri" w:cstheme="minorHAnsi"/>
              </w:rPr>
              <w:t>kan</w:t>
            </w:r>
            <w:r w:rsidR="00D366B0" w:rsidRPr="008B1377">
              <w:rPr>
                <w:rFonts w:eastAsia="Calibri" w:cstheme="minorHAnsi"/>
              </w:rPr>
              <w:t xml:space="preserve"> eenvoudig</w:t>
            </w:r>
            <w:r w:rsidR="00755A64" w:rsidRPr="008B1377">
              <w:rPr>
                <w:rFonts w:eastAsia="Calibri" w:cstheme="minorHAnsi"/>
              </w:rPr>
              <w:t xml:space="preserve"> </w:t>
            </w:r>
            <w:r w:rsidR="00D366B0" w:rsidRPr="008B1377">
              <w:rPr>
                <w:rFonts w:eastAsia="Calibri" w:cstheme="minorHAnsi"/>
              </w:rPr>
              <w:t xml:space="preserve">verantwoording </w:t>
            </w:r>
            <w:r w:rsidR="00755A64" w:rsidRPr="008B1377">
              <w:rPr>
                <w:rFonts w:eastAsia="Calibri" w:cstheme="minorHAnsi"/>
              </w:rPr>
              <w:t>over worden afgelegd</w:t>
            </w:r>
            <w:r w:rsidR="00D366B0" w:rsidRPr="008B1377">
              <w:rPr>
                <w:rFonts w:eastAsia="Calibri" w:cstheme="minorHAnsi"/>
              </w:rPr>
              <w:t>;</w:t>
            </w:r>
          </w:p>
          <w:p w14:paraId="42300AAE" w14:textId="77777777" w:rsidR="00D366B0" w:rsidRPr="008B1377" w:rsidRDefault="00E93942" w:rsidP="00D41C42">
            <w:pPr>
              <w:numPr>
                <w:ilvl w:val="0"/>
                <w:numId w:val="19"/>
              </w:numPr>
              <w:spacing w:line="240" w:lineRule="auto"/>
              <w:contextualSpacing/>
              <w:rPr>
                <w:rFonts w:cstheme="minorHAnsi"/>
              </w:rPr>
            </w:pPr>
            <w:r w:rsidRPr="008B1377">
              <w:rPr>
                <w:rFonts w:eastAsia="Calibri" w:cstheme="minorHAnsi"/>
              </w:rPr>
              <w:t>E</w:t>
            </w:r>
            <w:r w:rsidR="00D366B0" w:rsidRPr="008B1377">
              <w:rPr>
                <w:rFonts w:eastAsia="Calibri" w:cstheme="minorHAnsi"/>
              </w:rPr>
              <w:t xml:space="preserve">r is voor elk processencluster een ordeningsoverzicht dat de relatie tussen de bedrijfsprocessen en de opgenomen informatie weergeeft; </w:t>
            </w:r>
          </w:p>
          <w:p w14:paraId="48169D96" w14:textId="77777777" w:rsidR="00D366B0" w:rsidRPr="008B1377" w:rsidRDefault="00E93942" w:rsidP="00D41C42">
            <w:pPr>
              <w:numPr>
                <w:ilvl w:val="0"/>
                <w:numId w:val="19"/>
              </w:numPr>
              <w:spacing w:line="240" w:lineRule="auto"/>
              <w:contextualSpacing/>
              <w:rPr>
                <w:rFonts w:cstheme="minorHAnsi"/>
              </w:rPr>
            </w:pPr>
            <w:r w:rsidRPr="008B1377">
              <w:rPr>
                <w:rFonts w:eastAsia="Calibri" w:cstheme="minorHAnsi"/>
              </w:rPr>
              <w:t>R</w:t>
            </w:r>
            <w:r w:rsidR="00D366B0" w:rsidRPr="008B1377">
              <w:rPr>
                <w:rFonts w:eastAsia="Calibri" w:cstheme="minorHAnsi"/>
              </w:rPr>
              <w:t>ollen, taken en bevoegdheden in de processen zijn helder, ook voor het informatiebeheerdeel;</w:t>
            </w:r>
          </w:p>
          <w:p w14:paraId="20ECC20E" w14:textId="7ABFE59C" w:rsidR="003335CC" w:rsidRPr="008B1377" w:rsidRDefault="00536EB9" w:rsidP="00D41C42">
            <w:pPr>
              <w:numPr>
                <w:ilvl w:val="0"/>
                <w:numId w:val="19"/>
              </w:numPr>
              <w:spacing w:line="240" w:lineRule="auto"/>
              <w:contextualSpacing/>
            </w:pPr>
            <w:r w:rsidRPr="008B1377">
              <w:rPr>
                <w:rFonts w:eastAsia="Calibri" w:cstheme="minorHAnsi"/>
              </w:rPr>
              <w:t>V</w:t>
            </w:r>
            <w:r w:rsidR="00D366B0" w:rsidRPr="008B1377">
              <w:rPr>
                <w:rFonts w:eastAsia="Calibri" w:cstheme="minorHAnsi"/>
              </w:rPr>
              <w:t xml:space="preserve">astgelegd </w:t>
            </w:r>
            <w:r w:rsidRPr="008B1377">
              <w:rPr>
                <w:rFonts w:eastAsia="Calibri" w:cstheme="minorHAnsi"/>
              </w:rPr>
              <w:t xml:space="preserve">is </w:t>
            </w:r>
            <w:r w:rsidR="00D366B0" w:rsidRPr="008B1377">
              <w:rPr>
                <w:rFonts w:eastAsia="Calibri" w:cstheme="minorHAnsi"/>
              </w:rPr>
              <w:t xml:space="preserve">welke archiefwaardige informatie </w:t>
            </w:r>
            <w:r w:rsidRPr="008B1377">
              <w:rPr>
                <w:rFonts w:eastAsia="Calibri" w:cstheme="minorHAnsi"/>
              </w:rPr>
              <w:t>waar</w:t>
            </w:r>
            <w:r w:rsidR="00D366B0" w:rsidRPr="008B1377">
              <w:rPr>
                <w:rFonts w:eastAsia="Calibri" w:cstheme="minorHAnsi"/>
              </w:rPr>
              <w:t xml:space="preserve"> wordt beheerd.</w:t>
            </w:r>
          </w:p>
          <w:p w14:paraId="2436B5DF" w14:textId="77777777" w:rsidR="00D366B0" w:rsidRPr="008B1377" w:rsidRDefault="00D366B0" w:rsidP="00D41C42">
            <w:pPr>
              <w:pStyle w:val="Lijstalinea"/>
              <w:numPr>
                <w:ilvl w:val="0"/>
                <w:numId w:val="19"/>
              </w:numPr>
              <w:spacing w:line="240" w:lineRule="auto"/>
              <w:ind w:left="357" w:hanging="357"/>
              <w:rPr>
                <w:rFonts w:cstheme="minorHAnsi"/>
              </w:rPr>
            </w:pPr>
            <w:r w:rsidRPr="008B1377">
              <w:rPr>
                <w:rFonts w:cstheme="minorHAnsi"/>
              </w:rPr>
              <w:t>Selectie bij de bron, waar mogelijk;</w:t>
            </w:r>
          </w:p>
          <w:p w14:paraId="61EBF630" w14:textId="2ED89818" w:rsidR="00D366B0" w:rsidRPr="008B1377" w:rsidRDefault="00E93942" w:rsidP="00D41C42">
            <w:pPr>
              <w:pStyle w:val="Lijstalinea"/>
              <w:numPr>
                <w:ilvl w:val="0"/>
                <w:numId w:val="19"/>
              </w:numPr>
              <w:spacing w:line="240" w:lineRule="auto"/>
              <w:rPr>
                <w:rFonts w:cstheme="minorHAnsi"/>
              </w:rPr>
            </w:pPr>
            <w:r w:rsidRPr="008B1377">
              <w:rPr>
                <w:rFonts w:eastAsia="Calibri" w:cstheme="minorHAnsi"/>
              </w:rPr>
              <w:t>H</w:t>
            </w:r>
            <w:r w:rsidR="00D366B0" w:rsidRPr="008B1377">
              <w:rPr>
                <w:rFonts w:eastAsia="Calibri" w:cstheme="minorHAnsi"/>
              </w:rPr>
              <w:t xml:space="preserve">et toezicht aan de hand van toetsingsinstrumenten voor duurzaam toegankelijke informatie </w:t>
            </w:r>
            <w:r w:rsidR="002072EB" w:rsidRPr="008B1377">
              <w:rPr>
                <w:rFonts w:eastAsia="Calibri" w:cstheme="minorHAnsi"/>
              </w:rPr>
              <w:t>is</w:t>
            </w:r>
            <w:r w:rsidR="00D366B0" w:rsidRPr="008B1377">
              <w:rPr>
                <w:rFonts w:eastAsia="Calibri" w:cstheme="minorHAnsi"/>
              </w:rPr>
              <w:t xml:space="preserve"> met een periodieke PDCA</w:t>
            </w:r>
            <w:r w:rsidR="00D366B0" w:rsidRPr="008B1377">
              <w:rPr>
                <w:rStyle w:val="Voetnootmarkering"/>
                <w:rFonts w:eastAsia="Calibri" w:cstheme="minorHAnsi"/>
              </w:rPr>
              <w:footnoteReference w:id="10"/>
            </w:r>
            <w:r w:rsidR="00D366B0" w:rsidRPr="008B1377">
              <w:rPr>
                <w:rFonts w:eastAsia="Calibri" w:cstheme="minorHAnsi"/>
              </w:rPr>
              <w:t xml:space="preserve"> belegd. </w:t>
            </w:r>
          </w:p>
        </w:tc>
      </w:tr>
    </w:tbl>
    <w:p w14:paraId="10A0A3E4" w14:textId="77777777" w:rsidR="00D366B0" w:rsidRPr="008B1377" w:rsidRDefault="00D366B0" w:rsidP="00D41C42">
      <w:pPr>
        <w:spacing w:line="240" w:lineRule="auto"/>
        <w:rPr>
          <w:rFonts w:ascii="Calibri" w:eastAsia="Calibri" w:hAnsi="Calibri"/>
          <w:i/>
          <w:color w:val="FF0000"/>
        </w:rPr>
      </w:pPr>
    </w:p>
    <w:p w14:paraId="7DBC2E7A" w14:textId="77777777" w:rsidR="00D366B0" w:rsidRPr="008B1377" w:rsidRDefault="00D366B0" w:rsidP="00D41C42">
      <w:pPr>
        <w:spacing w:line="240" w:lineRule="auto"/>
        <w:rPr>
          <w:rFonts w:eastAsia="Calibri"/>
          <w:i/>
          <w:color w:val="943634" w:themeColor="accent2" w:themeShade="BF"/>
        </w:rPr>
      </w:pPr>
      <w:r w:rsidRPr="008B1377">
        <w:rPr>
          <w:rStyle w:val="Subtielebenadrukking"/>
          <w:color w:val="943634" w:themeColor="accent2" w:themeShade="BF"/>
        </w:rPr>
        <w:t>Principe 7. De kenniswerker</w:t>
      </w:r>
      <w:r w:rsidRPr="008B1377">
        <w:rPr>
          <w:rFonts w:eastAsia="Calibri"/>
          <w:i/>
          <w:color w:val="943634" w:themeColor="accent2" w:themeShade="BF"/>
        </w:rPr>
        <w:t xml:space="preserve"> staat centraal</w:t>
      </w:r>
    </w:p>
    <w:tbl>
      <w:tblPr>
        <w:tblW w:w="8150" w:type="dxa"/>
        <w:tblCellMar>
          <w:left w:w="10" w:type="dxa"/>
          <w:right w:w="10" w:type="dxa"/>
        </w:tblCellMar>
        <w:tblLook w:val="0000" w:firstRow="0" w:lastRow="0" w:firstColumn="0" w:lastColumn="0" w:noHBand="0" w:noVBand="0"/>
      </w:tblPr>
      <w:tblGrid>
        <w:gridCol w:w="988"/>
        <w:gridCol w:w="7162"/>
      </w:tblGrid>
      <w:tr w:rsidR="00D366B0" w:rsidRPr="008B1377" w14:paraId="46F799FF"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4FF78E" w14:textId="77777777" w:rsidR="00D366B0" w:rsidRPr="008B1377" w:rsidRDefault="00D366B0" w:rsidP="00D41C42">
            <w:pPr>
              <w:spacing w:line="240" w:lineRule="auto"/>
            </w:pPr>
            <w:r w:rsidRPr="008B1377">
              <w:t>Principe 7</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D8D888" w14:textId="77777777" w:rsidR="00D366B0" w:rsidRPr="008B1377" w:rsidRDefault="00D366B0" w:rsidP="00D41C42">
            <w:pPr>
              <w:spacing w:line="240" w:lineRule="auto"/>
            </w:pPr>
            <w:bookmarkStart w:id="46" w:name="_Hlk497464730"/>
            <w:r w:rsidRPr="008B1377">
              <w:t xml:space="preserve">BIJ12 stelt de kenniswerker centraal, ook bij het toepassen van gangbare standaarden (zie principe 3) </w:t>
            </w:r>
            <w:bookmarkEnd w:id="46"/>
          </w:p>
        </w:tc>
      </w:tr>
      <w:tr w:rsidR="00D366B0" w:rsidRPr="008B1377" w14:paraId="7D8316DB" w14:textId="77777777" w:rsidTr="00613F8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DB9525" w14:textId="77777777" w:rsidR="00D366B0" w:rsidRPr="008B1377" w:rsidRDefault="00D366B0" w:rsidP="00D41C42">
            <w:pPr>
              <w:spacing w:line="240" w:lineRule="auto"/>
            </w:pPr>
            <w:r w:rsidRPr="008B1377">
              <w:t>Reden</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F56730" w14:textId="77777777" w:rsidR="00D366B0" w:rsidRPr="008B1377" w:rsidRDefault="00D366B0"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 xml:space="preserve">Kenniswerkers zijn degenen die de werkprocessen uitvoeren. Zij weten als geen ander wat hun specifieke informatiebehoefte is. Dit moet het uitgangspunt zijn voor de inrichting van de informatievoorziening. </w:t>
            </w:r>
          </w:p>
          <w:p w14:paraId="16845F80" w14:textId="77777777" w:rsidR="00D366B0" w:rsidRPr="008B1377" w:rsidRDefault="00D366B0"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 xml:space="preserve">Dat de informatievoorziening ten dienste staat van de kenniswerkers, betekent niet dat de kenniswerkers zelf of rechtstreeks bepalen hoe de vertaling wordt gemaakt van informatiebehoefte naar informatievoorziening. </w:t>
            </w:r>
          </w:p>
          <w:p w14:paraId="6F507AC7" w14:textId="77777777" w:rsidR="00D366B0" w:rsidRPr="008B1377" w:rsidRDefault="00D366B0" w:rsidP="00D41C42">
            <w:pPr>
              <w:numPr>
                <w:ilvl w:val="0"/>
                <w:numId w:val="13"/>
              </w:numPr>
              <w:suppressAutoHyphens/>
              <w:autoSpaceDN w:val="0"/>
              <w:spacing w:line="240" w:lineRule="auto"/>
              <w:ind w:left="284" w:hanging="284"/>
              <w:textAlignment w:val="baseline"/>
              <w:rPr>
                <w:rFonts w:eastAsia="Calibri"/>
              </w:rPr>
            </w:pPr>
            <w:r w:rsidRPr="008B1377">
              <w:rPr>
                <w:rFonts w:eastAsia="Calibri"/>
              </w:rPr>
              <w:t xml:space="preserve">Het belang van de groep gaat voor het individueel belang van een kenniswerker. </w:t>
            </w:r>
          </w:p>
        </w:tc>
      </w:tr>
      <w:tr w:rsidR="00D366B0" w:rsidRPr="008B1377" w14:paraId="5FFA0CA5" w14:textId="77777777" w:rsidTr="00613F87">
        <w:trPr>
          <w:trHeight w:val="69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10C56C" w14:textId="77777777" w:rsidR="00D366B0" w:rsidRPr="008B1377" w:rsidRDefault="00D366B0" w:rsidP="00D41C42">
            <w:pPr>
              <w:spacing w:line="240" w:lineRule="auto"/>
            </w:pPr>
            <w:r w:rsidRPr="008B1377">
              <w:t>Werking</w:t>
            </w:r>
          </w:p>
        </w:tc>
        <w:tc>
          <w:tcPr>
            <w:tcW w:w="71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728F70" w14:textId="77777777" w:rsidR="00D366B0" w:rsidRPr="008B1377" w:rsidRDefault="00D366B0" w:rsidP="00D41C42">
            <w:pPr>
              <w:pStyle w:val="Normaalweb"/>
              <w:spacing w:line="240" w:lineRule="auto"/>
              <w:rPr>
                <w:rFonts w:eastAsiaTheme="minorEastAsia" w:cstheme="minorBidi"/>
                <w:color w:val="000000" w:themeColor="text1"/>
                <w:kern w:val="24"/>
              </w:rPr>
            </w:pPr>
            <w:r w:rsidRPr="008B1377">
              <w:rPr>
                <w:rFonts w:eastAsiaTheme="minorEastAsia" w:cstheme="minorBidi"/>
                <w:b/>
                <w:bCs/>
                <w:color w:val="000000" w:themeColor="text1"/>
                <w:kern w:val="24"/>
              </w:rPr>
              <w:t>Delen</w:t>
            </w:r>
            <w:r w:rsidRPr="008B1377">
              <w:rPr>
                <w:rFonts w:eastAsiaTheme="minorEastAsia" w:cstheme="minorBidi"/>
                <w:color w:val="000000" w:themeColor="text1"/>
                <w:kern w:val="24"/>
              </w:rPr>
              <w:t xml:space="preserve">: BIJ12 laat zich optimaal faciliteren door technologie. Met de kenniswerker centraal gaat het om het delen van informatie en de samenwerking onderling: de co-creatie. </w:t>
            </w:r>
            <w:r w:rsidR="00DE2612" w:rsidRPr="008B1377">
              <w:rPr>
                <w:rFonts w:eastAsiaTheme="minorEastAsia" w:cstheme="minorBidi"/>
                <w:color w:val="000000" w:themeColor="text1"/>
                <w:kern w:val="24"/>
              </w:rPr>
              <w:t xml:space="preserve">Dit is in overeenstemming met de kerncompetentie van BIJ12 die </w:t>
            </w:r>
            <w:r w:rsidR="00DE2612" w:rsidRPr="008B1377">
              <w:rPr>
                <w:rFonts w:eastAsiaTheme="minorEastAsia" w:cstheme="minorBidi"/>
                <w:i/>
                <w:color w:val="000000" w:themeColor="text1"/>
                <w:kern w:val="24"/>
              </w:rPr>
              <w:t xml:space="preserve">Samenwerken </w:t>
            </w:r>
            <w:r w:rsidR="00DE2612" w:rsidRPr="008B1377">
              <w:rPr>
                <w:rFonts w:eastAsiaTheme="minorEastAsia" w:cstheme="minorBidi"/>
                <w:color w:val="000000" w:themeColor="text1"/>
                <w:kern w:val="24"/>
              </w:rPr>
              <w:t>betreft</w:t>
            </w:r>
            <w:r w:rsidR="00DE2612" w:rsidRPr="008B1377">
              <w:rPr>
                <w:rStyle w:val="Voetnootmarkering"/>
                <w:rFonts w:eastAsiaTheme="minorEastAsia" w:cstheme="minorBidi"/>
                <w:color w:val="000000" w:themeColor="text1"/>
                <w:kern w:val="24"/>
              </w:rPr>
              <w:footnoteReference w:id="11"/>
            </w:r>
            <w:r w:rsidR="00DE2612" w:rsidRPr="008B1377">
              <w:rPr>
                <w:rFonts w:eastAsiaTheme="minorEastAsia" w:cstheme="minorBidi"/>
                <w:color w:val="000000" w:themeColor="text1"/>
                <w:kern w:val="24"/>
              </w:rPr>
              <w:t xml:space="preserve">. </w:t>
            </w:r>
            <w:r w:rsidRPr="008B1377">
              <w:rPr>
                <w:rFonts w:eastAsiaTheme="minorEastAsia" w:cstheme="minorBidi"/>
                <w:color w:val="000000" w:themeColor="text1"/>
                <w:kern w:val="24"/>
              </w:rPr>
              <w:t>Omdat eigenbelang geen rol speelt, gaat BIJ12 ook niet uit van het afschermen van informatie.</w:t>
            </w:r>
          </w:p>
          <w:p w14:paraId="5CF56EF0" w14:textId="77777777" w:rsidR="00D366B0" w:rsidRPr="008B1377" w:rsidRDefault="00D366B0" w:rsidP="00D41C42">
            <w:pPr>
              <w:pStyle w:val="Normaalweb"/>
              <w:spacing w:line="240" w:lineRule="auto"/>
            </w:pPr>
            <w:r w:rsidRPr="008B1377">
              <w:rPr>
                <w:rFonts w:eastAsiaTheme="minorEastAsia" w:cstheme="minorBidi"/>
                <w:color w:val="000000" w:themeColor="text1"/>
                <w:kern w:val="24"/>
              </w:rPr>
              <w:t xml:space="preserve"> </w:t>
            </w:r>
          </w:p>
          <w:p w14:paraId="4EADD051" w14:textId="620AAC65" w:rsidR="00D366B0" w:rsidRPr="008B1377" w:rsidRDefault="00D366B0" w:rsidP="00D41C42">
            <w:pPr>
              <w:pStyle w:val="Normaalweb"/>
              <w:spacing w:line="240" w:lineRule="auto"/>
              <w:rPr>
                <w:rFonts w:eastAsiaTheme="minorEastAsia" w:cstheme="minorBidi"/>
                <w:color w:val="000000" w:themeColor="text1"/>
                <w:kern w:val="24"/>
              </w:rPr>
            </w:pPr>
            <w:r w:rsidRPr="008B1377">
              <w:rPr>
                <w:rFonts w:eastAsiaTheme="minorEastAsia" w:cstheme="minorBidi"/>
                <w:b/>
                <w:bCs/>
                <w:color w:val="000000" w:themeColor="text1"/>
                <w:kern w:val="24"/>
              </w:rPr>
              <w:t>Gebruik</w:t>
            </w:r>
            <w:r w:rsidRPr="008B1377">
              <w:rPr>
                <w:rFonts w:eastAsiaTheme="minorEastAsia" w:cstheme="minorBidi"/>
                <w:color w:val="000000" w:themeColor="text1"/>
                <w:kern w:val="24"/>
              </w:rPr>
              <w:t>: Niet sec van belang is het opslaan (archiveren) van informatie maar het delen van data</w:t>
            </w:r>
            <w:r w:rsidR="003B7420" w:rsidRPr="008B1377">
              <w:rPr>
                <w:rFonts w:eastAsiaTheme="minorEastAsia" w:cstheme="minorBidi"/>
                <w:color w:val="000000" w:themeColor="text1"/>
                <w:kern w:val="24"/>
              </w:rPr>
              <w:t xml:space="preserve"> en informatie</w:t>
            </w:r>
            <w:r w:rsidRPr="008B1377">
              <w:rPr>
                <w:rFonts w:eastAsiaTheme="minorEastAsia" w:cstheme="minorBidi"/>
                <w:color w:val="000000" w:themeColor="text1"/>
                <w:kern w:val="24"/>
              </w:rPr>
              <w:t xml:space="preserve">. Dat betekent dat er focus moet zijn op het maximaal faciliteren van het gebruik van informatie en de kenniswerker minimaal belasten met beheer van informatie. </w:t>
            </w:r>
          </w:p>
          <w:p w14:paraId="7D1D992D" w14:textId="77777777" w:rsidR="00D366B0" w:rsidRPr="008B1377" w:rsidRDefault="00D366B0" w:rsidP="00D41C42">
            <w:pPr>
              <w:pStyle w:val="Normaalweb"/>
              <w:spacing w:line="240" w:lineRule="auto"/>
            </w:pPr>
          </w:p>
          <w:p w14:paraId="738A46CF" w14:textId="77777777" w:rsidR="00D366B0" w:rsidRPr="008B1377" w:rsidRDefault="00D366B0" w:rsidP="00D41C42">
            <w:pPr>
              <w:pStyle w:val="Normaalweb"/>
              <w:spacing w:line="240" w:lineRule="auto"/>
              <w:rPr>
                <w:rFonts w:eastAsiaTheme="minorEastAsia" w:cstheme="minorBidi"/>
                <w:color w:val="000000" w:themeColor="text1"/>
                <w:kern w:val="24"/>
              </w:rPr>
            </w:pPr>
            <w:r w:rsidRPr="008B1377">
              <w:rPr>
                <w:rFonts w:eastAsiaTheme="minorEastAsia" w:cstheme="minorBidi"/>
                <w:b/>
                <w:bCs/>
                <w:color w:val="000000" w:themeColor="text1"/>
                <w:kern w:val="24"/>
              </w:rPr>
              <w:t>Beweging:</w:t>
            </w:r>
            <w:r w:rsidRPr="008B1377">
              <w:rPr>
                <w:rFonts w:eastAsiaTheme="minorEastAsia" w:cstheme="minorBidi"/>
                <w:color w:val="000000" w:themeColor="text1"/>
                <w:kern w:val="24"/>
              </w:rPr>
              <w:t xml:space="preserve"> ‘vertrouwen geven’ wordt een belangrijk element waardoor er meer beweging in de organisatie komt. BIJ12 gebruikt informatie intern niet om te controleren, maar om te faciliteren. Verantwoordingsinformatie wordt </w:t>
            </w:r>
            <w:proofErr w:type="spellStart"/>
            <w:r w:rsidRPr="008B1377">
              <w:rPr>
                <w:rFonts w:eastAsiaTheme="minorEastAsia" w:cstheme="minorBidi"/>
                <w:color w:val="000000" w:themeColor="text1"/>
                <w:kern w:val="24"/>
              </w:rPr>
              <w:t>by</w:t>
            </w:r>
            <w:proofErr w:type="spellEnd"/>
            <w:r w:rsidRPr="008B1377">
              <w:rPr>
                <w:rFonts w:eastAsiaTheme="minorEastAsia" w:cstheme="minorBidi"/>
                <w:color w:val="000000" w:themeColor="text1"/>
                <w:kern w:val="24"/>
              </w:rPr>
              <w:t xml:space="preserve"> design al vanuit de processen opgeleverd.</w:t>
            </w:r>
          </w:p>
          <w:p w14:paraId="1ACB6FF5" w14:textId="77777777" w:rsidR="00D366B0" w:rsidRPr="008B1377" w:rsidRDefault="00D366B0" w:rsidP="00D41C42">
            <w:pPr>
              <w:pStyle w:val="Normaalweb"/>
              <w:spacing w:line="240" w:lineRule="auto"/>
            </w:pPr>
          </w:p>
          <w:p w14:paraId="0992CE1E" w14:textId="77777777" w:rsidR="00D366B0" w:rsidRPr="008B1377" w:rsidRDefault="00D366B0" w:rsidP="00D41C42">
            <w:pPr>
              <w:pStyle w:val="Normaalweb"/>
              <w:spacing w:line="240" w:lineRule="auto"/>
            </w:pPr>
            <w:r w:rsidRPr="008B1377">
              <w:rPr>
                <w:rFonts w:eastAsiaTheme="minorEastAsia" w:cstheme="minorBidi"/>
                <w:b/>
                <w:bCs/>
                <w:color w:val="000000" w:themeColor="text1"/>
                <w:kern w:val="24"/>
              </w:rPr>
              <w:t>Behoefte</w:t>
            </w:r>
            <w:r w:rsidRPr="008B1377">
              <w:rPr>
                <w:rFonts w:eastAsiaTheme="minorEastAsia" w:cstheme="minorBidi"/>
                <w:color w:val="000000" w:themeColor="text1"/>
                <w:kern w:val="24"/>
              </w:rPr>
              <w:t>: De informatievraag van de kenniswerker is leidend en niet wat standaard vanuit het proces of vanuit het systeem wordt aangeleverd. Processen en systemen zijn uiteindelijk ondersteunend en geen informatiedoel op zich.</w:t>
            </w:r>
          </w:p>
        </w:tc>
      </w:tr>
    </w:tbl>
    <w:p w14:paraId="16C3F52E" w14:textId="77777777" w:rsidR="00BA31B7" w:rsidRPr="008B1377" w:rsidRDefault="00BA31B7" w:rsidP="00D41C42">
      <w:pPr>
        <w:spacing w:line="240" w:lineRule="auto"/>
      </w:pPr>
    </w:p>
    <w:p w14:paraId="616B0F7F" w14:textId="77777777" w:rsidR="00613F87" w:rsidRPr="008B1377" w:rsidRDefault="00613F87" w:rsidP="00D41C42">
      <w:pPr>
        <w:spacing w:line="240" w:lineRule="auto"/>
      </w:pPr>
    </w:p>
    <w:p w14:paraId="633E5739" w14:textId="77777777" w:rsidR="00613F87" w:rsidRPr="008B1377" w:rsidRDefault="00613F87" w:rsidP="00D41C42">
      <w:pPr>
        <w:pStyle w:val="Kop1"/>
        <w:spacing w:line="240" w:lineRule="auto"/>
      </w:pPr>
      <w:bookmarkStart w:id="47" w:name="_Toc497961019"/>
      <w:bookmarkStart w:id="48" w:name="_Toc497961048"/>
      <w:bookmarkStart w:id="49" w:name="_Toc64982958"/>
      <w:r w:rsidRPr="008B1377">
        <w:lastRenderedPageBreak/>
        <w:t>Bijlagen</w:t>
      </w:r>
      <w:bookmarkEnd w:id="47"/>
      <w:bookmarkEnd w:id="48"/>
      <w:bookmarkEnd w:id="49"/>
      <w:r w:rsidRPr="008B1377">
        <w:tab/>
      </w:r>
    </w:p>
    <w:p w14:paraId="69A5089C" w14:textId="77777777" w:rsidR="00613F87" w:rsidRPr="008B1377" w:rsidRDefault="00431029" w:rsidP="00D41C42">
      <w:pPr>
        <w:pStyle w:val="Kop2"/>
        <w:spacing w:line="240" w:lineRule="auto"/>
      </w:pPr>
      <w:bookmarkStart w:id="50" w:name="_Toc497961020"/>
      <w:bookmarkStart w:id="51" w:name="_Toc497961049"/>
      <w:bookmarkStart w:id="52" w:name="_Toc64982959"/>
      <w:r w:rsidRPr="008B1377">
        <w:t>W</w:t>
      </w:r>
      <w:r w:rsidR="00613F87" w:rsidRPr="008B1377">
        <w:t>et</w:t>
      </w:r>
      <w:r w:rsidRPr="008B1377">
        <w:t xml:space="preserve">- </w:t>
      </w:r>
      <w:r w:rsidR="00613F87" w:rsidRPr="008B1377">
        <w:t>&amp; regelgeving</w:t>
      </w:r>
      <w:bookmarkEnd w:id="50"/>
      <w:bookmarkEnd w:id="51"/>
      <w:r w:rsidRPr="008B1377">
        <w:t>, normering</w:t>
      </w:r>
      <w:r w:rsidR="00567BD0" w:rsidRPr="008B1377">
        <w:t xml:space="preserve"> en architectuur</w:t>
      </w:r>
      <w:bookmarkEnd w:id="52"/>
    </w:p>
    <w:p w14:paraId="7B483FE1" w14:textId="01E0AA1E" w:rsidR="00D7597C" w:rsidRPr="008B1377" w:rsidRDefault="00D7597C" w:rsidP="00D41C42">
      <w:pPr>
        <w:spacing w:after="120" w:line="240" w:lineRule="auto"/>
      </w:pPr>
      <w:r w:rsidRPr="008B1377">
        <w:t>In deze paragraaf wordt een korte beschrijving geven van wet</w:t>
      </w:r>
      <w:r w:rsidR="00B54801" w:rsidRPr="008B1377">
        <w:t xml:space="preserve"> </w:t>
      </w:r>
      <w:r w:rsidRPr="008B1377">
        <w:t>&amp; regelgeving, normering en architectuur waarnaar in dit beleid wordt verwezen.</w:t>
      </w:r>
    </w:p>
    <w:p w14:paraId="1DC79A92" w14:textId="77777777" w:rsidR="00C15902" w:rsidRPr="008B1377" w:rsidRDefault="00C15902" w:rsidP="00D41C42">
      <w:pPr>
        <w:suppressAutoHyphens/>
        <w:autoSpaceDN w:val="0"/>
        <w:spacing w:after="120" w:line="240" w:lineRule="auto"/>
        <w:textAlignment w:val="baseline"/>
        <w:rPr>
          <w:u w:val="single"/>
        </w:rPr>
      </w:pPr>
      <w:r w:rsidRPr="008B1377">
        <w:rPr>
          <w:u w:val="single"/>
        </w:rPr>
        <w:t>Wet &amp; regelgeving</w:t>
      </w:r>
    </w:p>
    <w:p w14:paraId="0D818206" w14:textId="77777777" w:rsidR="002B0008" w:rsidRPr="008B1377" w:rsidRDefault="00613F87" w:rsidP="00D41C42">
      <w:pPr>
        <w:suppressAutoHyphens/>
        <w:autoSpaceDN w:val="0"/>
        <w:spacing w:line="240" w:lineRule="auto"/>
        <w:textAlignment w:val="baseline"/>
        <w:rPr>
          <w:b/>
        </w:rPr>
      </w:pPr>
      <w:r w:rsidRPr="008B1377">
        <w:rPr>
          <w:b/>
        </w:rPr>
        <w:t>Provinciewet</w:t>
      </w:r>
      <w:r w:rsidR="00F41F33" w:rsidRPr="008B1377">
        <w:rPr>
          <w:b/>
        </w:rPr>
        <w:t xml:space="preserve"> </w:t>
      </w:r>
    </w:p>
    <w:p w14:paraId="3C65CF63" w14:textId="77777777" w:rsidR="00825F18" w:rsidRPr="008B1377" w:rsidRDefault="002B0008" w:rsidP="00D41C42">
      <w:pPr>
        <w:suppressAutoHyphens/>
        <w:autoSpaceDN w:val="0"/>
        <w:spacing w:after="120" w:line="240" w:lineRule="auto"/>
        <w:textAlignment w:val="baseline"/>
      </w:pPr>
      <w:r w:rsidRPr="008B1377">
        <w:t>De Provinciewet geeft regels voor</w:t>
      </w:r>
      <w:r w:rsidR="00A419D4" w:rsidRPr="008B1377">
        <w:t xml:space="preserve"> de financiën van de provincies en heeft betrekking op de bedrijfsvoering van provincies.</w:t>
      </w:r>
      <w:r w:rsidRPr="008B1377">
        <w:t xml:space="preserve"> De wet bevat voorschriften voor de begroting, het jaarverslag en het </w:t>
      </w:r>
      <w:r w:rsidR="00A419D4" w:rsidRPr="008B1377">
        <w:t>financiële</w:t>
      </w:r>
      <w:r w:rsidRPr="008B1377">
        <w:t xml:space="preserve"> beheer</w:t>
      </w:r>
      <w:r w:rsidR="00A419D4" w:rsidRPr="008B1377">
        <w:t xml:space="preserve">, waarbij de nadruk ligt op verantwoordingsbelang. </w:t>
      </w:r>
    </w:p>
    <w:p w14:paraId="28D1CD14" w14:textId="77777777" w:rsidR="00A419D4" w:rsidRPr="008B1377" w:rsidRDefault="00613F87" w:rsidP="00D41C42">
      <w:pPr>
        <w:suppressAutoHyphens/>
        <w:autoSpaceDN w:val="0"/>
        <w:spacing w:line="240" w:lineRule="auto"/>
        <w:textAlignment w:val="baseline"/>
        <w:rPr>
          <w:b/>
        </w:rPr>
      </w:pPr>
      <w:r w:rsidRPr="008B1377">
        <w:rPr>
          <w:b/>
        </w:rPr>
        <w:t>Algemene wet</w:t>
      </w:r>
      <w:r w:rsidR="00A419D4" w:rsidRPr="008B1377">
        <w:rPr>
          <w:b/>
        </w:rPr>
        <w:t xml:space="preserve"> bestuursrecht (</w:t>
      </w:r>
      <w:proofErr w:type="spellStart"/>
      <w:r w:rsidR="00A419D4" w:rsidRPr="008B1377">
        <w:rPr>
          <w:b/>
        </w:rPr>
        <w:t>Awb</w:t>
      </w:r>
      <w:proofErr w:type="spellEnd"/>
      <w:r w:rsidR="00A419D4" w:rsidRPr="008B1377">
        <w:rPr>
          <w:b/>
        </w:rPr>
        <w:t>)</w:t>
      </w:r>
    </w:p>
    <w:p w14:paraId="13B53004" w14:textId="41E08061" w:rsidR="00825F18" w:rsidRPr="008B1377" w:rsidRDefault="00A419D4" w:rsidP="00D41C42">
      <w:pPr>
        <w:suppressAutoHyphens/>
        <w:autoSpaceDN w:val="0"/>
        <w:spacing w:after="120" w:line="240" w:lineRule="auto"/>
        <w:textAlignment w:val="baseline"/>
      </w:pPr>
      <w:r w:rsidRPr="008B1377">
        <w:t xml:space="preserve">De </w:t>
      </w:r>
      <w:proofErr w:type="spellStart"/>
      <w:r w:rsidRPr="008B1377">
        <w:t>Awb</w:t>
      </w:r>
      <w:proofErr w:type="spellEnd"/>
      <w:r w:rsidRPr="008B1377">
        <w:t xml:space="preserve"> regelt de verhouding tussen de overheid en de individuele burgers, bedrijven en andere instellingen bij de uitvoering van taken vanuit openbaar gezag. </w:t>
      </w:r>
    </w:p>
    <w:p w14:paraId="28FFC253" w14:textId="77777777" w:rsidR="00613F87" w:rsidRPr="008B1377" w:rsidRDefault="00613F87" w:rsidP="00D41C42">
      <w:pPr>
        <w:suppressAutoHyphens/>
        <w:autoSpaceDN w:val="0"/>
        <w:spacing w:line="240" w:lineRule="auto"/>
        <w:textAlignment w:val="baseline"/>
        <w:rPr>
          <w:b/>
        </w:rPr>
      </w:pPr>
      <w:r w:rsidRPr="008B1377">
        <w:rPr>
          <w:b/>
        </w:rPr>
        <w:t xml:space="preserve">Wet elektronisch bestuurlijk verkeer </w:t>
      </w:r>
    </w:p>
    <w:p w14:paraId="76CEBED1" w14:textId="77777777" w:rsidR="00825F18" w:rsidRPr="008B1377" w:rsidRDefault="00A419D4" w:rsidP="00D41C42">
      <w:pPr>
        <w:suppressAutoHyphens/>
        <w:autoSpaceDN w:val="0"/>
        <w:spacing w:after="120" w:line="240" w:lineRule="auto"/>
        <w:textAlignment w:val="baseline"/>
      </w:pPr>
      <w:r w:rsidRPr="008B1377">
        <w:t xml:space="preserve">Deze regelt de betrouwbaarheid van elektronisch verkeer tussen bestuursorganen en burgers/bedrijven en tussen bestuursorganen onderling. </w:t>
      </w:r>
    </w:p>
    <w:p w14:paraId="747B61DE" w14:textId="77777777" w:rsidR="00613F87" w:rsidRPr="008B1377" w:rsidRDefault="00613F87" w:rsidP="00D41C42">
      <w:pPr>
        <w:suppressAutoHyphens/>
        <w:autoSpaceDN w:val="0"/>
        <w:spacing w:line="240" w:lineRule="auto"/>
        <w:textAlignment w:val="baseline"/>
        <w:rPr>
          <w:b/>
        </w:rPr>
      </w:pPr>
      <w:r w:rsidRPr="008B1377">
        <w:rPr>
          <w:b/>
        </w:rPr>
        <w:t>Archiefwet 1995</w:t>
      </w:r>
      <w:r w:rsidR="00A419D4" w:rsidRPr="008B1377">
        <w:rPr>
          <w:b/>
        </w:rPr>
        <w:t xml:space="preserve"> (AR)</w:t>
      </w:r>
    </w:p>
    <w:p w14:paraId="3C666AEC" w14:textId="77777777" w:rsidR="006333EC" w:rsidRPr="008B1377" w:rsidRDefault="00A419D4" w:rsidP="00D41C42">
      <w:pPr>
        <w:suppressAutoHyphens/>
        <w:autoSpaceDN w:val="0"/>
        <w:spacing w:after="120" w:line="240" w:lineRule="auto"/>
        <w:textAlignment w:val="baseline"/>
      </w:pPr>
      <w:r w:rsidRPr="008B1377">
        <w:t xml:space="preserve">De archiefwet geeft algemene bepalingen over het beheer van procesinformatie van overheden en </w:t>
      </w:r>
      <w:r w:rsidR="00D95F40" w:rsidRPr="008B1377">
        <w:t xml:space="preserve">over informatieobjecten (records) die blijvend te bewaren zijn. </w:t>
      </w:r>
    </w:p>
    <w:p w14:paraId="4020C184" w14:textId="77777777" w:rsidR="006333EC" w:rsidRPr="008B1377" w:rsidRDefault="006333EC" w:rsidP="00D41C42">
      <w:pPr>
        <w:suppressAutoHyphens/>
        <w:autoSpaceDN w:val="0"/>
        <w:spacing w:line="240" w:lineRule="auto"/>
        <w:textAlignment w:val="baseline"/>
        <w:rPr>
          <w:b/>
        </w:rPr>
      </w:pPr>
      <w:r w:rsidRPr="008B1377">
        <w:rPr>
          <w:b/>
        </w:rPr>
        <w:t xml:space="preserve">Archiefbesluit </w:t>
      </w:r>
      <w:r w:rsidR="00B144A4" w:rsidRPr="008B1377">
        <w:rPr>
          <w:b/>
        </w:rPr>
        <w:t xml:space="preserve">(Ab), gewijzigd in </w:t>
      </w:r>
      <w:r w:rsidRPr="008B1377">
        <w:rPr>
          <w:b/>
        </w:rPr>
        <w:t xml:space="preserve">2013 </w:t>
      </w:r>
    </w:p>
    <w:p w14:paraId="43ACC05E" w14:textId="013F2F28" w:rsidR="006333EC" w:rsidRPr="008B1377" w:rsidRDefault="00B144A4" w:rsidP="00D41C42">
      <w:pPr>
        <w:suppressAutoHyphens/>
        <w:autoSpaceDN w:val="0"/>
        <w:spacing w:after="120" w:line="240" w:lineRule="auto"/>
        <w:textAlignment w:val="baseline"/>
      </w:pPr>
      <w:r w:rsidRPr="008B1377">
        <w:t xml:space="preserve">Het archiefbesluit </w:t>
      </w:r>
      <w:r w:rsidR="00D7597C" w:rsidRPr="008B1377">
        <w:t xml:space="preserve">regelt de toegang tot- en het beheer van archiefbescheiden van overheden. Het </w:t>
      </w:r>
      <w:r w:rsidRPr="008B1377">
        <w:t xml:space="preserve">geeft </w:t>
      </w:r>
      <w:r w:rsidR="00DE0289" w:rsidRPr="008B1377">
        <w:t>o.a.</w:t>
      </w:r>
      <w:r w:rsidR="00D7597C" w:rsidRPr="008B1377">
        <w:t xml:space="preserve"> aan</w:t>
      </w:r>
      <w:r w:rsidRPr="008B1377">
        <w:t xml:space="preserve"> hoe </w:t>
      </w:r>
      <w:r w:rsidR="00DE0289" w:rsidRPr="008B1377">
        <w:t>om te gaan</w:t>
      </w:r>
      <w:r w:rsidRPr="008B1377">
        <w:t xml:space="preserve"> met waardering en selectie. </w:t>
      </w:r>
    </w:p>
    <w:p w14:paraId="555CA0B3" w14:textId="77777777" w:rsidR="006333EC" w:rsidRPr="008B1377" w:rsidRDefault="006333EC" w:rsidP="00D41C42">
      <w:pPr>
        <w:suppressAutoHyphens/>
        <w:autoSpaceDN w:val="0"/>
        <w:spacing w:line="240" w:lineRule="auto"/>
        <w:textAlignment w:val="baseline"/>
        <w:rPr>
          <w:b/>
        </w:rPr>
      </w:pPr>
      <w:r w:rsidRPr="008B1377">
        <w:rPr>
          <w:b/>
        </w:rPr>
        <w:t>Archiefregeling 2009</w:t>
      </w:r>
    </w:p>
    <w:p w14:paraId="5D8DE8F7" w14:textId="77777777" w:rsidR="00A419D4" w:rsidRPr="008B1377" w:rsidRDefault="006333EC" w:rsidP="00D41C42">
      <w:pPr>
        <w:suppressAutoHyphens/>
        <w:autoSpaceDN w:val="0"/>
        <w:spacing w:after="120" w:line="240" w:lineRule="auto"/>
        <w:textAlignment w:val="baseline"/>
      </w:pPr>
      <w:r w:rsidRPr="008B1377">
        <w:t>De Archiefregeling geeft een nadere uitwerking van artikelen 11,12 en 13 van de archiefwet, onder verwijzing van het Archiefbesluit. De regeling gaat over eisen die gesteld worden aan de duurzame toegankelijkheid van archiefbescheiden. De archiefregeling wordt</w:t>
      </w:r>
      <w:r w:rsidR="00B144A4" w:rsidRPr="008B1377">
        <w:t xml:space="preserve"> vaak </w:t>
      </w:r>
      <w:r w:rsidRPr="008B1377">
        <w:t xml:space="preserve">gehanteerd </w:t>
      </w:r>
      <w:r w:rsidR="00B144A4" w:rsidRPr="008B1377">
        <w:t>met oog op substitutie.</w:t>
      </w:r>
    </w:p>
    <w:p w14:paraId="282F21D3" w14:textId="77777777" w:rsidR="00613F87" w:rsidRPr="008B1377" w:rsidRDefault="00613F87" w:rsidP="00D41C42">
      <w:pPr>
        <w:suppressAutoHyphens/>
        <w:autoSpaceDN w:val="0"/>
        <w:spacing w:line="240" w:lineRule="auto"/>
        <w:textAlignment w:val="baseline"/>
        <w:rPr>
          <w:b/>
        </w:rPr>
      </w:pPr>
      <w:r w:rsidRPr="008B1377">
        <w:rPr>
          <w:b/>
        </w:rPr>
        <w:t>Auteurswet en de Databankenwet</w:t>
      </w:r>
      <w:r w:rsidR="00F41F33" w:rsidRPr="008B1377">
        <w:rPr>
          <w:b/>
        </w:rPr>
        <w:t xml:space="preserve"> </w:t>
      </w:r>
    </w:p>
    <w:p w14:paraId="33316A2E" w14:textId="16C2152C" w:rsidR="00A419D4" w:rsidRPr="008B1377" w:rsidRDefault="00825F18" w:rsidP="00D41C42">
      <w:pPr>
        <w:suppressAutoHyphens/>
        <w:autoSpaceDN w:val="0"/>
        <w:spacing w:after="120" w:line="240" w:lineRule="auto"/>
        <w:textAlignment w:val="baseline"/>
      </w:pPr>
      <w:r w:rsidRPr="008B1377">
        <w:t>D</w:t>
      </w:r>
      <w:r w:rsidR="00D95F40" w:rsidRPr="008B1377">
        <w:t>eze wet regelt de bescherming van databanken van overheden</w:t>
      </w:r>
      <w:r w:rsidR="0096697B" w:rsidRPr="008B1377">
        <w:t>.</w:t>
      </w:r>
    </w:p>
    <w:p w14:paraId="09C327FA" w14:textId="77777777" w:rsidR="00613F87" w:rsidRPr="008B1377" w:rsidRDefault="00613F87" w:rsidP="00D41C42">
      <w:pPr>
        <w:suppressAutoHyphens/>
        <w:autoSpaceDN w:val="0"/>
        <w:spacing w:line="240" w:lineRule="auto"/>
        <w:textAlignment w:val="baseline"/>
        <w:rPr>
          <w:b/>
        </w:rPr>
      </w:pPr>
      <w:r w:rsidRPr="008B1377">
        <w:rPr>
          <w:b/>
        </w:rPr>
        <w:t>Wet bescherming persoonsgegevens (</w:t>
      </w:r>
      <w:proofErr w:type="spellStart"/>
      <w:r w:rsidRPr="008B1377">
        <w:rPr>
          <w:b/>
        </w:rPr>
        <w:t>Wbp</w:t>
      </w:r>
      <w:proofErr w:type="spellEnd"/>
      <w:r w:rsidRPr="008B1377">
        <w:rPr>
          <w:b/>
        </w:rPr>
        <w:t xml:space="preserve">) </w:t>
      </w:r>
    </w:p>
    <w:p w14:paraId="1EE15D51" w14:textId="1FCAB1C1" w:rsidR="00905D8E" w:rsidRPr="008B1377" w:rsidRDefault="003D607C" w:rsidP="00D41C42">
      <w:pPr>
        <w:suppressAutoHyphens/>
        <w:autoSpaceDN w:val="0"/>
        <w:spacing w:after="120" w:line="240" w:lineRule="auto"/>
        <w:textAlignment w:val="baseline"/>
      </w:pPr>
      <w:r w:rsidRPr="008B1377">
        <w:t xml:space="preserve">Zorgvuldige </w:t>
      </w:r>
      <w:r w:rsidR="00905D8E" w:rsidRPr="008B1377">
        <w:t xml:space="preserve">en transparante verwerking van persoonsgegevens zijn de basis van deze wet. Zorgvuldig wil in deze zeggen dat de verwerkte persoonsgegevens een duidelijke doelbinding moeten hebben met het proces waarin deze verwerkt zijn. </w:t>
      </w:r>
    </w:p>
    <w:p w14:paraId="46C5A871" w14:textId="77777777" w:rsidR="00905D8E" w:rsidRPr="008B1377" w:rsidRDefault="00905D8E" w:rsidP="00D41C42">
      <w:pPr>
        <w:suppressAutoHyphens/>
        <w:autoSpaceDN w:val="0"/>
        <w:spacing w:line="240" w:lineRule="auto"/>
        <w:textAlignment w:val="baseline"/>
        <w:rPr>
          <w:b/>
        </w:rPr>
      </w:pPr>
      <w:r w:rsidRPr="008B1377">
        <w:rPr>
          <w:b/>
        </w:rPr>
        <w:t>Algemene Verordening gegevensbescherming (AVG)</w:t>
      </w:r>
    </w:p>
    <w:p w14:paraId="39C0CBC8" w14:textId="2EB2FEF8" w:rsidR="00A419D4" w:rsidRPr="008B1377" w:rsidRDefault="008F25B9" w:rsidP="00D41C42">
      <w:pPr>
        <w:suppressAutoHyphens/>
        <w:autoSpaceDN w:val="0"/>
        <w:spacing w:after="120" w:line="240" w:lineRule="auto"/>
        <w:textAlignment w:val="baseline"/>
      </w:pPr>
      <w:r w:rsidRPr="008B1377">
        <w:t>In 2018 heeft</w:t>
      </w:r>
      <w:r w:rsidR="00905D8E" w:rsidRPr="008B1377">
        <w:t xml:space="preserve"> de AVG de </w:t>
      </w:r>
      <w:proofErr w:type="spellStart"/>
      <w:r w:rsidR="00905D8E" w:rsidRPr="008B1377">
        <w:t>Wbp</w:t>
      </w:r>
      <w:proofErr w:type="spellEnd"/>
      <w:r w:rsidRPr="008B1377">
        <w:t xml:space="preserve"> vervangen</w:t>
      </w:r>
      <w:r w:rsidR="00905D8E" w:rsidRPr="008B1377">
        <w:t xml:space="preserve">. De autoriteit persoonsgegevens houdt toezicht op de naleving van de AVG. Het is vergelijkbaar met de </w:t>
      </w:r>
      <w:proofErr w:type="spellStart"/>
      <w:r w:rsidR="00905D8E" w:rsidRPr="008B1377">
        <w:t>Wbp</w:t>
      </w:r>
      <w:proofErr w:type="spellEnd"/>
      <w:r w:rsidR="00905D8E" w:rsidRPr="008B1377">
        <w:t xml:space="preserve">, behalve dat er meer nadruk is om het kunnen verantwoorden van keuzes </w:t>
      </w:r>
      <w:r w:rsidR="00673343" w:rsidRPr="008B1377">
        <w:t xml:space="preserve">inzake de verwerking van persoonsgegevens. </w:t>
      </w:r>
    </w:p>
    <w:p w14:paraId="34568A3A" w14:textId="77777777" w:rsidR="00613F87" w:rsidRPr="008B1377" w:rsidRDefault="00613F87" w:rsidP="00D41C42">
      <w:pPr>
        <w:suppressAutoHyphens/>
        <w:autoSpaceDN w:val="0"/>
        <w:spacing w:line="240" w:lineRule="auto"/>
        <w:textAlignment w:val="baseline"/>
        <w:rPr>
          <w:b/>
        </w:rPr>
      </w:pPr>
      <w:r w:rsidRPr="008B1377">
        <w:rPr>
          <w:b/>
        </w:rPr>
        <w:t>Wet elektronische handtekeningen</w:t>
      </w:r>
      <w:r w:rsidR="00F41F33" w:rsidRPr="008B1377">
        <w:rPr>
          <w:b/>
        </w:rPr>
        <w:t xml:space="preserve"> </w:t>
      </w:r>
    </w:p>
    <w:p w14:paraId="7701B35A" w14:textId="77777777" w:rsidR="00905D8E" w:rsidRPr="008B1377" w:rsidRDefault="00A76DA0" w:rsidP="00D41C42">
      <w:pPr>
        <w:suppressAutoHyphens/>
        <w:autoSpaceDN w:val="0"/>
        <w:spacing w:after="120" w:line="240" w:lineRule="auto"/>
        <w:textAlignment w:val="baseline"/>
      </w:pPr>
      <w:r w:rsidRPr="008B1377">
        <w:t>D</w:t>
      </w:r>
      <w:r w:rsidR="00D95F40" w:rsidRPr="008B1377">
        <w:t>e wet ele</w:t>
      </w:r>
      <w:r w:rsidR="00905D8E" w:rsidRPr="008B1377">
        <w:t>ktronische handtekeningen geeft aan welke juridische rechtsgeldigheid gegeven wordt aan de 4 typen digitale handtekeningen.</w:t>
      </w:r>
    </w:p>
    <w:p w14:paraId="174A6D32" w14:textId="77777777" w:rsidR="00613F87" w:rsidRPr="008B1377" w:rsidRDefault="00613F87" w:rsidP="00D41C42">
      <w:pPr>
        <w:spacing w:line="240" w:lineRule="auto"/>
        <w:rPr>
          <w:b/>
        </w:rPr>
      </w:pPr>
      <w:r w:rsidRPr="008B1377">
        <w:rPr>
          <w:b/>
        </w:rPr>
        <w:t>Wet openbaarheid van bestuur (</w:t>
      </w:r>
      <w:proofErr w:type="spellStart"/>
      <w:r w:rsidRPr="008B1377">
        <w:rPr>
          <w:b/>
        </w:rPr>
        <w:t>Wob</w:t>
      </w:r>
      <w:proofErr w:type="spellEnd"/>
      <w:r w:rsidRPr="008B1377">
        <w:rPr>
          <w:b/>
        </w:rPr>
        <w:t xml:space="preserve">) </w:t>
      </w:r>
    </w:p>
    <w:p w14:paraId="1D4BE76A" w14:textId="77777777" w:rsidR="00A76DA0" w:rsidRPr="008B1377" w:rsidRDefault="00905D8E" w:rsidP="00D41C42">
      <w:pPr>
        <w:spacing w:after="360" w:line="240" w:lineRule="auto"/>
      </w:pPr>
      <w:r w:rsidRPr="008B1377">
        <w:t>vanuit het idee dat burgers beter kunnen meebeslis</w:t>
      </w:r>
      <w:r w:rsidR="00567BD0" w:rsidRPr="008B1377">
        <w:t>s</w:t>
      </w:r>
      <w:r w:rsidRPr="008B1377">
        <w:t xml:space="preserve">en in de democratie als zij inzicht hebben in overheidshandelen, regelt deze wet dat de overheid zowel actief als passief informatie verstrekt aan burgers over haar handelen. </w:t>
      </w:r>
    </w:p>
    <w:p w14:paraId="03F99598" w14:textId="77777777" w:rsidR="002A327F" w:rsidRPr="008B1377" w:rsidRDefault="002A327F" w:rsidP="00D41C42">
      <w:pPr>
        <w:spacing w:after="120" w:line="240" w:lineRule="auto"/>
        <w:rPr>
          <w:u w:val="single"/>
        </w:rPr>
      </w:pPr>
      <w:r w:rsidRPr="008B1377">
        <w:rPr>
          <w:u w:val="single"/>
        </w:rPr>
        <w:t>Gangbare normen en handreikingen voor overheden</w:t>
      </w:r>
    </w:p>
    <w:p w14:paraId="18EC91A8" w14:textId="77777777" w:rsidR="00613F87" w:rsidRPr="008B1377" w:rsidRDefault="00613F87" w:rsidP="00D41C42">
      <w:pPr>
        <w:spacing w:line="240" w:lineRule="auto"/>
        <w:rPr>
          <w:b/>
        </w:rPr>
      </w:pPr>
      <w:r w:rsidRPr="008B1377">
        <w:rPr>
          <w:b/>
        </w:rPr>
        <w:t>N</w:t>
      </w:r>
      <w:r w:rsidR="00A76DA0" w:rsidRPr="008B1377">
        <w:rPr>
          <w:b/>
        </w:rPr>
        <w:t>EN ISO</w:t>
      </w:r>
      <w:r w:rsidRPr="008B1377">
        <w:rPr>
          <w:b/>
        </w:rPr>
        <w:t xml:space="preserve"> 15489 </w:t>
      </w:r>
    </w:p>
    <w:p w14:paraId="469C9EAA" w14:textId="77777777" w:rsidR="00A76DA0" w:rsidRPr="008B1377" w:rsidRDefault="00673343" w:rsidP="00D41C42">
      <w:pPr>
        <w:spacing w:after="120" w:line="240" w:lineRule="auto"/>
      </w:pPr>
      <w:r w:rsidRPr="008B1377">
        <w:t xml:space="preserve">Deze norm geeft op hoofdlijnen aan wat er allemaal geregeld moet zijn om goed informatiebeheer uit te voeren. De scope omvat onder andere beleid, verantwoordelijkheden, toetsing etc. </w:t>
      </w:r>
    </w:p>
    <w:p w14:paraId="017FC849" w14:textId="77777777" w:rsidR="00613F87" w:rsidRPr="008B1377" w:rsidRDefault="00613F87" w:rsidP="00D41C42">
      <w:pPr>
        <w:spacing w:line="240" w:lineRule="auto"/>
        <w:rPr>
          <w:b/>
        </w:rPr>
      </w:pPr>
      <w:r w:rsidRPr="008B1377">
        <w:rPr>
          <w:rFonts w:eastAsia="Calibri"/>
          <w:b/>
        </w:rPr>
        <w:lastRenderedPageBreak/>
        <w:t>NEN</w:t>
      </w:r>
      <w:r w:rsidR="00A76DA0" w:rsidRPr="008B1377">
        <w:rPr>
          <w:rFonts w:eastAsia="Calibri"/>
          <w:b/>
        </w:rPr>
        <w:t xml:space="preserve"> </w:t>
      </w:r>
      <w:r w:rsidRPr="008B1377">
        <w:rPr>
          <w:rFonts w:eastAsia="Calibri"/>
          <w:b/>
        </w:rPr>
        <w:t>ISO/IEC-27001 en 27002</w:t>
      </w:r>
    </w:p>
    <w:p w14:paraId="1E335AE9" w14:textId="23EC3C99" w:rsidR="00A76DA0" w:rsidRPr="008B1377" w:rsidRDefault="00673343" w:rsidP="00D41C42">
      <w:pPr>
        <w:spacing w:after="120" w:line="240" w:lineRule="auto"/>
      </w:pPr>
      <w:r w:rsidRPr="008B1377">
        <w:t xml:space="preserve">Deze norm betreft een managementsysteem voor informatiebeveiliging. Het beschermt de vertrouwelijkheid, de integriteit en de beschikbaarheid van informatie door een risicobeheerproces toe te passen. Daarnaast geeft het belanghebbenden het vertrouwen dat risico’s adequaat worden beheerd. </w:t>
      </w:r>
    </w:p>
    <w:p w14:paraId="33334D93" w14:textId="77777777" w:rsidR="00C07AFE" w:rsidRPr="008B1377" w:rsidRDefault="002A327F" w:rsidP="00D41C42">
      <w:pPr>
        <w:spacing w:line="240" w:lineRule="auto"/>
        <w:rPr>
          <w:b/>
        </w:rPr>
      </w:pPr>
      <w:r w:rsidRPr="008B1377">
        <w:rPr>
          <w:b/>
        </w:rPr>
        <w:t>Kwalitei</w:t>
      </w:r>
      <w:r w:rsidR="006B4D4F" w:rsidRPr="008B1377">
        <w:rPr>
          <w:b/>
        </w:rPr>
        <w:t>tssysteem informatiebeheer decentrale overheden</w:t>
      </w:r>
      <w:r w:rsidR="00834002" w:rsidRPr="008B1377">
        <w:rPr>
          <w:b/>
        </w:rPr>
        <w:t xml:space="preserve"> (KIDO)</w:t>
      </w:r>
    </w:p>
    <w:p w14:paraId="5233D6D5" w14:textId="77777777" w:rsidR="00A76DA0" w:rsidRPr="008B1377" w:rsidRDefault="00834002" w:rsidP="00D41C42">
      <w:pPr>
        <w:spacing w:after="360" w:line="240" w:lineRule="auto"/>
      </w:pPr>
      <w:r w:rsidRPr="008B1377">
        <w:t xml:space="preserve">KIDO is een handreiking </w:t>
      </w:r>
      <w:r w:rsidR="00C07AFE" w:rsidRPr="008B1377">
        <w:t>voor het inrichten en beheren van het kwaliteitssysteem voor het informatie en archiefbeheer van overheden. Het geeft aan wat op strategisch, tactisch en operationeel niveau geregeld moet zijn om het informatiebeheer te stroomlijnen.</w:t>
      </w:r>
    </w:p>
    <w:p w14:paraId="29C58415" w14:textId="77777777" w:rsidR="002A327F" w:rsidRPr="008B1377" w:rsidRDefault="002A327F" w:rsidP="00D41C42">
      <w:pPr>
        <w:spacing w:after="120" w:line="240" w:lineRule="auto"/>
        <w:rPr>
          <w:u w:val="single"/>
        </w:rPr>
      </w:pPr>
      <w:r w:rsidRPr="008B1377">
        <w:rPr>
          <w:u w:val="single"/>
        </w:rPr>
        <w:t>Verplichte normen voor overheden</w:t>
      </w:r>
    </w:p>
    <w:p w14:paraId="1968DB92" w14:textId="77777777" w:rsidR="00613F87" w:rsidRPr="008B1377" w:rsidRDefault="00A76DA0" w:rsidP="00D41C42">
      <w:pPr>
        <w:spacing w:line="240" w:lineRule="auto"/>
        <w:rPr>
          <w:b/>
        </w:rPr>
      </w:pPr>
      <w:r w:rsidRPr="008B1377">
        <w:rPr>
          <w:b/>
        </w:rPr>
        <w:t xml:space="preserve">NEN ISO </w:t>
      </w:r>
      <w:r w:rsidR="00613F87" w:rsidRPr="008B1377">
        <w:rPr>
          <w:b/>
        </w:rPr>
        <w:t>2082</w:t>
      </w:r>
    </w:p>
    <w:p w14:paraId="66BC1D85" w14:textId="77777777" w:rsidR="006F776D" w:rsidRPr="008B1377" w:rsidRDefault="00673343" w:rsidP="00D41C42">
      <w:pPr>
        <w:spacing w:after="120" w:line="240" w:lineRule="auto"/>
      </w:pPr>
      <w:r w:rsidRPr="008B1377">
        <w:t>De NEN ISO 2082 betreft eisen die gesteld worden aan functionaliteiten voor informatie en archiefbeheer in programmatuur</w:t>
      </w:r>
      <w:r w:rsidR="00A76DA0" w:rsidRPr="008B1377">
        <w:t>.</w:t>
      </w:r>
      <w:r w:rsidR="006F776D" w:rsidRPr="008B1377">
        <w:t xml:space="preserve"> </w:t>
      </w:r>
    </w:p>
    <w:p w14:paraId="59C55AF8" w14:textId="77777777" w:rsidR="00613F87" w:rsidRPr="008B1377" w:rsidRDefault="00613F87" w:rsidP="00D41C42">
      <w:pPr>
        <w:spacing w:line="240" w:lineRule="auto"/>
        <w:rPr>
          <w:b/>
        </w:rPr>
      </w:pPr>
      <w:r w:rsidRPr="008B1377">
        <w:rPr>
          <w:b/>
        </w:rPr>
        <w:t>NEN ISO 23081</w:t>
      </w:r>
      <w:r w:rsidR="002A327F" w:rsidRPr="008B1377">
        <w:rPr>
          <w:b/>
        </w:rPr>
        <w:t xml:space="preserve"> en TMLO (toepassingsprofiel metadata lagere overheden)</w:t>
      </w:r>
    </w:p>
    <w:p w14:paraId="033FCC44" w14:textId="77777777" w:rsidR="00A76DA0" w:rsidRPr="008B1377" w:rsidRDefault="002A327F" w:rsidP="00D41C42">
      <w:pPr>
        <w:spacing w:after="360" w:line="240" w:lineRule="auto"/>
      </w:pPr>
      <w:r w:rsidRPr="008B1377">
        <w:t xml:space="preserve">De NEN ISO 23081 betreft concepten en eisen voor metadata. Het TMLO geeft een </w:t>
      </w:r>
      <w:r w:rsidR="00A76DA0" w:rsidRPr="008B1377">
        <w:t>praktische</w:t>
      </w:r>
      <w:r w:rsidRPr="008B1377">
        <w:t xml:space="preserve"> uitwerking daarvan welke weer specifiek gemaakt dient te worden voor organisaties. </w:t>
      </w:r>
    </w:p>
    <w:p w14:paraId="418BFCF5" w14:textId="77777777" w:rsidR="00A76DA0" w:rsidRPr="008B1377" w:rsidRDefault="00A76DA0" w:rsidP="00D41C42">
      <w:pPr>
        <w:spacing w:after="120" w:line="240" w:lineRule="auto"/>
        <w:rPr>
          <w:u w:val="single"/>
        </w:rPr>
      </w:pPr>
      <w:r w:rsidRPr="008B1377">
        <w:rPr>
          <w:u w:val="single"/>
        </w:rPr>
        <w:t>Referentie-architectuur</w:t>
      </w:r>
    </w:p>
    <w:p w14:paraId="32741BF3" w14:textId="77777777" w:rsidR="00567BD0" w:rsidRPr="008B1377" w:rsidRDefault="00567BD0" w:rsidP="00D41C42">
      <w:pPr>
        <w:spacing w:line="240" w:lineRule="auto"/>
        <w:rPr>
          <w:b/>
        </w:rPr>
      </w:pPr>
      <w:r w:rsidRPr="008B1377">
        <w:rPr>
          <w:b/>
        </w:rPr>
        <w:t>NORA</w:t>
      </w:r>
      <w:r w:rsidR="00A76DA0" w:rsidRPr="008B1377">
        <w:rPr>
          <w:b/>
        </w:rPr>
        <w:t xml:space="preserve"> </w:t>
      </w:r>
      <w:r w:rsidR="0027753F" w:rsidRPr="008B1377">
        <w:rPr>
          <w:b/>
        </w:rPr>
        <w:t>(</w:t>
      </w:r>
      <w:r w:rsidR="003F2AC4" w:rsidRPr="008B1377">
        <w:rPr>
          <w:b/>
        </w:rPr>
        <w:t>Nederlandse Overheid referentiearchitectuur</w:t>
      </w:r>
      <w:r w:rsidR="0027753F" w:rsidRPr="008B1377">
        <w:rPr>
          <w:b/>
        </w:rPr>
        <w:t>)</w:t>
      </w:r>
    </w:p>
    <w:p w14:paraId="2B60F4B2" w14:textId="77777777" w:rsidR="0027753F" w:rsidRPr="008B1377" w:rsidRDefault="0027753F" w:rsidP="00D41C42">
      <w:pPr>
        <w:spacing w:after="120" w:line="240" w:lineRule="auto"/>
      </w:pPr>
      <w:r w:rsidRPr="008B1377">
        <w:t xml:space="preserve">Het bestaat uit een raamwerk van beleidskaders, principes, standaarden, bouwstenen en een begrippenkader voor de architectuur van de informatievoorziening van </w:t>
      </w:r>
      <w:r w:rsidR="00A76DA0" w:rsidRPr="008B1377">
        <w:t>Nederlandse</w:t>
      </w:r>
      <w:r w:rsidRPr="008B1377">
        <w:t xml:space="preserve"> overheden. </w:t>
      </w:r>
    </w:p>
    <w:p w14:paraId="05DFC5D3" w14:textId="38DD7E84" w:rsidR="00567BD0" w:rsidRPr="008B1377" w:rsidRDefault="0027753F" w:rsidP="00D41C42">
      <w:pPr>
        <w:spacing w:after="120" w:line="240" w:lineRule="auto"/>
      </w:pPr>
      <w:r w:rsidRPr="008B1377">
        <w:t xml:space="preserve">De provinciale verfijning van de NORA is uitgewerkt in de </w:t>
      </w:r>
      <w:r w:rsidRPr="008B1377">
        <w:rPr>
          <w:b/>
        </w:rPr>
        <w:t xml:space="preserve">PETRA (Provinciale </w:t>
      </w:r>
      <w:proofErr w:type="spellStart"/>
      <w:r w:rsidRPr="008B1377">
        <w:rPr>
          <w:b/>
        </w:rPr>
        <w:t>enterprise</w:t>
      </w:r>
      <w:proofErr w:type="spellEnd"/>
      <w:r w:rsidRPr="008B1377">
        <w:rPr>
          <w:b/>
        </w:rPr>
        <w:t xml:space="preserve"> architectuur)</w:t>
      </w:r>
    </w:p>
    <w:p w14:paraId="74B4D8DC" w14:textId="77777777" w:rsidR="00613F87" w:rsidRPr="008B1377" w:rsidRDefault="009623EC" w:rsidP="00D41C42">
      <w:pPr>
        <w:pStyle w:val="Kop2"/>
        <w:spacing w:line="240" w:lineRule="auto"/>
      </w:pPr>
      <w:bookmarkStart w:id="53" w:name="_Toc64982960"/>
      <w:r w:rsidRPr="008B1377">
        <w:t>Veel gebruikte a</w:t>
      </w:r>
      <w:r w:rsidR="00A419D4" w:rsidRPr="008B1377">
        <w:t>fkortingen en b</w:t>
      </w:r>
      <w:r w:rsidR="00F00B4C" w:rsidRPr="008B1377">
        <w:t>egrip</w:t>
      </w:r>
      <w:r w:rsidR="00A419D4" w:rsidRPr="008B1377">
        <w:t>pen</w:t>
      </w:r>
      <w:bookmarkEnd w:id="53"/>
    </w:p>
    <w:p w14:paraId="58F06C60" w14:textId="77777777" w:rsidR="00083E98" w:rsidRPr="008B1377" w:rsidRDefault="00083E98" w:rsidP="00D41C42">
      <w:pPr>
        <w:spacing w:line="240" w:lineRule="auto"/>
      </w:pPr>
    </w:p>
    <w:p w14:paraId="1A7A93D7" w14:textId="77777777" w:rsidR="00F1229C" w:rsidRPr="008B1377" w:rsidRDefault="00F1229C" w:rsidP="00D41C42">
      <w:pPr>
        <w:pStyle w:val="Lijstalinea"/>
        <w:numPr>
          <w:ilvl w:val="0"/>
          <w:numId w:val="35"/>
        </w:numPr>
        <w:spacing w:line="240" w:lineRule="auto"/>
        <w:ind w:left="357" w:hanging="357"/>
      </w:pPr>
      <w:r w:rsidRPr="008B1377">
        <w:t xml:space="preserve">Informatievoorziening: het geheel van de inzet van mensen, middelen, processen, procedures, systemen en beleid om ervoor te zorgen dat in de informatie van een organisatie wordt voorzien.  </w:t>
      </w:r>
    </w:p>
    <w:p w14:paraId="6B866756" w14:textId="77777777" w:rsidR="00F1229C" w:rsidRPr="008B1377" w:rsidRDefault="00F1229C" w:rsidP="00D41C42">
      <w:pPr>
        <w:pStyle w:val="Lijstalinea"/>
        <w:numPr>
          <w:ilvl w:val="0"/>
          <w:numId w:val="35"/>
        </w:numPr>
        <w:spacing w:line="240" w:lineRule="auto"/>
        <w:ind w:left="357" w:hanging="357"/>
      </w:pPr>
      <w:r w:rsidRPr="008B1377">
        <w:t xml:space="preserve">Informatiestrategie: een </w:t>
      </w:r>
      <w:r w:rsidR="009623EC" w:rsidRPr="008B1377">
        <w:t>ietwat</w:t>
      </w:r>
      <w:r w:rsidRPr="008B1377">
        <w:t xml:space="preserve"> abstracte zienswijze op de samenhang binnen de informatievoorziening</w:t>
      </w:r>
    </w:p>
    <w:p w14:paraId="1E372BFB" w14:textId="77777777" w:rsidR="00F1229C" w:rsidRPr="008B1377" w:rsidRDefault="00F1229C" w:rsidP="00D41C42">
      <w:pPr>
        <w:pStyle w:val="Lijstalinea"/>
        <w:numPr>
          <w:ilvl w:val="0"/>
          <w:numId w:val="35"/>
        </w:numPr>
        <w:spacing w:line="240" w:lineRule="auto"/>
        <w:ind w:left="357" w:hanging="357"/>
      </w:pPr>
      <w:r w:rsidRPr="008B1377">
        <w:t xml:space="preserve">Informatiehuishouding: </w:t>
      </w:r>
      <w:r w:rsidR="00AC5EC7" w:rsidRPr="008B1377">
        <w:t xml:space="preserve">Het totaal aan regels en voorzieningen gericht op de informatiestromen en –opslag of archivering ter ondersteuning van de primaire processen (volgens NORA) </w:t>
      </w:r>
    </w:p>
    <w:p w14:paraId="459EF8A7" w14:textId="77777777" w:rsidR="00AC5EC7" w:rsidRPr="008B1377" w:rsidRDefault="00AC5EC7" w:rsidP="00D41C42">
      <w:pPr>
        <w:pStyle w:val="Lijstalinea"/>
        <w:numPr>
          <w:ilvl w:val="0"/>
          <w:numId w:val="35"/>
        </w:numPr>
        <w:spacing w:line="240" w:lineRule="auto"/>
        <w:ind w:left="357" w:hanging="357"/>
      </w:pPr>
      <w:r w:rsidRPr="008B1377">
        <w:t>IV:</w:t>
      </w:r>
      <w:r w:rsidR="009623EC" w:rsidRPr="008B1377">
        <w:t xml:space="preserve"> afkorting voor</w:t>
      </w:r>
      <w:r w:rsidRPr="008B1377">
        <w:t xml:space="preserve"> informatievoorziening</w:t>
      </w:r>
    </w:p>
    <w:p w14:paraId="23A72072" w14:textId="11BE574B" w:rsidR="00AC5EC7" w:rsidRPr="008B1377" w:rsidRDefault="00AC5EC7" w:rsidP="00D41C42">
      <w:pPr>
        <w:pStyle w:val="Lijstalinea"/>
        <w:numPr>
          <w:ilvl w:val="0"/>
          <w:numId w:val="35"/>
        </w:numPr>
        <w:spacing w:line="240" w:lineRule="auto"/>
        <w:ind w:left="357" w:hanging="357"/>
      </w:pPr>
      <w:r w:rsidRPr="008B1377">
        <w:t>Informatie-architectuur:</w:t>
      </w:r>
      <w:r w:rsidR="009623EC" w:rsidRPr="008B1377">
        <w:t xml:space="preserve"> </w:t>
      </w:r>
      <w:r w:rsidR="009623EC" w:rsidRPr="008B1377">
        <w:rPr>
          <w:rStyle w:val="tgc"/>
          <w:rFonts w:cs="Arial"/>
          <w:color w:val="222222"/>
        </w:rPr>
        <w:t xml:space="preserve">beschrijft de inhoudelijke relaties en samenhang tussen toepassingen en gegevensverzamelingen onderling. Hiermee worden de relaties met </w:t>
      </w:r>
      <w:r w:rsidR="009623EC" w:rsidRPr="008B1377">
        <w:rPr>
          <w:rStyle w:val="tgc"/>
          <w:rFonts w:cs="Arial"/>
          <w:b/>
          <w:bCs/>
          <w:color w:val="222222"/>
        </w:rPr>
        <w:t>informatie</w:t>
      </w:r>
      <w:r w:rsidR="009623EC" w:rsidRPr="008B1377">
        <w:rPr>
          <w:rStyle w:val="tgc"/>
          <w:rFonts w:cs="Arial"/>
          <w:color w:val="222222"/>
        </w:rPr>
        <w:t xml:space="preserve"> en communicatie als bedrijfsmiddelen/productiefactoren van een organisatie inzichtelijk</w:t>
      </w:r>
      <w:r w:rsidR="00987842" w:rsidRPr="008B1377">
        <w:rPr>
          <w:rStyle w:val="tgc"/>
          <w:rFonts w:cs="Arial"/>
          <w:color w:val="222222"/>
        </w:rPr>
        <w:t>.</w:t>
      </w:r>
    </w:p>
    <w:p w14:paraId="5D948A4E" w14:textId="77777777" w:rsidR="00F1229C" w:rsidRPr="008B1377" w:rsidRDefault="00F1229C" w:rsidP="00D41C42">
      <w:pPr>
        <w:pStyle w:val="Lijstalinea"/>
        <w:numPr>
          <w:ilvl w:val="0"/>
          <w:numId w:val="35"/>
        </w:numPr>
        <w:spacing w:line="240" w:lineRule="auto"/>
        <w:ind w:left="357" w:hanging="357"/>
      </w:pPr>
      <w:r w:rsidRPr="008B1377">
        <w:t xml:space="preserve">Substitutie: het onder voorwaarden vervangen van papieren archiefbescheiden voor digitale reproducties, waarbij het papieren origineel vernietigd wordt. </w:t>
      </w:r>
    </w:p>
    <w:p w14:paraId="268ACAD3" w14:textId="77777777" w:rsidR="00F1229C" w:rsidRPr="008B1377" w:rsidRDefault="00F1229C" w:rsidP="00D41C42">
      <w:pPr>
        <w:pStyle w:val="Lijstalinea"/>
        <w:numPr>
          <w:ilvl w:val="0"/>
          <w:numId w:val="35"/>
        </w:numPr>
        <w:spacing w:line="240" w:lineRule="auto"/>
        <w:ind w:left="357" w:hanging="357"/>
      </w:pPr>
      <w:r w:rsidRPr="008B1377">
        <w:t xml:space="preserve">Selectielijst: een overzicht van handelingen waarbij een bepaalde bewaartermijn voor de bijbehorende procesinformatie geldt. </w:t>
      </w:r>
    </w:p>
    <w:p w14:paraId="3593B720" w14:textId="594473F1" w:rsidR="00F1229C" w:rsidRPr="008B1377" w:rsidRDefault="00F1229C" w:rsidP="00D41C42">
      <w:pPr>
        <w:pStyle w:val="Lijstalinea"/>
        <w:numPr>
          <w:ilvl w:val="0"/>
          <w:numId w:val="35"/>
        </w:numPr>
        <w:spacing w:line="240" w:lineRule="auto"/>
        <w:ind w:left="357" w:hanging="357"/>
      </w:pPr>
      <w:bookmarkStart w:id="54" w:name="_Hlk504376873"/>
      <w:r w:rsidRPr="008B1377">
        <w:t>Metadata</w:t>
      </w:r>
      <w:r w:rsidR="00755B89" w:rsidRPr="008B1377">
        <w:t>-</w:t>
      </w:r>
      <w:r w:rsidRPr="008B1377">
        <w:t xml:space="preserve">schema: een </w:t>
      </w:r>
      <w:r w:rsidR="00987842" w:rsidRPr="008B1377">
        <w:t xml:space="preserve">vastgestelde </w:t>
      </w:r>
      <w:r w:rsidR="00E61B48" w:rsidRPr="008B1377">
        <w:t>tabel met toe te passen labels</w:t>
      </w:r>
      <w:r w:rsidRPr="008B1377">
        <w:t xml:space="preserve"> van informatie.</w:t>
      </w:r>
      <w:r w:rsidR="001B5302" w:rsidRPr="008B1377">
        <w:t xml:space="preserve"> </w:t>
      </w:r>
      <w:r w:rsidR="00E61B48" w:rsidRPr="008B1377">
        <w:t xml:space="preserve">Deze labels (metadata) geven een beschrijving van de context, structuur en inhoud van informatie. </w:t>
      </w:r>
      <w:r w:rsidR="00987842" w:rsidRPr="008B1377">
        <w:t xml:space="preserve">Toepassing van metadata conform het schema zorgt voor eenduidigheid en vindbaarheid van informatie in systemen. Ook levert het </w:t>
      </w:r>
      <w:r w:rsidR="00E61B48" w:rsidRPr="008B1377">
        <w:t>verantwoordingsinformatie</w:t>
      </w:r>
      <w:r w:rsidR="00987842" w:rsidRPr="008B1377">
        <w:t xml:space="preserve">. </w:t>
      </w:r>
    </w:p>
    <w:bookmarkEnd w:id="54"/>
    <w:p w14:paraId="7EE5227C" w14:textId="77777777" w:rsidR="00F1229C" w:rsidRPr="008B1377" w:rsidRDefault="009623EC" w:rsidP="00D41C42">
      <w:pPr>
        <w:pStyle w:val="Lijstalinea"/>
        <w:numPr>
          <w:ilvl w:val="0"/>
          <w:numId w:val="35"/>
        </w:numPr>
        <w:spacing w:line="240" w:lineRule="auto"/>
        <w:ind w:left="357" w:hanging="357"/>
      </w:pPr>
      <w:r w:rsidRPr="008B1377">
        <w:t>Record management</w:t>
      </w:r>
      <w:r w:rsidR="00F1229C" w:rsidRPr="008B1377">
        <w:t>: digitaal informatie en archiefbeheer.</w:t>
      </w:r>
    </w:p>
    <w:p w14:paraId="3768E369" w14:textId="77777777" w:rsidR="00352897" w:rsidRPr="008B1377" w:rsidRDefault="00352897" w:rsidP="00D41C42">
      <w:pPr>
        <w:pStyle w:val="Lijstalinea"/>
        <w:numPr>
          <w:ilvl w:val="0"/>
          <w:numId w:val="35"/>
        </w:numPr>
        <w:spacing w:line="240" w:lineRule="auto"/>
        <w:ind w:left="357" w:hanging="357"/>
      </w:pPr>
      <w:r w:rsidRPr="008B1377">
        <w:t xml:space="preserve">PSA: </w:t>
      </w:r>
      <w:r w:rsidR="009623EC" w:rsidRPr="008B1377">
        <w:t xml:space="preserve">afkorting voor </w:t>
      </w:r>
      <w:r w:rsidRPr="008B1377">
        <w:t xml:space="preserve">Project Start Architectuur. </w:t>
      </w:r>
      <w:r w:rsidR="00F1229C" w:rsidRPr="008B1377">
        <w:t xml:space="preserve">Dit proces zorgt voor kaders voor- en duidelijkheid over een wijziging in de informatievoorziening die gevolgen heeft voor de informatiearchitectuur. </w:t>
      </w:r>
    </w:p>
    <w:p w14:paraId="4DE9106E" w14:textId="2E882898" w:rsidR="00352897" w:rsidRPr="008B1377" w:rsidRDefault="00352897" w:rsidP="00D41C42">
      <w:pPr>
        <w:pStyle w:val="Lijstalinea"/>
        <w:numPr>
          <w:ilvl w:val="0"/>
          <w:numId w:val="35"/>
        </w:numPr>
        <w:spacing w:line="240" w:lineRule="auto"/>
        <w:ind w:left="357" w:hanging="357"/>
      </w:pPr>
      <w:r w:rsidRPr="008B1377">
        <w:rPr>
          <w:lang w:val="en-US"/>
        </w:rPr>
        <w:lastRenderedPageBreak/>
        <w:t xml:space="preserve">RACI: </w:t>
      </w:r>
      <w:proofErr w:type="spellStart"/>
      <w:r w:rsidRPr="008B1377">
        <w:rPr>
          <w:lang w:val="en-US"/>
        </w:rPr>
        <w:t>afkorting</w:t>
      </w:r>
      <w:proofErr w:type="spellEnd"/>
      <w:r w:rsidRPr="008B1377">
        <w:rPr>
          <w:lang w:val="en-US"/>
        </w:rPr>
        <w:t xml:space="preserve"> </w:t>
      </w:r>
      <w:proofErr w:type="spellStart"/>
      <w:r w:rsidRPr="008B1377">
        <w:rPr>
          <w:lang w:val="en-US"/>
        </w:rPr>
        <w:t>voor</w:t>
      </w:r>
      <w:proofErr w:type="spellEnd"/>
      <w:r w:rsidRPr="008B1377">
        <w:rPr>
          <w:lang w:val="en-US"/>
        </w:rPr>
        <w:t xml:space="preserve"> Responsible, Accountable, Consulted, Informed. </w:t>
      </w:r>
      <w:r w:rsidRPr="008B1377">
        <w:t>Met deze begrippen wordt in een procesbeschrijving aangegeven vanuit welke hoedanigheid procesdeelnemers een bijdrage leveren aan een proces</w:t>
      </w:r>
      <w:r w:rsidR="00987842" w:rsidRPr="008B1377">
        <w:t>.</w:t>
      </w:r>
    </w:p>
    <w:p w14:paraId="01282B46" w14:textId="53713F97" w:rsidR="005E2F83" w:rsidRPr="008B1377" w:rsidRDefault="005E2F83" w:rsidP="00D41C42">
      <w:pPr>
        <w:pStyle w:val="Lijstalinea"/>
        <w:numPr>
          <w:ilvl w:val="0"/>
          <w:numId w:val="35"/>
        </w:numPr>
        <w:spacing w:line="240" w:lineRule="auto"/>
        <w:ind w:left="357" w:hanging="357"/>
        <w:rPr>
          <w:lang w:val="en"/>
        </w:rPr>
      </w:pPr>
      <w:r w:rsidRPr="008B1377">
        <w:t xml:space="preserve">ITIL: </w:t>
      </w:r>
      <w:r w:rsidR="009623EC" w:rsidRPr="008B1377">
        <w:t xml:space="preserve">afkorting voor </w:t>
      </w:r>
      <w:r w:rsidRPr="008B1377">
        <w:rPr>
          <w:lang w:val="en"/>
        </w:rPr>
        <w:t>Information Technology Infrastructure Library</w:t>
      </w:r>
      <w:r w:rsidR="00987842" w:rsidRPr="008B1377">
        <w:rPr>
          <w:lang w:val="en"/>
        </w:rPr>
        <w:t>.</w:t>
      </w:r>
    </w:p>
    <w:p w14:paraId="7D10D1B3" w14:textId="268964DF" w:rsidR="005E2F83" w:rsidRPr="008B1377" w:rsidRDefault="005E2F83" w:rsidP="00D41C42">
      <w:pPr>
        <w:pStyle w:val="Lijstalinea"/>
        <w:numPr>
          <w:ilvl w:val="0"/>
          <w:numId w:val="35"/>
        </w:numPr>
        <w:spacing w:line="240" w:lineRule="auto"/>
        <w:ind w:left="357" w:hanging="357"/>
      </w:pPr>
      <w:proofErr w:type="spellStart"/>
      <w:r w:rsidRPr="008B1377">
        <w:t>BiSL</w:t>
      </w:r>
      <w:proofErr w:type="spellEnd"/>
      <w:r w:rsidRPr="008B1377">
        <w:t xml:space="preserve">: </w:t>
      </w:r>
      <w:r w:rsidR="009623EC" w:rsidRPr="008B1377">
        <w:t xml:space="preserve">een </w:t>
      </w:r>
      <w:proofErr w:type="spellStart"/>
      <w:r w:rsidRPr="008B1377">
        <w:t>framework</w:t>
      </w:r>
      <w:proofErr w:type="spellEnd"/>
      <w:r w:rsidRPr="008B1377">
        <w:t xml:space="preserve"> voor Business Informatie management</w:t>
      </w:r>
      <w:r w:rsidR="00987842" w:rsidRPr="008B1377">
        <w:t>.</w:t>
      </w:r>
    </w:p>
    <w:sectPr w:rsidR="005E2F83" w:rsidRPr="008B1377" w:rsidSect="00A32F56">
      <w:type w:val="oddPage"/>
      <w:pgSz w:w="11906" w:h="16838" w:code="9"/>
      <w:pgMar w:top="2127" w:right="1525" w:bottom="1077" w:left="2654" w:header="198" w:footer="65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21C1E" w14:textId="77777777" w:rsidR="006B2D11" w:rsidRDefault="006B2D11">
      <w:r>
        <w:separator/>
      </w:r>
    </w:p>
    <w:p w14:paraId="158D61AD" w14:textId="77777777" w:rsidR="006B2D11" w:rsidRDefault="006B2D11"/>
    <w:p w14:paraId="6BE8D4DB" w14:textId="77777777" w:rsidR="006B2D11" w:rsidRDefault="006B2D11"/>
  </w:endnote>
  <w:endnote w:type="continuationSeparator" w:id="0">
    <w:p w14:paraId="0DE8DC7A" w14:textId="77777777" w:rsidR="006B2D11" w:rsidRDefault="006B2D11">
      <w:r>
        <w:continuationSeparator/>
      </w:r>
    </w:p>
    <w:p w14:paraId="395EDF2E" w14:textId="77777777" w:rsidR="006B2D11" w:rsidRDefault="006B2D11"/>
    <w:p w14:paraId="07A4BDA8" w14:textId="77777777" w:rsidR="006B2D11" w:rsidRDefault="006B2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6260"/>
      <w:gridCol w:w="1392"/>
    </w:tblGrid>
    <w:tr w:rsidR="00D41C42" w14:paraId="0FA457A7" w14:textId="77777777">
      <w:trPr>
        <w:trHeight w:hRule="exact" w:val="240"/>
      </w:trPr>
      <w:tc>
        <w:tcPr>
          <w:tcW w:w="6260" w:type="dxa"/>
          <w:shd w:val="clear" w:color="auto" w:fill="auto"/>
        </w:tcPr>
        <w:p w14:paraId="02888F0B" w14:textId="72F2B7EC" w:rsidR="00D41C42" w:rsidRPr="00C12E90" w:rsidRDefault="00D41C42" w:rsidP="00701DD0">
          <w:r w:rsidRPr="006B1455">
            <w:t xml:space="preserve">Pagina </w:t>
          </w:r>
          <w:r w:rsidRPr="006B1455">
            <w:fldChar w:fldCharType="begin"/>
          </w:r>
          <w:r w:rsidRPr="006B1455">
            <w:instrText xml:space="preserve"> PAGE   \* MERGEFORMAT </w:instrText>
          </w:r>
          <w:r w:rsidRPr="006B1455">
            <w:fldChar w:fldCharType="separate"/>
          </w:r>
          <w:r>
            <w:rPr>
              <w:noProof/>
            </w:rPr>
            <w:t>1</w:t>
          </w:r>
          <w:r w:rsidRPr="006B1455">
            <w:fldChar w:fldCharType="end"/>
          </w:r>
          <w:r w:rsidRPr="006B1455">
            <w:t xml:space="preserve"> van </w:t>
          </w:r>
          <w:fldSimple w:instr="NUMPAGES   \* MERGEFORMAT">
            <w:r>
              <w:rPr>
                <w:noProof/>
              </w:rPr>
              <w:t>35</w:t>
            </w:r>
          </w:fldSimple>
        </w:p>
      </w:tc>
      <w:tc>
        <w:tcPr>
          <w:tcW w:w="1392" w:type="dxa"/>
        </w:tcPr>
        <w:p w14:paraId="4BE447D3" w14:textId="77777777" w:rsidR="00D41C42" w:rsidRPr="006B1455" w:rsidRDefault="00D41C42" w:rsidP="00B523B1">
          <w:pPr>
            <w:jc w:val="right"/>
          </w:pPr>
        </w:p>
      </w:tc>
    </w:tr>
  </w:tbl>
  <w:p w14:paraId="2EC35EA9" w14:textId="77777777" w:rsidR="00D41C42" w:rsidRPr="00BC3B53" w:rsidRDefault="00D41C42" w:rsidP="00B523B1">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028961"/>
      <w:docPartObj>
        <w:docPartGallery w:val="Page Numbers (Bottom of Page)"/>
        <w:docPartUnique/>
      </w:docPartObj>
    </w:sdtPr>
    <w:sdtEndPr/>
    <w:sdtContent>
      <w:p w14:paraId="3798400A" w14:textId="245E377D" w:rsidR="00D41C42" w:rsidRDefault="00D41C42">
        <w:pPr>
          <w:pStyle w:val="Voettekst"/>
          <w:jc w:val="center"/>
        </w:pPr>
        <w:r>
          <w:fldChar w:fldCharType="begin"/>
        </w:r>
        <w:r>
          <w:instrText>PAGE   \* MERGEFORMAT</w:instrText>
        </w:r>
        <w:r>
          <w:fldChar w:fldCharType="separate"/>
        </w:r>
        <w:r>
          <w:rPr>
            <w:noProof/>
          </w:rPr>
          <w:t>1</w:t>
        </w:r>
        <w:r>
          <w:fldChar w:fldCharType="end"/>
        </w:r>
        <w:r>
          <w:t xml:space="preserve"> van </w:t>
        </w:r>
        <w:fldSimple w:instr="NUMPAGES   \* MERGEFORMAT">
          <w:r>
            <w:rPr>
              <w:noProof/>
            </w:rPr>
            <w:t>35</w:t>
          </w:r>
        </w:fldSimple>
      </w:p>
    </w:sdtContent>
  </w:sdt>
  <w:p w14:paraId="66DD9712" w14:textId="77777777" w:rsidR="00D41C42" w:rsidRPr="004E078B" w:rsidRDefault="00D41C4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A2560" w14:textId="77777777" w:rsidR="00D41C42" w:rsidRPr="00BC3B53" w:rsidRDefault="00D41C42" w:rsidP="0039744C">
    <w:pPr>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6260"/>
      <w:gridCol w:w="1392"/>
    </w:tblGrid>
    <w:tr w:rsidR="00D41C42" w14:paraId="0F5AA7FF" w14:textId="77777777">
      <w:trPr>
        <w:trHeight w:hRule="exact" w:val="240"/>
      </w:trPr>
      <w:tc>
        <w:tcPr>
          <w:tcW w:w="6260" w:type="dxa"/>
          <w:shd w:val="clear" w:color="auto" w:fill="auto"/>
        </w:tcPr>
        <w:p w14:paraId="096E501F" w14:textId="6C714BD0" w:rsidR="00D41C42" w:rsidRPr="00C12E90" w:rsidRDefault="00D41C42" w:rsidP="004B7A11">
          <w:r w:rsidRPr="006B1455">
            <w:t xml:space="preserve">Pagina </w:t>
          </w:r>
          <w:r w:rsidRPr="006B1455">
            <w:fldChar w:fldCharType="begin"/>
          </w:r>
          <w:r w:rsidRPr="006B1455">
            <w:instrText xml:space="preserve"> PAGE   \* MERGEFORMAT </w:instrText>
          </w:r>
          <w:r w:rsidRPr="006B1455">
            <w:fldChar w:fldCharType="separate"/>
          </w:r>
          <w:r>
            <w:t>8</w:t>
          </w:r>
          <w:r w:rsidRPr="006B1455">
            <w:fldChar w:fldCharType="end"/>
          </w:r>
          <w:r w:rsidRPr="006B1455">
            <w:t xml:space="preserve"> van </w:t>
          </w:r>
          <w:fldSimple w:instr="NUMPAGES   \* MERGEFORMAT">
            <w:r>
              <w:rPr>
                <w:noProof/>
              </w:rPr>
              <w:t>35</w:t>
            </w:r>
          </w:fldSimple>
        </w:p>
      </w:tc>
      <w:tc>
        <w:tcPr>
          <w:tcW w:w="1392" w:type="dxa"/>
        </w:tcPr>
        <w:p w14:paraId="68047DCA" w14:textId="77777777" w:rsidR="00D41C42" w:rsidRPr="006B1455" w:rsidRDefault="00D41C42" w:rsidP="00B523B1">
          <w:pPr>
            <w:jc w:val="right"/>
          </w:pPr>
        </w:p>
      </w:tc>
    </w:tr>
  </w:tbl>
  <w:p w14:paraId="23EB8D8C" w14:textId="77777777" w:rsidR="00D41C42" w:rsidRPr="00BC3B53" w:rsidRDefault="00D41C42" w:rsidP="00B523B1">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9BA07" w14:textId="77777777" w:rsidR="006B2D11" w:rsidRPr="00B35331" w:rsidRDefault="006B2D11" w:rsidP="00B35331">
      <w:pPr>
        <w:pStyle w:val="Voettekst"/>
      </w:pPr>
    </w:p>
  </w:footnote>
  <w:footnote w:type="continuationSeparator" w:id="0">
    <w:p w14:paraId="0443D3CA" w14:textId="77777777" w:rsidR="006B2D11" w:rsidRDefault="006B2D11">
      <w:r>
        <w:continuationSeparator/>
      </w:r>
    </w:p>
    <w:p w14:paraId="3920A04F" w14:textId="77777777" w:rsidR="006B2D11" w:rsidRDefault="006B2D11"/>
    <w:p w14:paraId="33B2CBD2" w14:textId="77777777" w:rsidR="006B2D11" w:rsidRDefault="006B2D11"/>
  </w:footnote>
  <w:footnote w:id="1">
    <w:p w14:paraId="4653E74D" w14:textId="77777777" w:rsidR="00D41C42" w:rsidRDefault="00D41C42" w:rsidP="00D366B0">
      <w:pPr>
        <w:pStyle w:val="Voetnoottekst"/>
      </w:pPr>
      <w:r>
        <w:rPr>
          <w:rStyle w:val="Voetnootmarkering"/>
        </w:rPr>
        <w:footnoteRef/>
      </w:r>
      <w:r>
        <w:t xml:space="preserve"> Uiteraard wordt hier uitgegaan van de voordelen van een geïmplementeerd informatiebeleid. Het document an sich lost niets op. </w:t>
      </w:r>
    </w:p>
  </w:footnote>
  <w:footnote w:id="2">
    <w:p w14:paraId="7E3FF8B4" w14:textId="084F35E0" w:rsidR="00D41C42" w:rsidRDefault="00D41C42">
      <w:pPr>
        <w:pStyle w:val="Voetnoottekst"/>
      </w:pPr>
      <w:r>
        <w:rPr>
          <w:rStyle w:val="Voetnootmarkering"/>
        </w:rPr>
        <w:footnoteRef/>
      </w:r>
      <w:r>
        <w:t xml:space="preserve"> H</w:t>
      </w:r>
      <w:bookmarkStart w:id="19" w:name="_Hlk507067127"/>
      <w:r>
        <w:t xml:space="preserve">et Archiefbeleid gaat in op de kader voor het papieren informatie- en archiefbeheer. Het Archiefbeleid maakt integraal deel uit van het Handboek kwaliteit voor het informatie- en archiefbeheer. </w:t>
      </w:r>
      <w:bookmarkEnd w:id="19"/>
    </w:p>
  </w:footnote>
  <w:footnote w:id="3">
    <w:p w14:paraId="0AEBD960" w14:textId="2CA22DB4" w:rsidR="00D41C42" w:rsidRDefault="00D41C42">
      <w:pPr>
        <w:pStyle w:val="Voetnoottekst"/>
      </w:pPr>
      <w:r>
        <w:rPr>
          <w:rStyle w:val="Voetnootmarkering"/>
        </w:rPr>
        <w:footnoteRef/>
      </w:r>
      <w:r>
        <w:t xml:space="preserve"> De bewaarstrategie beschrijft de strategie die BIJ12 hanteert om te borgen dat digitale informatie duurzaam toegankelijk blijft, zoals bijvoorbeeld in het geval van verouderde software of de uitfasering van systemen. </w:t>
      </w:r>
    </w:p>
  </w:footnote>
  <w:footnote w:id="4">
    <w:p w14:paraId="1BDD587B" w14:textId="77777777" w:rsidR="00D41C42" w:rsidRDefault="00D41C42" w:rsidP="005B2624">
      <w:pPr>
        <w:pStyle w:val="Voetnoottekst"/>
      </w:pPr>
      <w:r>
        <w:rPr>
          <w:rStyle w:val="Voetnootmarkering"/>
        </w:rPr>
        <w:footnoteRef/>
      </w:r>
      <w:r>
        <w:t xml:space="preserve"> Inzet van de aspecten van informatiesturing is afhankelijk van de volwassenheid van de organisatie en de ontwikkelingen waar de organisatie mee te maken heeft. </w:t>
      </w:r>
    </w:p>
  </w:footnote>
  <w:footnote w:id="5">
    <w:p w14:paraId="03C3DD1D" w14:textId="77777777" w:rsidR="00D41C42" w:rsidRDefault="00D41C42" w:rsidP="00BA31B7">
      <w:pPr>
        <w:pStyle w:val="Voetnoottekst"/>
      </w:pPr>
      <w:r>
        <w:rPr>
          <w:rStyle w:val="Voetnootmarkering"/>
        </w:rPr>
        <w:footnoteRef/>
      </w:r>
      <w:r>
        <w:t xml:space="preserve"> In bijlage 5.2 is een begrippenlijst opgenomen. </w:t>
      </w:r>
    </w:p>
  </w:footnote>
  <w:footnote w:id="6">
    <w:p w14:paraId="0C066280" w14:textId="77777777" w:rsidR="00D41C42" w:rsidRDefault="00D41C42" w:rsidP="00BA31B7">
      <w:pPr>
        <w:pStyle w:val="Voetnoottekst"/>
      </w:pPr>
      <w:r>
        <w:rPr>
          <w:rStyle w:val="Voetnootmarkering"/>
        </w:rPr>
        <w:footnoteRef/>
      </w:r>
      <w:r>
        <w:t xml:space="preserve"> In bijlage 5</w:t>
      </w:r>
      <w:r w:rsidRPr="00B62428">
        <w:t xml:space="preserve">.1 </w:t>
      </w:r>
      <w:r>
        <w:t xml:space="preserve">is per wet en norm een korte toelichting opgenomen. </w:t>
      </w:r>
    </w:p>
  </w:footnote>
  <w:footnote w:id="7">
    <w:p w14:paraId="6BFD8E7B" w14:textId="77777777" w:rsidR="00D41C42" w:rsidRDefault="00D41C42" w:rsidP="00D366B0">
      <w:r>
        <w:rPr>
          <w:rStyle w:val="Voetnootmarkering"/>
        </w:rPr>
        <w:footnoteRef/>
      </w:r>
      <w:r>
        <w:t xml:space="preserve"> </w:t>
      </w:r>
      <w:r w:rsidRPr="005D3E7C">
        <w:rPr>
          <w:sz w:val="16"/>
          <w:szCs w:val="16"/>
        </w:rPr>
        <w:t>KIDO staat voor handreiking Kwaliteitssysteem Informatiebeheer Decentrale Overheden</w:t>
      </w:r>
    </w:p>
  </w:footnote>
  <w:footnote w:id="8">
    <w:p w14:paraId="12221335" w14:textId="62B8D706" w:rsidR="00D41C42" w:rsidRDefault="00D41C42">
      <w:pPr>
        <w:pStyle w:val="Voetnoottekst"/>
      </w:pPr>
      <w:r>
        <w:rPr>
          <w:rStyle w:val="Voetnootmarkering"/>
        </w:rPr>
        <w:footnoteRef/>
      </w:r>
      <w:r>
        <w:t xml:space="preserve"> Algemene Verordening Gegevensbescherming</w:t>
      </w:r>
    </w:p>
  </w:footnote>
  <w:footnote w:id="9">
    <w:p w14:paraId="0B1F5CDB" w14:textId="3575C14A" w:rsidR="00D41C42" w:rsidRDefault="00D41C42">
      <w:pPr>
        <w:pStyle w:val="Voetnoottekst"/>
      </w:pPr>
      <w:r>
        <w:rPr>
          <w:rStyle w:val="Voetnootmarkering"/>
        </w:rPr>
        <w:footnoteRef/>
      </w:r>
      <w:r>
        <w:t xml:space="preserve"> Verwerken wil in dit geval zeggen: het registreren, delen of verwijderen van persoonsgegevens van natuurlijke personen.</w:t>
      </w:r>
    </w:p>
  </w:footnote>
  <w:footnote w:id="10">
    <w:p w14:paraId="10AE3984" w14:textId="77777777" w:rsidR="00D41C42" w:rsidRPr="00F40846" w:rsidRDefault="00D41C42" w:rsidP="00D366B0">
      <w:pPr>
        <w:pStyle w:val="Voetnoottekst"/>
        <w:rPr>
          <w:lang w:val="en-US"/>
        </w:rPr>
      </w:pPr>
      <w:r>
        <w:rPr>
          <w:rStyle w:val="Voetnootmarkering"/>
        </w:rPr>
        <w:footnoteRef/>
      </w:r>
      <w:r w:rsidRPr="00F40846">
        <w:rPr>
          <w:lang w:val="en-US"/>
        </w:rPr>
        <w:t xml:space="preserve"> PDCA= de cyclus van plan do check act</w:t>
      </w:r>
    </w:p>
  </w:footnote>
  <w:footnote w:id="11">
    <w:p w14:paraId="06E131B5" w14:textId="77777777" w:rsidR="00D41C42" w:rsidRDefault="00D41C42">
      <w:pPr>
        <w:pStyle w:val="Voetnoottekst"/>
      </w:pPr>
      <w:r>
        <w:rPr>
          <w:rStyle w:val="Voetnootmarkering"/>
        </w:rPr>
        <w:footnoteRef/>
      </w:r>
      <w:r>
        <w:t xml:space="preserve"> Zie paragraaf 2.1.1. voor de kerncompetenties van BIJ12.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7CF7" w14:textId="77777777" w:rsidR="00D41C42" w:rsidRDefault="00D41C42">
    <w:pPr>
      <w:pStyle w:val="Koptekst"/>
    </w:pPr>
  </w:p>
  <w:tbl>
    <w:tblPr>
      <w:tblW w:w="7520" w:type="dxa"/>
      <w:tblLayout w:type="fixed"/>
      <w:tblCellMar>
        <w:left w:w="0" w:type="dxa"/>
        <w:right w:w="0" w:type="dxa"/>
      </w:tblCellMar>
      <w:tblLook w:val="0000" w:firstRow="0" w:lastRow="0" w:firstColumn="0" w:lastColumn="0" w:noHBand="0" w:noVBand="0"/>
    </w:tblPr>
    <w:tblGrid>
      <w:gridCol w:w="7520"/>
    </w:tblGrid>
    <w:tr w:rsidR="00D41C42" w:rsidRPr="004E078B" w14:paraId="182DEABE" w14:textId="77777777">
      <w:trPr>
        <w:trHeight w:val="400"/>
      </w:trPr>
      <w:tc>
        <w:tcPr>
          <w:tcW w:w="7520" w:type="dxa"/>
          <w:shd w:val="clear" w:color="auto" w:fill="auto"/>
        </w:tcPr>
        <w:p w14:paraId="654EB977" w14:textId="77777777" w:rsidR="00D41C42" w:rsidRPr="004E078B" w:rsidRDefault="00D41C42" w:rsidP="00B523B1">
          <w:pPr>
            <w:adjustRightInd w:val="0"/>
            <w:spacing w:line="180" w:lineRule="exact"/>
          </w:pPr>
          <w:r w:rsidRPr="004E078B">
            <w:t>In bewerking | Monitoringsplan PAS | 17 december 2013</w:t>
          </w:r>
        </w:p>
      </w:tc>
    </w:tr>
  </w:tbl>
  <w:p w14:paraId="34932CB4" w14:textId="77777777" w:rsidR="00D41C42" w:rsidRDefault="00D41C42" w:rsidP="00B523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20" w:type="dxa"/>
      <w:tblLayout w:type="fixed"/>
      <w:tblCellMar>
        <w:left w:w="0" w:type="dxa"/>
        <w:right w:w="0" w:type="dxa"/>
      </w:tblCellMar>
      <w:tblLook w:val="0000" w:firstRow="0" w:lastRow="0" w:firstColumn="0" w:lastColumn="0" w:noHBand="0" w:noVBand="0"/>
    </w:tblPr>
    <w:tblGrid>
      <w:gridCol w:w="7520"/>
    </w:tblGrid>
    <w:tr w:rsidR="00D41C42" w:rsidRPr="004E078B" w14:paraId="5DB99F3B" w14:textId="77777777">
      <w:trPr>
        <w:trHeight w:val="400"/>
      </w:trPr>
      <w:tc>
        <w:tcPr>
          <w:tcW w:w="7520" w:type="dxa"/>
          <w:shd w:val="clear" w:color="auto" w:fill="auto"/>
        </w:tcPr>
        <w:p w14:paraId="219EA200" w14:textId="34C4E8DB" w:rsidR="00D41C42" w:rsidRPr="004E078B" w:rsidRDefault="00D41C42" w:rsidP="000D54E0">
          <w:bookmarkStart w:id="3" w:name="bmHeaderReport" w:colFirst="0" w:colLast="0"/>
          <w:r>
            <w:t>Informatiebeleid BIJ12 2020-2021</w:t>
          </w:r>
          <w:r w:rsidR="006F1D8B">
            <w:t xml:space="preserve"> Externe publicatie</w:t>
          </w:r>
        </w:p>
      </w:tc>
    </w:tr>
    <w:bookmarkEnd w:id="3"/>
  </w:tbl>
  <w:p w14:paraId="351E9458" w14:textId="77777777" w:rsidR="00D41C42" w:rsidRPr="004E078B" w:rsidRDefault="00D41C42"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5DAD" w14:textId="77777777" w:rsidR="00D41C42" w:rsidRDefault="00D41C4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E42B0" w14:textId="77777777" w:rsidR="00D41C42" w:rsidRDefault="00D41C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8ED"/>
    <w:multiLevelType w:val="hybridMultilevel"/>
    <w:tmpl w:val="87AAEFCE"/>
    <w:lvl w:ilvl="0" w:tplc="B3F0909A">
      <w:start w:val="1"/>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2E37AD5"/>
    <w:multiLevelType w:val="hybridMultilevel"/>
    <w:tmpl w:val="32F42D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EC5304"/>
    <w:multiLevelType w:val="hybridMultilevel"/>
    <w:tmpl w:val="2892E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3FE6963"/>
    <w:multiLevelType w:val="hybridMultilevel"/>
    <w:tmpl w:val="A7004268"/>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15137A"/>
    <w:multiLevelType w:val="hybridMultilevel"/>
    <w:tmpl w:val="816452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64A719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8604F4"/>
    <w:multiLevelType w:val="hybridMultilevel"/>
    <w:tmpl w:val="64F0B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D83C67"/>
    <w:multiLevelType w:val="hybridMultilevel"/>
    <w:tmpl w:val="1C704C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7C708BA"/>
    <w:multiLevelType w:val="hybridMultilevel"/>
    <w:tmpl w:val="0F1295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D434AC"/>
    <w:multiLevelType w:val="multilevel"/>
    <w:tmpl w:val="1826DC4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91B6640E"/>
    <w:lvl w:ilvl="0" w:tplc="0413000F">
      <w:start w:val="1"/>
      <w:numFmt w:val="bullet"/>
      <w:pStyle w:val="Lijstopsomteken"/>
      <w:lvlText w:val="•"/>
      <w:lvlJc w:val="left"/>
      <w:pPr>
        <w:tabs>
          <w:tab w:val="num" w:pos="227"/>
        </w:tabs>
        <w:ind w:left="227" w:hanging="227"/>
      </w:pPr>
      <w:rPr>
        <w:rFonts w:ascii="Verdana" w:hAnsi="Verdana" w:hint="default"/>
        <w:sz w:val="18"/>
        <w:szCs w:val="18"/>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start w:val="1"/>
      <w:numFmt w:val="bullet"/>
      <w:lvlText w:val=""/>
      <w:lvlJc w:val="left"/>
      <w:pPr>
        <w:tabs>
          <w:tab w:val="num" w:pos="2880"/>
        </w:tabs>
        <w:ind w:left="2880" w:hanging="360"/>
      </w:pPr>
      <w:rPr>
        <w:rFonts w:ascii="Symbol" w:hAnsi="Symbol" w:hint="default"/>
        <w:sz w:val="18"/>
        <w:szCs w:val="18"/>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B042B3"/>
    <w:multiLevelType w:val="hybridMultilevel"/>
    <w:tmpl w:val="153ABB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7461AE"/>
    <w:multiLevelType w:val="hybridMultilevel"/>
    <w:tmpl w:val="439889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D4A746F"/>
    <w:multiLevelType w:val="multilevel"/>
    <w:tmpl w:val="A726D33E"/>
    <w:styleLink w:val="doNummering"/>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7E018E"/>
    <w:multiLevelType w:val="hybridMultilevel"/>
    <w:tmpl w:val="91DAE6A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1441782"/>
    <w:multiLevelType w:val="hybridMultilevel"/>
    <w:tmpl w:val="0B16BF9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8146F97"/>
    <w:multiLevelType w:val="hybridMultilevel"/>
    <w:tmpl w:val="A7D08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CB74DD8"/>
    <w:multiLevelType w:val="hybridMultilevel"/>
    <w:tmpl w:val="2B363F9C"/>
    <w:lvl w:ilvl="0" w:tplc="41687DB8">
      <w:start w:val="1"/>
      <w:numFmt w:val="decimal"/>
      <w:lvlText w:val="%1."/>
      <w:lvlJc w:val="left"/>
      <w:pPr>
        <w:ind w:left="397" w:hanging="397"/>
      </w:pPr>
      <w:rPr>
        <w:rFonts w:hint="default"/>
      </w:rPr>
    </w:lvl>
    <w:lvl w:ilvl="1" w:tplc="8CC4BB5A">
      <w:start w:val="1"/>
      <w:numFmt w:val="bullet"/>
      <w:lvlText w:val=""/>
      <w:lvlJc w:val="left"/>
      <w:pPr>
        <w:ind w:left="794" w:hanging="397"/>
      </w:pPr>
      <w:rPr>
        <w:rFonts w:ascii="Symbol" w:hAnsi="Symbol" w:hint="default"/>
      </w:rPr>
    </w:lvl>
    <w:lvl w:ilvl="2" w:tplc="EEA0081C">
      <w:start w:val="1"/>
      <w:numFmt w:val="decimal"/>
      <w:lvlText w:val="%3."/>
      <w:lvlJc w:val="left"/>
      <w:pPr>
        <w:ind w:left="1191" w:hanging="397"/>
      </w:pPr>
    </w:lvl>
    <w:lvl w:ilvl="3" w:tplc="748EE8CA">
      <w:start w:val="1"/>
      <w:numFmt w:val="lowerRoman"/>
      <w:lvlText w:val="(%4)"/>
      <w:lvlJc w:val="left"/>
      <w:pPr>
        <w:ind w:left="1587" w:hanging="396"/>
      </w:pPr>
      <w:rPr>
        <w:rFonts w:hint="default"/>
      </w:rPr>
    </w:lvl>
    <w:lvl w:ilvl="4" w:tplc="35E025B8">
      <w:start w:val="1"/>
      <w:numFmt w:val="lowerLetter"/>
      <w:lvlText w:val="(%5)"/>
      <w:lvlJc w:val="left"/>
      <w:pPr>
        <w:ind w:left="1984" w:hanging="397"/>
      </w:pPr>
      <w:rPr>
        <w:rFonts w:hint="default"/>
      </w:rPr>
    </w:lvl>
    <w:lvl w:ilvl="5" w:tplc="6E4025FC">
      <w:start w:val="1"/>
      <w:numFmt w:val="lowerRoman"/>
      <w:lvlText w:val="(%6)"/>
      <w:lvlJc w:val="left"/>
      <w:pPr>
        <w:ind w:left="2381" w:hanging="397"/>
      </w:pPr>
    </w:lvl>
    <w:lvl w:ilvl="6" w:tplc="A2AE560E">
      <w:start w:val="1"/>
      <w:numFmt w:val="decimal"/>
      <w:lvlText w:val="%7."/>
      <w:lvlJc w:val="left"/>
      <w:pPr>
        <w:ind w:left="2778" w:hanging="397"/>
      </w:pPr>
      <w:rPr>
        <w:rFonts w:hint="default"/>
      </w:rPr>
    </w:lvl>
    <w:lvl w:ilvl="7" w:tplc="EDAEF06E">
      <w:start w:val="1"/>
      <w:numFmt w:val="lowerLetter"/>
      <w:lvlText w:val="%8."/>
      <w:lvlJc w:val="left"/>
      <w:pPr>
        <w:ind w:left="3175" w:hanging="397"/>
      </w:pPr>
      <w:rPr>
        <w:rFonts w:hint="default"/>
      </w:rPr>
    </w:lvl>
    <w:lvl w:ilvl="8" w:tplc="3084A8EE">
      <w:start w:val="1"/>
      <w:numFmt w:val="lowerRoman"/>
      <w:lvlText w:val="%9."/>
      <w:lvlJc w:val="left"/>
      <w:pPr>
        <w:ind w:left="3572" w:hanging="397"/>
      </w:pPr>
    </w:lvl>
  </w:abstractNum>
  <w:abstractNum w:abstractNumId="18" w15:restartNumberingAfterBreak="0">
    <w:nsid w:val="238C7C68"/>
    <w:multiLevelType w:val="hybridMultilevel"/>
    <w:tmpl w:val="CC58CE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95563D2"/>
    <w:multiLevelType w:val="hybridMultilevel"/>
    <w:tmpl w:val="808CF8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DA41F9D"/>
    <w:multiLevelType w:val="hybridMultilevel"/>
    <w:tmpl w:val="723CCAEC"/>
    <w:styleLink w:val="doOpsomming"/>
    <w:lvl w:ilvl="0" w:tplc="5B10E2BE">
      <w:start w:val="1"/>
      <w:numFmt w:val="bullet"/>
      <w:lvlText w:val=""/>
      <w:lvlJc w:val="left"/>
      <w:pPr>
        <w:tabs>
          <w:tab w:val="num" w:pos="567"/>
        </w:tabs>
        <w:ind w:left="567" w:hanging="567"/>
      </w:pPr>
      <w:rPr>
        <w:rFonts w:ascii="Symbol" w:hAnsi="Symbol" w:hint="default"/>
        <w:color w:val="auto"/>
      </w:rPr>
    </w:lvl>
    <w:lvl w:ilvl="1" w:tplc="1F6A7ED6">
      <w:start w:val="1"/>
      <w:numFmt w:val="bullet"/>
      <w:lvlText w:val=""/>
      <w:lvlJc w:val="left"/>
      <w:pPr>
        <w:tabs>
          <w:tab w:val="num" w:pos="1134"/>
        </w:tabs>
        <w:ind w:left="1134" w:hanging="567"/>
      </w:pPr>
      <w:rPr>
        <w:rFonts w:ascii="Symbol" w:hAnsi="Symbol" w:hint="default"/>
        <w:color w:val="auto"/>
      </w:rPr>
    </w:lvl>
    <w:lvl w:ilvl="2" w:tplc="3A1EF554">
      <w:start w:val="1"/>
      <w:numFmt w:val="lowerRoman"/>
      <w:lvlText w:val="%3)"/>
      <w:lvlJc w:val="left"/>
      <w:pPr>
        <w:ind w:left="1080" w:hanging="360"/>
      </w:pPr>
      <w:rPr>
        <w:rFonts w:hint="default"/>
      </w:rPr>
    </w:lvl>
    <w:lvl w:ilvl="3" w:tplc="3F2ABD10">
      <w:start w:val="1"/>
      <w:numFmt w:val="decimal"/>
      <w:lvlText w:val="(%4)"/>
      <w:lvlJc w:val="left"/>
      <w:pPr>
        <w:ind w:left="1440" w:hanging="360"/>
      </w:pPr>
      <w:rPr>
        <w:rFonts w:hint="default"/>
      </w:rPr>
    </w:lvl>
    <w:lvl w:ilvl="4" w:tplc="8826A816">
      <w:start w:val="1"/>
      <w:numFmt w:val="lowerLetter"/>
      <w:lvlText w:val="(%5)"/>
      <w:lvlJc w:val="left"/>
      <w:pPr>
        <w:ind w:left="1800" w:hanging="360"/>
      </w:pPr>
      <w:rPr>
        <w:rFonts w:hint="default"/>
      </w:rPr>
    </w:lvl>
    <w:lvl w:ilvl="5" w:tplc="F0C44B18">
      <w:start w:val="1"/>
      <w:numFmt w:val="lowerRoman"/>
      <w:lvlText w:val="(%6)"/>
      <w:lvlJc w:val="left"/>
      <w:pPr>
        <w:ind w:left="2160" w:hanging="360"/>
      </w:pPr>
      <w:rPr>
        <w:rFonts w:hint="default"/>
      </w:rPr>
    </w:lvl>
    <w:lvl w:ilvl="6" w:tplc="5686C6C0">
      <w:start w:val="1"/>
      <w:numFmt w:val="decimal"/>
      <w:lvlText w:val="%7."/>
      <w:lvlJc w:val="left"/>
      <w:pPr>
        <w:ind w:left="2520" w:hanging="360"/>
      </w:pPr>
      <w:rPr>
        <w:rFonts w:hint="default"/>
      </w:rPr>
    </w:lvl>
    <w:lvl w:ilvl="7" w:tplc="3EBAD3F4">
      <w:start w:val="1"/>
      <w:numFmt w:val="lowerLetter"/>
      <w:lvlText w:val="%8."/>
      <w:lvlJc w:val="left"/>
      <w:pPr>
        <w:ind w:left="2880" w:hanging="360"/>
      </w:pPr>
      <w:rPr>
        <w:rFonts w:hint="default"/>
      </w:rPr>
    </w:lvl>
    <w:lvl w:ilvl="8" w:tplc="B18602A0">
      <w:start w:val="1"/>
      <w:numFmt w:val="lowerRoman"/>
      <w:lvlText w:val="%9."/>
      <w:lvlJc w:val="left"/>
      <w:pPr>
        <w:ind w:left="3240" w:hanging="360"/>
      </w:pPr>
      <w:rPr>
        <w:rFonts w:hint="default"/>
      </w:rPr>
    </w:lvl>
  </w:abstractNum>
  <w:abstractNum w:abstractNumId="21" w15:restartNumberingAfterBreak="0">
    <w:nsid w:val="2E5076E4"/>
    <w:multiLevelType w:val="hybridMultilevel"/>
    <w:tmpl w:val="9F02A4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1FC4DCA"/>
    <w:multiLevelType w:val="hybridMultilevel"/>
    <w:tmpl w:val="BA4CADD2"/>
    <w:styleLink w:val="111111"/>
    <w:lvl w:ilvl="0" w:tplc="80D04902">
      <w:start w:val="1"/>
      <w:numFmt w:val="decimal"/>
      <w:lvlText w:val="%1."/>
      <w:lvlJc w:val="left"/>
      <w:pPr>
        <w:ind w:left="340" w:hanging="340"/>
      </w:pPr>
      <w:rPr>
        <w:rFonts w:hint="default"/>
      </w:rPr>
    </w:lvl>
    <w:lvl w:ilvl="1" w:tplc="5CC8E65E">
      <w:start w:val="1"/>
      <w:numFmt w:val="decimal"/>
      <w:lvlText w:val="%1.%2."/>
      <w:lvlJc w:val="left"/>
      <w:pPr>
        <w:ind w:left="567" w:hanging="567"/>
      </w:pPr>
      <w:rPr>
        <w:rFonts w:hint="default"/>
      </w:rPr>
    </w:lvl>
    <w:lvl w:ilvl="2" w:tplc="65666D86">
      <w:start w:val="1"/>
      <w:numFmt w:val="decimal"/>
      <w:lvlText w:val="%1.%2.%3."/>
      <w:lvlJc w:val="left"/>
      <w:pPr>
        <w:ind w:left="680" w:hanging="680"/>
      </w:pPr>
      <w:rPr>
        <w:rFonts w:hint="default"/>
      </w:rPr>
    </w:lvl>
    <w:lvl w:ilvl="3" w:tplc="160E89B0">
      <w:start w:val="1"/>
      <w:numFmt w:val="decimal"/>
      <w:lvlText w:val="%1.%2.%3.%4."/>
      <w:lvlJc w:val="left"/>
      <w:pPr>
        <w:ind w:left="1728" w:hanging="648"/>
      </w:pPr>
      <w:rPr>
        <w:rFonts w:hint="default"/>
      </w:rPr>
    </w:lvl>
    <w:lvl w:ilvl="4" w:tplc="AF306308">
      <w:start w:val="1"/>
      <w:numFmt w:val="decimal"/>
      <w:lvlText w:val="%1.%2.%3.%4.%5."/>
      <w:lvlJc w:val="left"/>
      <w:pPr>
        <w:ind w:left="2232" w:hanging="792"/>
      </w:pPr>
      <w:rPr>
        <w:rFonts w:hint="default"/>
      </w:rPr>
    </w:lvl>
    <w:lvl w:ilvl="5" w:tplc="A83EEC64">
      <w:start w:val="1"/>
      <w:numFmt w:val="decimal"/>
      <w:lvlText w:val="%1.%2.%3.%4.%5.%6."/>
      <w:lvlJc w:val="left"/>
      <w:pPr>
        <w:ind w:left="2736" w:hanging="936"/>
      </w:pPr>
      <w:rPr>
        <w:rFonts w:hint="default"/>
      </w:rPr>
    </w:lvl>
    <w:lvl w:ilvl="6" w:tplc="369C4A2C">
      <w:start w:val="1"/>
      <w:numFmt w:val="decimal"/>
      <w:lvlText w:val="%1.%2.%3.%4.%5.%6.%7."/>
      <w:lvlJc w:val="left"/>
      <w:pPr>
        <w:ind w:left="3240" w:hanging="1080"/>
      </w:pPr>
      <w:rPr>
        <w:rFonts w:hint="default"/>
      </w:rPr>
    </w:lvl>
    <w:lvl w:ilvl="7" w:tplc="D92E4AE4">
      <w:start w:val="1"/>
      <w:numFmt w:val="decimal"/>
      <w:lvlText w:val="%1.%2.%3.%4.%5.%6.%7.%8."/>
      <w:lvlJc w:val="left"/>
      <w:pPr>
        <w:ind w:left="3744" w:hanging="1224"/>
      </w:pPr>
      <w:rPr>
        <w:rFonts w:hint="default"/>
      </w:rPr>
    </w:lvl>
    <w:lvl w:ilvl="8" w:tplc="65BA0DC8">
      <w:start w:val="1"/>
      <w:numFmt w:val="decimal"/>
      <w:lvlText w:val="%1.%2.%3.%4.%5.%6.%7.%8.%9."/>
      <w:lvlJc w:val="left"/>
      <w:pPr>
        <w:ind w:left="4320" w:hanging="1440"/>
      </w:pPr>
      <w:rPr>
        <w:rFonts w:hint="default"/>
      </w:rPr>
    </w:lvl>
  </w:abstractNum>
  <w:abstractNum w:abstractNumId="23" w15:restartNumberingAfterBreak="0">
    <w:nsid w:val="337140A2"/>
    <w:multiLevelType w:val="hybridMultilevel"/>
    <w:tmpl w:val="ADB6D2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398032C"/>
    <w:multiLevelType w:val="hybridMultilevel"/>
    <w:tmpl w:val="93964BDA"/>
    <w:lvl w:ilvl="0" w:tplc="44D4F82E">
      <w:start w:val="1"/>
      <w:numFmt w:val="bullet"/>
      <w:lvlText w:val=""/>
      <w:lvlJc w:val="left"/>
      <w:pPr>
        <w:ind w:left="360" w:hanging="360"/>
      </w:pPr>
      <w:rPr>
        <w:rFonts w:ascii="Symbol" w:hAnsi="Symbol" w:hint="default"/>
      </w:rPr>
    </w:lvl>
    <w:lvl w:ilvl="1" w:tplc="A48E5856">
      <w:start w:val="4"/>
      <w:numFmt w:val="decimal"/>
      <w:isLgl/>
      <w:lvlText w:val="%1.%2"/>
      <w:lvlJc w:val="left"/>
      <w:pPr>
        <w:ind w:left="540" w:hanging="540"/>
      </w:pPr>
    </w:lvl>
    <w:lvl w:ilvl="2" w:tplc="4B7EAD7E">
      <w:start w:val="2"/>
      <w:numFmt w:val="decimal"/>
      <w:isLgl/>
      <w:lvlText w:val="%1.%2.%3"/>
      <w:lvlJc w:val="left"/>
      <w:pPr>
        <w:ind w:left="720" w:hanging="720"/>
      </w:pPr>
    </w:lvl>
    <w:lvl w:ilvl="3" w:tplc="270C7CCA">
      <w:start w:val="1"/>
      <w:numFmt w:val="decimal"/>
      <w:isLgl/>
      <w:lvlText w:val="%1.%2.%3.%4"/>
      <w:lvlJc w:val="left"/>
      <w:pPr>
        <w:ind w:left="1080" w:hanging="1080"/>
      </w:pPr>
    </w:lvl>
    <w:lvl w:ilvl="4" w:tplc="DFD6B3DA">
      <w:start w:val="1"/>
      <w:numFmt w:val="decimal"/>
      <w:isLgl/>
      <w:lvlText w:val="%1.%2.%3.%4.%5"/>
      <w:lvlJc w:val="left"/>
      <w:pPr>
        <w:ind w:left="1080" w:hanging="1080"/>
      </w:pPr>
    </w:lvl>
    <w:lvl w:ilvl="5" w:tplc="3C4475A2">
      <w:start w:val="1"/>
      <w:numFmt w:val="decimal"/>
      <w:isLgl/>
      <w:lvlText w:val="%1.%2.%3.%4.%5.%6"/>
      <w:lvlJc w:val="left"/>
      <w:pPr>
        <w:ind w:left="1440" w:hanging="1440"/>
      </w:pPr>
    </w:lvl>
    <w:lvl w:ilvl="6" w:tplc="40124276">
      <w:start w:val="1"/>
      <w:numFmt w:val="decimal"/>
      <w:isLgl/>
      <w:lvlText w:val="%1.%2.%3.%4.%5.%6.%7"/>
      <w:lvlJc w:val="left"/>
      <w:pPr>
        <w:ind w:left="1440" w:hanging="1440"/>
      </w:pPr>
    </w:lvl>
    <w:lvl w:ilvl="7" w:tplc="003C6002">
      <w:start w:val="1"/>
      <w:numFmt w:val="decimal"/>
      <w:isLgl/>
      <w:lvlText w:val="%1.%2.%3.%4.%5.%6.%7.%8"/>
      <w:lvlJc w:val="left"/>
      <w:pPr>
        <w:ind w:left="1800" w:hanging="1800"/>
      </w:pPr>
    </w:lvl>
    <w:lvl w:ilvl="8" w:tplc="8F821868">
      <w:start w:val="1"/>
      <w:numFmt w:val="decimal"/>
      <w:isLgl/>
      <w:lvlText w:val="%1.%2.%3.%4.%5.%6.%7.%8.%9"/>
      <w:lvlJc w:val="left"/>
      <w:pPr>
        <w:ind w:left="2160" w:hanging="2160"/>
      </w:pPr>
    </w:lvl>
  </w:abstractNum>
  <w:abstractNum w:abstractNumId="25" w15:restartNumberingAfterBreak="0">
    <w:nsid w:val="3B1129C9"/>
    <w:multiLevelType w:val="hybridMultilevel"/>
    <w:tmpl w:val="6C52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4017FB"/>
    <w:multiLevelType w:val="hybridMultilevel"/>
    <w:tmpl w:val="62944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D907E18"/>
    <w:multiLevelType w:val="hybridMultilevel"/>
    <w:tmpl w:val="821CE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6027566"/>
    <w:multiLevelType w:val="hybridMultilevel"/>
    <w:tmpl w:val="40B0F3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62C45CC"/>
    <w:multiLevelType w:val="hybridMultilevel"/>
    <w:tmpl w:val="E13A0DBA"/>
    <w:lvl w:ilvl="0" w:tplc="27F41A00">
      <w:numFmt w:val="bullet"/>
      <w:lvlText w:val=""/>
      <w:lvlJc w:val="left"/>
      <w:pPr>
        <w:ind w:left="360" w:hanging="360"/>
      </w:pPr>
      <w:rPr>
        <w:rFonts w:ascii="Symbol" w:hAnsi="Symbol"/>
        <w:color w:val="auto"/>
      </w:rPr>
    </w:lvl>
    <w:lvl w:ilvl="1" w:tplc="E2243BB0">
      <w:numFmt w:val="bullet"/>
      <w:lvlText w:val="o"/>
      <w:lvlJc w:val="left"/>
      <w:pPr>
        <w:ind w:left="1080" w:hanging="360"/>
      </w:pPr>
      <w:rPr>
        <w:rFonts w:ascii="Courier New" w:hAnsi="Courier New"/>
      </w:rPr>
    </w:lvl>
    <w:lvl w:ilvl="2" w:tplc="1B807860">
      <w:numFmt w:val="bullet"/>
      <w:lvlText w:val=""/>
      <w:lvlJc w:val="left"/>
      <w:pPr>
        <w:ind w:left="1800" w:hanging="360"/>
      </w:pPr>
      <w:rPr>
        <w:rFonts w:ascii="Wingdings" w:hAnsi="Wingdings"/>
      </w:rPr>
    </w:lvl>
    <w:lvl w:ilvl="3" w:tplc="5D68E58C">
      <w:numFmt w:val="bullet"/>
      <w:lvlText w:val=""/>
      <w:lvlJc w:val="left"/>
      <w:pPr>
        <w:ind w:left="2520" w:hanging="360"/>
      </w:pPr>
      <w:rPr>
        <w:rFonts w:ascii="Symbol" w:hAnsi="Symbol"/>
      </w:rPr>
    </w:lvl>
    <w:lvl w:ilvl="4" w:tplc="D9DA0DB0">
      <w:numFmt w:val="bullet"/>
      <w:lvlText w:val="o"/>
      <w:lvlJc w:val="left"/>
      <w:pPr>
        <w:ind w:left="3240" w:hanging="360"/>
      </w:pPr>
      <w:rPr>
        <w:rFonts w:ascii="Courier New" w:hAnsi="Courier New"/>
      </w:rPr>
    </w:lvl>
    <w:lvl w:ilvl="5" w:tplc="8A58D844">
      <w:numFmt w:val="bullet"/>
      <w:lvlText w:val=""/>
      <w:lvlJc w:val="left"/>
      <w:pPr>
        <w:ind w:left="3960" w:hanging="360"/>
      </w:pPr>
      <w:rPr>
        <w:rFonts w:ascii="Wingdings" w:hAnsi="Wingdings"/>
      </w:rPr>
    </w:lvl>
    <w:lvl w:ilvl="6" w:tplc="2DB2583E">
      <w:numFmt w:val="bullet"/>
      <w:lvlText w:val=""/>
      <w:lvlJc w:val="left"/>
      <w:pPr>
        <w:ind w:left="4680" w:hanging="360"/>
      </w:pPr>
      <w:rPr>
        <w:rFonts w:ascii="Symbol" w:hAnsi="Symbol"/>
      </w:rPr>
    </w:lvl>
    <w:lvl w:ilvl="7" w:tplc="BB80BB96">
      <w:numFmt w:val="bullet"/>
      <w:lvlText w:val="o"/>
      <w:lvlJc w:val="left"/>
      <w:pPr>
        <w:ind w:left="5400" w:hanging="360"/>
      </w:pPr>
      <w:rPr>
        <w:rFonts w:ascii="Courier New" w:hAnsi="Courier New"/>
      </w:rPr>
    </w:lvl>
    <w:lvl w:ilvl="8" w:tplc="E3001494">
      <w:numFmt w:val="bullet"/>
      <w:lvlText w:val=""/>
      <w:lvlJc w:val="left"/>
      <w:pPr>
        <w:ind w:left="6120" w:hanging="360"/>
      </w:pPr>
      <w:rPr>
        <w:rFonts w:ascii="Wingdings" w:hAnsi="Wingdings"/>
      </w:rPr>
    </w:lvl>
  </w:abstractNum>
  <w:abstractNum w:abstractNumId="30" w15:restartNumberingAfterBreak="0">
    <w:nsid w:val="466F6102"/>
    <w:multiLevelType w:val="hybridMultilevel"/>
    <w:tmpl w:val="CE9A7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CB655B"/>
    <w:multiLevelType w:val="hybridMultilevel"/>
    <w:tmpl w:val="E4B6CBB4"/>
    <w:lvl w:ilvl="0" w:tplc="6E3C65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C8E3275"/>
    <w:multiLevelType w:val="hybridMultilevel"/>
    <w:tmpl w:val="E7205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D77187B"/>
    <w:multiLevelType w:val="hybridMultilevel"/>
    <w:tmpl w:val="B652D8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EC4682"/>
    <w:multiLevelType w:val="hybridMultilevel"/>
    <w:tmpl w:val="61346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0267FCF"/>
    <w:multiLevelType w:val="hybridMultilevel"/>
    <w:tmpl w:val="D048EB0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55D92AE5"/>
    <w:multiLevelType w:val="hybridMultilevel"/>
    <w:tmpl w:val="BEB85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CBC5D33"/>
    <w:multiLevelType w:val="hybridMultilevel"/>
    <w:tmpl w:val="818AE93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D554087"/>
    <w:multiLevelType w:val="hybridMultilevel"/>
    <w:tmpl w:val="5C464C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ED3058B"/>
    <w:multiLevelType w:val="hybridMultilevel"/>
    <w:tmpl w:val="A516C67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EEB2F17"/>
    <w:multiLevelType w:val="hybridMultilevel"/>
    <w:tmpl w:val="A664C3E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1" w15:restartNumberingAfterBreak="0">
    <w:nsid w:val="5FD11CC6"/>
    <w:multiLevelType w:val="hybridMultilevel"/>
    <w:tmpl w:val="BC48CC36"/>
    <w:lvl w:ilvl="0" w:tplc="3E360BA2">
      <w:start w:val="1"/>
      <w:numFmt w:val="decimal"/>
      <w:lvlText w:val="%1"/>
      <w:lvlJc w:val="left"/>
      <w:pPr>
        <w:tabs>
          <w:tab w:val="num" w:pos="360"/>
        </w:tabs>
        <w:ind w:left="360" w:hanging="1160"/>
      </w:pPr>
      <w:rPr>
        <w:rFonts w:ascii="Verdana" w:hAnsi="Verdana" w:hint="default"/>
        <w:b/>
        <w:i w:val="0"/>
        <w:sz w:val="18"/>
      </w:rPr>
    </w:lvl>
    <w:lvl w:ilvl="1" w:tplc="C846C0FA">
      <w:start w:val="1"/>
      <w:numFmt w:val="decimal"/>
      <w:lvlText w:val="%1.%2"/>
      <w:lvlJc w:val="left"/>
      <w:pPr>
        <w:tabs>
          <w:tab w:val="num" w:pos="0"/>
        </w:tabs>
        <w:ind w:left="0" w:hanging="1160"/>
      </w:pPr>
      <w:rPr>
        <w:rFonts w:ascii="Verdana" w:hAnsi="Verdana" w:hint="default"/>
        <w:b w:val="0"/>
        <w:i w:val="0"/>
        <w:sz w:val="18"/>
      </w:rPr>
    </w:lvl>
    <w:lvl w:ilvl="2" w:tplc="E652575C">
      <w:start w:val="1"/>
      <w:numFmt w:val="decimal"/>
      <w:lvlText w:val="%1.%2.%3"/>
      <w:lvlJc w:val="left"/>
      <w:pPr>
        <w:tabs>
          <w:tab w:val="num" w:pos="0"/>
        </w:tabs>
        <w:ind w:left="0" w:hanging="1160"/>
      </w:pPr>
      <w:rPr>
        <w:rFonts w:hint="default"/>
      </w:rPr>
    </w:lvl>
    <w:lvl w:ilvl="3" w:tplc="E4D8DFEE">
      <w:start w:val="1"/>
      <w:numFmt w:val="decimal"/>
      <w:lvlText w:val="%1.%2.%3.%4"/>
      <w:lvlJc w:val="left"/>
      <w:pPr>
        <w:tabs>
          <w:tab w:val="num" w:pos="540"/>
        </w:tabs>
        <w:ind w:left="540" w:hanging="1160"/>
      </w:pPr>
      <w:rPr>
        <w:rFonts w:hint="default"/>
      </w:rPr>
    </w:lvl>
    <w:lvl w:ilvl="4" w:tplc="5944FBCA">
      <w:start w:val="1"/>
      <w:numFmt w:val="decimal"/>
      <w:lvlText w:val="%1.%2.%3.%4.%5"/>
      <w:lvlJc w:val="left"/>
      <w:pPr>
        <w:tabs>
          <w:tab w:val="num" w:pos="388"/>
        </w:tabs>
        <w:ind w:left="388" w:hanging="1008"/>
      </w:pPr>
      <w:rPr>
        <w:rFonts w:hint="default"/>
      </w:rPr>
    </w:lvl>
    <w:lvl w:ilvl="5" w:tplc="36BE77C8">
      <w:start w:val="1"/>
      <w:numFmt w:val="decimal"/>
      <w:pStyle w:val="Kop6"/>
      <w:lvlText w:val="%1.%2.%3.%4.%5.%6"/>
      <w:lvlJc w:val="left"/>
      <w:pPr>
        <w:tabs>
          <w:tab w:val="num" w:pos="532"/>
        </w:tabs>
        <w:ind w:left="532" w:hanging="1152"/>
      </w:pPr>
      <w:rPr>
        <w:rFonts w:hint="default"/>
      </w:rPr>
    </w:lvl>
    <w:lvl w:ilvl="6" w:tplc="8EF4C3AA">
      <w:start w:val="1"/>
      <w:numFmt w:val="decimal"/>
      <w:pStyle w:val="Kop7"/>
      <w:lvlText w:val="%1.%2.%3.%4.%5.%6.%7"/>
      <w:lvlJc w:val="left"/>
      <w:pPr>
        <w:tabs>
          <w:tab w:val="num" w:pos="676"/>
        </w:tabs>
        <w:ind w:left="676" w:hanging="1296"/>
      </w:pPr>
      <w:rPr>
        <w:rFonts w:hint="default"/>
      </w:rPr>
    </w:lvl>
    <w:lvl w:ilvl="7" w:tplc="D06AF12A">
      <w:start w:val="1"/>
      <w:numFmt w:val="decimal"/>
      <w:pStyle w:val="Kop8"/>
      <w:lvlText w:val="%1.%2.%3.%4.%5.%6.%7.%8"/>
      <w:lvlJc w:val="left"/>
      <w:pPr>
        <w:tabs>
          <w:tab w:val="num" w:pos="820"/>
        </w:tabs>
        <w:ind w:left="820" w:hanging="1440"/>
      </w:pPr>
      <w:rPr>
        <w:rFonts w:hint="default"/>
      </w:rPr>
    </w:lvl>
    <w:lvl w:ilvl="8" w:tplc="89D8CDE6">
      <w:start w:val="1"/>
      <w:numFmt w:val="decimal"/>
      <w:pStyle w:val="Kop9"/>
      <w:lvlText w:val="%1.%2.%3.%4.%5.%6.%7.%8.%9"/>
      <w:lvlJc w:val="left"/>
      <w:pPr>
        <w:tabs>
          <w:tab w:val="num" w:pos="964"/>
        </w:tabs>
        <w:ind w:left="964" w:hanging="1584"/>
      </w:pPr>
      <w:rPr>
        <w:rFonts w:hint="default"/>
      </w:rPr>
    </w:lvl>
  </w:abstractNum>
  <w:abstractNum w:abstractNumId="42" w15:restartNumberingAfterBreak="0">
    <w:nsid w:val="617C2BA0"/>
    <w:multiLevelType w:val="hybridMultilevel"/>
    <w:tmpl w:val="C0E83FC4"/>
    <w:lvl w:ilvl="0" w:tplc="04130001">
      <w:start w:val="1"/>
      <w:numFmt w:val="decimal"/>
      <w:pStyle w:val="Standaardinspringing"/>
      <w:lvlText w:val="Tabel %1."/>
      <w:lvlJc w:val="left"/>
      <w:pPr>
        <w:tabs>
          <w:tab w:val="num" w:pos="0"/>
        </w:tabs>
        <w:ind w:left="0" w:firstLine="0"/>
      </w:pPr>
      <w:rPr>
        <w:rFonts w:ascii="Verdana" w:hAnsi="Verdana" w:hint="default"/>
        <w:b w:val="0"/>
        <w:i/>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662C6217"/>
    <w:multiLevelType w:val="hybridMultilevel"/>
    <w:tmpl w:val="B2D087A0"/>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77D0229"/>
    <w:multiLevelType w:val="hybridMultilevel"/>
    <w:tmpl w:val="32AE9324"/>
    <w:lvl w:ilvl="0" w:tplc="54745776">
      <w:start w:val="1"/>
      <w:numFmt w:val="bullet"/>
      <w:lvlText w:val="•"/>
      <w:lvlJc w:val="left"/>
      <w:pPr>
        <w:tabs>
          <w:tab w:val="num" w:pos="360"/>
        </w:tabs>
        <w:ind w:left="360" w:hanging="360"/>
      </w:pPr>
      <w:rPr>
        <w:rFonts w:ascii="Arial" w:hAnsi="Arial" w:hint="default"/>
      </w:rPr>
    </w:lvl>
    <w:lvl w:ilvl="1" w:tplc="DBF255AC" w:tentative="1">
      <w:start w:val="1"/>
      <w:numFmt w:val="bullet"/>
      <w:lvlText w:val="•"/>
      <w:lvlJc w:val="left"/>
      <w:pPr>
        <w:tabs>
          <w:tab w:val="num" w:pos="1080"/>
        </w:tabs>
        <w:ind w:left="1080" w:hanging="360"/>
      </w:pPr>
      <w:rPr>
        <w:rFonts w:ascii="Arial" w:hAnsi="Arial" w:hint="default"/>
      </w:rPr>
    </w:lvl>
    <w:lvl w:ilvl="2" w:tplc="205E30E4" w:tentative="1">
      <w:start w:val="1"/>
      <w:numFmt w:val="bullet"/>
      <w:lvlText w:val="•"/>
      <w:lvlJc w:val="left"/>
      <w:pPr>
        <w:tabs>
          <w:tab w:val="num" w:pos="1800"/>
        </w:tabs>
        <w:ind w:left="1800" w:hanging="360"/>
      </w:pPr>
      <w:rPr>
        <w:rFonts w:ascii="Arial" w:hAnsi="Arial" w:hint="default"/>
      </w:rPr>
    </w:lvl>
    <w:lvl w:ilvl="3" w:tplc="1E784976" w:tentative="1">
      <w:start w:val="1"/>
      <w:numFmt w:val="bullet"/>
      <w:lvlText w:val="•"/>
      <w:lvlJc w:val="left"/>
      <w:pPr>
        <w:tabs>
          <w:tab w:val="num" w:pos="2520"/>
        </w:tabs>
        <w:ind w:left="2520" w:hanging="360"/>
      </w:pPr>
      <w:rPr>
        <w:rFonts w:ascii="Arial" w:hAnsi="Arial" w:hint="default"/>
      </w:rPr>
    </w:lvl>
    <w:lvl w:ilvl="4" w:tplc="8F8A3B28" w:tentative="1">
      <w:start w:val="1"/>
      <w:numFmt w:val="bullet"/>
      <w:lvlText w:val="•"/>
      <w:lvlJc w:val="left"/>
      <w:pPr>
        <w:tabs>
          <w:tab w:val="num" w:pos="3240"/>
        </w:tabs>
        <w:ind w:left="3240" w:hanging="360"/>
      </w:pPr>
      <w:rPr>
        <w:rFonts w:ascii="Arial" w:hAnsi="Arial" w:hint="default"/>
      </w:rPr>
    </w:lvl>
    <w:lvl w:ilvl="5" w:tplc="BAEA4AF4" w:tentative="1">
      <w:start w:val="1"/>
      <w:numFmt w:val="bullet"/>
      <w:lvlText w:val="•"/>
      <w:lvlJc w:val="left"/>
      <w:pPr>
        <w:tabs>
          <w:tab w:val="num" w:pos="3960"/>
        </w:tabs>
        <w:ind w:left="3960" w:hanging="360"/>
      </w:pPr>
      <w:rPr>
        <w:rFonts w:ascii="Arial" w:hAnsi="Arial" w:hint="default"/>
      </w:rPr>
    </w:lvl>
    <w:lvl w:ilvl="6" w:tplc="D5AEF8CC" w:tentative="1">
      <w:start w:val="1"/>
      <w:numFmt w:val="bullet"/>
      <w:lvlText w:val="•"/>
      <w:lvlJc w:val="left"/>
      <w:pPr>
        <w:tabs>
          <w:tab w:val="num" w:pos="4680"/>
        </w:tabs>
        <w:ind w:left="4680" w:hanging="360"/>
      </w:pPr>
      <w:rPr>
        <w:rFonts w:ascii="Arial" w:hAnsi="Arial" w:hint="default"/>
      </w:rPr>
    </w:lvl>
    <w:lvl w:ilvl="7" w:tplc="607E31A6" w:tentative="1">
      <w:start w:val="1"/>
      <w:numFmt w:val="bullet"/>
      <w:lvlText w:val="•"/>
      <w:lvlJc w:val="left"/>
      <w:pPr>
        <w:tabs>
          <w:tab w:val="num" w:pos="5400"/>
        </w:tabs>
        <w:ind w:left="5400" w:hanging="360"/>
      </w:pPr>
      <w:rPr>
        <w:rFonts w:ascii="Arial" w:hAnsi="Arial" w:hint="default"/>
      </w:rPr>
    </w:lvl>
    <w:lvl w:ilvl="8" w:tplc="2DDA49DA"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87B0395"/>
    <w:multiLevelType w:val="hybridMultilevel"/>
    <w:tmpl w:val="65D048A2"/>
    <w:lvl w:ilvl="0" w:tplc="B3F0909A">
      <w:start w:val="1"/>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6" w15:restartNumberingAfterBreak="0">
    <w:nsid w:val="68A67065"/>
    <w:multiLevelType w:val="hybridMultilevel"/>
    <w:tmpl w:val="3D960D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7" w15:restartNumberingAfterBreak="0">
    <w:nsid w:val="6931516B"/>
    <w:multiLevelType w:val="hybridMultilevel"/>
    <w:tmpl w:val="6FBAA1A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C653F49"/>
    <w:multiLevelType w:val="hybridMultilevel"/>
    <w:tmpl w:val="1940E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FC652B2"/>
    <w:multiLevelType w:val="hybridMultilevel"/>
    <w:tmpl w:val="9280B2C2"/>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40234F1"/>
    <w:multiLevelType w:val="hybridMultilevel"/>
    <w:tmpl w:val="74E27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4401A8B"/>
    <w:multiLevelType w:val="hybridMultilevel"/>
    <w:tmpl w:val="1918F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4CE65B0"/>
    <w:multiLevelType w:val="hybridMultilevel"/>
    <w:tmpl w:val="E13A0DBA"/>
    <w:lvl w:ilvl="0" w:tplc="343681E4">
      <w:numFmt w:val="bullet"/>
      <w:lvlText w:val=""/>
      <w:lvlJc w:val="left"/>
      <w:pPr>
        <w:ind w:left="360" w:hanging="360"/>
      </w:pPr>
      <w:rPr>
        <w:rFonts w:ascii="Symbol" w:hAnsi="Symbol"/>
        <w:color w:val="auto"/>
      </w:rPr>
    </w:lvl>
    <w:lvl w:ilvl="1" w:tplc="9774D7BC">
      <w:numFmt w:val="bullet"/>
      <w:lvlText w:val="o"/>
      <w:lvlJc w:val="left"/>
      <w:pPr>
        <w:ind w:left="1080" w:hanging="360"/>
      </w:pPr>
      <w:rPr>
        <w:rFonts w:ascii="Courier New" w:hAnsi="Courier New"/>
      </w:rPr>
    </w:lvl>
    <w:lvl w:ilvl="2" w:tplc="D74AED4E">
      <w:numFmt w:val="bullet"/>
      <w:lvlText w:val=""/>
      <w:lvlJc w:val="left"/>
      <w:pPr>
        <w:ind w:left="1800" w:hanging="360"/>
      </w:pPr>
      <w:rPr>
        <w:rFonts w:ascii="Wingdings" w:hAnsi="Wingdings"/>
      </w:rPr>
    </w:lvl>
    <w:lvl w:ilvl="3" w:tplc="50E60446">
      <w:numFmt w:val="bullet"/>
      <w:lvlText w:val=""/>
      <w:lvlJc w:val="left"/>
      <w:pPr>
        <w:ind w:left="2520" w:hanging="360"/>
      </w:pPr>
      <w:rPr>
        <w:rFonts w:ascii="Symbol" w:hAnsi="Symbol"/>
      </w:rPr>
    </w:lvl>
    <w:lvl w:ilvl="4" w:tplc="668A4C48">
      <w:numFmt w:val="bullet"/>
      <w:lvlText w:val="o"/>
      <w:lvlJc w:val="left"/>
      <w:pPr>
        <w:ind w:left="3240" w:hanging="360"/>
      </w:pPr>
      <w:rPr>
        <w:rFonts w:ascii="Courier New" w:hAnsi="Courier New"/>
      </w:rPr>
    </w:lvl>
    <w:lvl w:ilvl="5" w:tplc="B4083442">
      <w:numFmt w:val="bullet"/>
      <w:lvlText w:val=""/>
      <w:lvlJc w:val="left"/>
      <w:pPr>
        <w:ind w:left="3960" w:hanging="360"/>
      </w:pPr>
      <w:rPr>
        <w:rFonts w:ascii="Wingdings" w:hAnsi="Wingdings"/>
      </w:rPr>
    </w:lvl>
    <w:lvl w:ilvl="6" w:tplc="17E4C7AA">
      <w:numFmt w:val="bullet"/>
      <w:lvlText w:val=""/>
      <w:lvlJc w:val="left"/>
      <w:pPr>
        <w:ind w:left="4680" w:hanging="360"/>
      </w:pPr>
      <w:rPr>
        <w:rFonts w:ascii="Symbol" w:hAnsi="Symbol"/>
      </w:rPr>
    </w:lvl>
    <w:lvl w:ilvl="7" w:tplc="7A3A8056">
      <w:numFmt w:val="bullet"/>
      <w:lvlText w:val="o"/>
      <w:lvlJc w:val="left"/>
      <w:pPr>
        <w:ind w:left="5400" w:hanging="360"/>
      </w:pPr>
      <w:rPr>
        <w:rFonts w:ascii="Courier New" w:hAnsi="Courier New"/>
      </w:rPr>
    </w:lvl>
    <w:lvl w:ilvl="8" w:tplc="DB5614AA">
      <w:numFmt w:val="bullet"/>
      <w:lvlText w:val=""/>
      <w:lvlJc w:val="left"/>
      <w:pPr>
        <w:ind w:left="6120" w:hanging="360"/>
      </w:pPr>
      <w:rPr>
        <w:rFonts w:ascii="Wingdings" w:hAnsi="Wingdings"/>
      </w:rPr>
    </w:lvl>
  </w:abstractNum>
  <w:abstractNum w:abstractNumId="53" w15:restartNumberingAfterBreak="0">
    <w:nsid w:val="77ED7E40"/>
    <w:multiLevelType w:val="hybridMultilevel"/>
    <w:tmpl w:val="6AB2CBCC"/>
    <w:lvl w:ilvl="0" w:tplc="F5B8260E">
      <w:start w:val="1"/>
      <w:numFmt w:val="bullet"/>
      <w:lvlText w:val="•"/>
      <w:lvlJc w:val="left"/>
      <w:pPr>
        <w:tabs>
          <w:tab w:val="num" w:pos="720"/>
        </w:tabs>
        <w:ind w:left="720" w:hanging="360"/>
      </w:pPr>
      <w:rPr>
        <w:rFonts w:ascii="Arial" w:hAnsi="Arial" w:hint="default"/>
      </w:rPr>
    </w:lvl>
    <w:lvl w:ilvl="1" w:tplc="40A2E984" w:tentative="1">
      <w:start w:val="1"/>
      <w:numFmt w:val="bullet"/>
      <w:lvlText w:val="•"/>
      <w:lvlJc w:val="left"/>
      <w:pPr>
        <w:tabs>
          <w:tab w:val="num" w:pos="1440"/>
        </w:tabs>
        <w:ind w:left="1440" w:hanging="360"/>
      </w:pPr>
      <w:rPr>
        <w:rFonts w:ascii="Arial" w:hAnsi="Arial" w:hint="default"/>
      </w:rPr>
    </w:lvl>
    <w:lvl w:ilvl="2" w:tplc="17A2EE0C" w:tentative="1">
      <w:start w:val="1"/>
      <w:numFmt w:val="bullet"/>
      <w:lvlText w:val="•"/>
      <w:lvlJc w:val="left"/>
      <w:pPr>
        <w:tabs>
          <w:tab w:val="num" w:pos="2160"/>
        </w:tabs>
        <w:ind w:left="2160" w:hanging="360"/>
      </w:pPr>
      <w:rPr>
        <w:rFonts w:ascii="Arial" w:hAnsi="Arial" w:hint="default"/>
      </w:rPr>
    </w:lvl>
    <w:lvl w:ilvl="3" w:tplc="DD42C17A" w:tentative="1">
      <w:start w:val="1"/>
      <w:numFmt w:val="bullet"/>
      <w:lvlText w:val="•"/>
      <w:lvlJc w:val="left"/>
      <w:pPr>
        <w:tabs>
          <w:tab w:val="num" w:pos="2880"/>
        </w:tabs>
        <w:ind w:left="2880" w:hanging="360"/>
      </w:pPr>
      <w:rPr>
        <w:rFonts w:ascii="Arial" w:hAnsi="Arial" w:hint="default"/>
      </w:rPr>
    </w:lvl>
    <w:lvl w:ilvl="4" w:tplc="00F05D78" w:tentative="1">
      <w:start w:val="1"/>
      <w:numFmt w:val="bullet"/>
      <w:lvlText w:val="•"/>
      <w:lvlJc w:val="left"/>
      <w:pPr>
        <w:tabs>
          <w:tab w:val="num" w:pos="3600"/>
        </w:tabs>
        <w:ind w:left="3600" w:hanging="360"/>
      </w:pPr>
      <w:rPr>
        <w:rFonts w:ascii="Arial" w:hAnsi="Arial" w:hint="default"/>
      </w:rPr>
    </w:lvl>
    <w:lvl w:ilvl="5" w:tplc="43428F2E" w:tentative="1">
      <w:start w:val="1"/>
      <w:numFmt w:val="bullet"/>
      <w:lvlText w:val="•"/>
      <w:lvlJc w:val="left"/>
      <w:pPr>
        <w:tabs>
          <w:tab w:val="num" w:pos="4320"/>
        </w:tabs>
        <w:ind w:left="4320" w:hanging="360"/>
      </w:pPr>
      <w:rPr>
        <w:rFonts w:ascii="Arial" w:hAnsi="Arial" w:hint="default"/>
      </w:rPr>
    </w:lvl>
    <w:lvl w:ilvl="6" w:tplc="42728736" w:tentative="1">
      <w:start w:val="1"/>
      <w:numFmt w:val="bullet"/>
      <w:lvlText w:val="•"/>
      <w:lvlJc w:val="left"/>
      <w:pPr>
        <w:tabs>
          <w:tab w:val="num" w:pos="5040"/>
        </w:tabs>
        <w:ind w:left="5040" w:hanging="360"/>
      </w:pPr>
      <w:rPr>
        <w:rFonts w:ascii="Arial" w:hAnsi="Arial" w:hint="default"/>
      </w:rPr>
    </w:lvl>
    <w:lvl w:ilvl="7" w:tplc="8BE674EA" w:tentative="1">
      <w:start w:val="1"/>
      <w:numFmt w:val="bullet"/>
      <w:lvlText w:val="•"/>
      <w:lvlJc w:val="left"/>
      <w:pPr>
        <w:tabs>
          <w:tab w:val="num" w:pos="5760"/>
        </w:tabs>
        <w:ind w:left="5760" w:hanging="360"/>
      </w:pPr>
      <w:rPr>
        <w:rFonts w:ascii="Arial" w:hAnsi="Arial" w:hint="default"/>
      </w:rPr>
    </w:lvl>
    <w:lvl w:ilvl="8" w:tplc="90DA8A2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84D61D2"/>
    <w:multiLevelType w:val="hybridMultilevel"/>
    <w:tmpl w:val="F7565D7E"/>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7B135B18"/>
    <w:multiLevelType w:val="hybridMultilevel"/>
    <w:tmpl w:val="F4D077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7CD374DE"/>
    <w:multiLevelType w:val="hybridMultilevel"/>
    <w:tmpl w:val="73B43A4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F5108E7"/>
    <w:multiLevelType w:val="hybridMultilevel"/>
    <w:tmpl w:val="3D74001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1"/>
  </w:num>
  <w:num w:numId="4">
    <w:abstractNumId w:val="42"/>
  </w:num>
  <w:num w:numId="5">
    <w:abstractNumId w:val="22"/>
  </w:num>
  <w:num w:numId="6">
    <w:abstractNumId w:val="13"/>
  </w:num>
  <w:num w:numId="7">
    <w:abstractNumId w:val="20"/>
  </w:num>
  <w:num w:numId="8">
    <w:abstractNumId w:val="34"/>
  </w:num>
  <w:num w:numId="9">
    <w:abstractNumId w:val="52"/>
  </w:num>
  <w:num w:numId="10">
    <w:abstractNumId w:val="1"/>
  </w:num>
  <w:num w:numId="11">
    <w:abstractNumId w:val="24"/>
    <w:lvlOverride w:ilvl="0"/>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29"/>
  </w:num>
  <w:num w:numId="14">
    <w:abstractNumId w:val="35"/>
  </w:num>
  <w:num w:numId="15">
    <w:abstractNumId w:val="4"/>
  </w:num>
  <w:num w:numId="16">
    <w:abstractNumId w:val="23"/>
  </w:num>
  <w:num w:numId="17">
    <w:abstractNumId w:val="33"/>
  </w:num>
  <w:num w:numId="18">
    <w:abstractNumId w:val="37"/>
  </w:num>
  <w:num w:numId="19">
    <w:abstractNumId w:val="50"/>
  </w:num>
  <w:num w:numId="20">
    <w:abstractNumId w:val="30"/>
  </w:num>
  <w:num w:numId="21">
    <w:abstractNumId w:val="57"/>
  </w:num>
  <w:num w:numId="22">
    <w:abstractNumId w:val="38"/>
  </w:num>
  <w:num w:numId="23">
    <w:abstractNumId w:val="8"/>
  </w:num>
  <w:num w:numId="24">
    <w:abstractNumId w:val="40"/>
  </w:num>
  <w:num w:numId="25">
    <w:abstractNumId w:val="16"/>
  </w:num>
  <w:num w:numId="26">
    <w:abstractNumId w:val="15"/>
  </w:num>
  <w:num w:numId="27">
    <w:abstractNumId w:val="56"/>
  </w:num>
  <w:num w:numId="28">
    <w:abstractNumId w:val="51"/>
  </w:num>
  <w:num w:numId="29">
    <w:abstractNumId w:val="21"/>
  </w:num>
  <w:num w:numId="30">
    <w:abstractNumId w:val="17"/>
  </w:num>
  <w:num w:numId="31">
    <w:abstractNumId w:val="32"/>
  </w:num>
  <w:num w:numId="32">
    <w:abstractNumId w:val="11"/>
  </w:num>
  <w:num w:numId="33">
    <w:abstractNumId w:val="18"/>
  </w:num>
  <w:num w:numId="34">
    <w:abstractNumId w:val="28"/>
  </w:num>
  <w:num w:numId="35">
    <w:abstractNumId w:val="26"/>
  </w:num>
  <w:num w:numId="36">
    <w:abstractNumId w:val="5"/>
  </w:num>
  <w:num w:numId="37">
    <w:abstractNumId w:val="6"/>
  </w:num>
  <w:num w:numId="38">
    <w:abstractNumId w:val="2"/>
  </w:num>
  <w:num w:numId="39">
    <w:abstractNumId w:val="7"/>
  </w:num>
  <w:num w:numId="40">
    <w:abstractNumId w:val="55"/>
  </w:num>
  <w:num w:numId="41">
    <w:abstractNumId w:val="47"/>
  </w:num>
  <w:num w:numId="42">
    <w:abstractNumId w:val="43"/>
  </w:num>
  <w:num w:numId="43">
    <w:abstractNumId w:val="49"/>
  </w:num>
  <w:num w:numId="44">
    <w:abstractNumId w:val="39"/>
  </w:num>
  <w:num w:numId="45">
    <w:abstractNumId w:val="3"/>
  </w:num>
  <w:num w:numId="46">
    <w:abstractNumId w:val="54"/>
  </w:num>
  <w:num w:numId="47">
    <w:abstractNumId w:val="14"/>
  </w:num>
  <w:num w:numId="48">
    <w:abstractNumId w:val="36"/>
  </w:num>
  <w:num w:numId="49">
    <w:abstractNumId w:val="12"/>
  </w:num>
  <w:num w:numId="50">
    <w:abstractNumId w:val="46"/>
  </w:num>
  <w:num w:numId="51">
    <w:abstractNumId w:val="27"/>
  </w:num>
  <w:num w:numId="52">
    <w:abstractNumId w:val="53"/>
  </w:num>
  <w:num w:numId="53">
    <w:abstractNumId w:val="25"/>
  </w:num>
  <w:num w:numId="54">
    <w:abstractNumId w:val="44"/>
  </w:num>
  <w:num w:numId="55">
    <w:abstractNumId w:val="45"/>
  </w:num>
  <w:num w:numId="56">
    <w:abstractNumId w:val="19"/>
  </w:num>
  <w:num w:numId="57">
    <w:abstractNumId w:val="0"/>
  </w:num>
  <w:num w:numId="5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4504" w:allStyles="0" w:customStyles="0" w:latentStyles="1" w:stylesInUse="0" w:headingStyles="0" w:numberingStyles="0" w:tableStyles="0" w:directFormattingOnRuns="1" w:directFormattingOnParagraphs="0" w:directFormattingOnNumbering="1" w:directFormattingOnTables="0" w:clearFormatting="0" w:top3HeadingStyles="0" w:visibleStyles="1" w:alternateStyleNames="0"/>
  <w:defaultTabStop w:val="227"/>
  <w:autoHyphenation/>
  <w:hyphenationZone w:val="425"/>
  <w:drawingGridHorizontalSpacing w:val="9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Rubricering" w:val="0"/>
    <w:docVar w:name="cmbStatus" w:val="In bewerking"/>
    <w:docVar w:name="cmbTaal" w:val="Nederlands"/>
    <w:docVar w:name="F57745525C5042F5B7F75FFEEE34067E|signerAlias" w:val="José Buijsman"/>
    <w:docVar w:name="F57745525C5042F5B7F75FFEEE34067E|txtEmail" w:val="jose.buijsman@bij12.nl"/>
    <w:docVar w:name="F57745525C5042F5B7F75FFEEE34067E|txtFunction" w:val="Manager Bedrijfsvoering/Directiesecretaris"/>
    <w:docVar w:name="F57745525C5042F5B7F75FFEEE34067E|txtMobile" w:val="055202085"/>
    <w:docVar w:name="F57745525C5042F5B7F75FFEEE34067E|txtSignerName" w:val="José Buijsman"/>
    <w:docVar w:name="GeregistreerdDM" w:val="NEE"/>
    <w:docVar w:name="lstMcColofons" w:val="19"/>
    <w:docVar w:name="lstMinDienst" w:val="7"/>
    <w:docVar w:name="NieuwDocument" w:val="Onwaar"/>
    <w:docVar w:name="SjabloonMacro" w:val="Rijksrapport"/>
    <w:docVar w:name="Sjabloonnaam" w:val="Rapport"/>
    <w:docVar w:name="txtAfzenderadres2" w:val="_x000d__x000a_Postbus 8560_x000d__x000a_3503 RN Utrecht"/>
    <w:docVar w:name="txtAuteurs" w:val="DLG: Eric Slangen, Peter van der Molen, Roy de Beijer, Albin Hunia, Joost van Beek, Linda Wassink_x000d__x000a_RIVM: Addo van Pul, Wim van der Maas, Annemarie van Alphen_x000d__x000a_AERIUS: Michiel Schram_x000d__x000a_InfoMil/Rijkswaterstaat: Carola Verbeek, Hans Groot Wassink, Patrick Dijk, Christiaan Langezaal"/>
    <w:docVar w:name="txtBezoekadres1" w:val="St. Jacobsstraat 200"/>
    <w:docVar w:name="txtBezoekadres2" w:val="3511 BT Utrecht"/>
    <w:docVar w:name="txtBijlageRapport" w:val="1-16"/>
    <w:docVar w:name="txtDag" w:val="12"/>
    <w:docVar w:name="txtDatum" w:val="12 december 2012"/>
    <w:docVar w:name="txtDatumLabel" w:val="Datum"/>
    <w:docVar w:name="txtDatumRapport" w:val="17 december 2013"/>
    <w:docVar w:name="txtFaxNr" w:val="030 275 69 99"/>
    <w:docVar w:name="txtJaar" w:val="2012"/>
    <w:docVar w:name="txtKleindochter" w:val="Kernteam  Utrecht"/>
    <w:docVar w:name="txtLegeregel1" w:val=" "/>
    <w:docVar w:name="txtLegeregel2" w:val=" "/>
    <w:docVar w:name="txtLegeregel3" w:val=" "/>
    <w:docVar w:name="txtLegeregel4" w:val=" "/>
    <w:docVar w:name="txtMaand" w:val="12"/>
    <w:docVar w:name="txtMcBestand" w:val="multicolofon.ini"/>
    <w:docVar w:name="txtMcF" w:val="F"/>
    <w:docVar w:name="txtMcM" w:val="M"/>
    <w:docVar w:name="txtMcMap" w:val="C:\Documents and Settings\Hunia\Application Data\Microsoft\Word\Opstarten\"/>
    <w:docVar w:name="txtMcT" w:val="T"/>
    <w:docVar w:name="txtMobielNr" w:val="06 52401556"/>
    <w:docVar w:name="txtNaamContactpersoon" w:val="Eric Slangen"/>
    <w:docVar w:name="txtNaamContactpersoonLabel" w:val="Contactpersoon"/>
    <w:docVar w:name="txtPostadres1" w:val="Postbus 8560"/>
    <w:docVar w:name="txtPostadres2" w:val="3503 RN Utrecht"/>
    <w:docVar w:name="txtProjectleiders" w:val="Eric Slangen, Carola Verbeek, Addo van Pul"/>
    <w:docVar w:name="txtProjectnaam" w:val="PAS Monitoring"/>
    <w:docVar w:name="txtTitel" w:val="Monitoringsplan PAS"/>
    <w:docVar w:name="txtVersie" w:val="1.1"/>
    <w:docVar w:name="txtWebsite" w:val="www.dienstlandelijkgebied.nl"/>
  </w:docVars>
  <w:rsids>
    <w:rsidRoot w:val="000D54E0"/>
    <w:rsid w:val="00001847"/>
    <w:rsid w:val="0000295C"/>
    <w:rsid w:val="0000392E"/>
    <w:rsid w:val="00003D0D"/>
    <w:rsid w:val="00010517"/>
    <w:rsid w:val="000116F5"/>
    <w:rsid w:val="00015543"/>
    <w:rsid w:val="00016692"/>
    <w:rsid w:val="0002002B"/>
    <w:rsid w:val="00020189"/>
    <w:rsid w:val="00020895"/>
    <w:rsid w:val="00020EE4"/>
    <w:rsid w:val="00025CEB"/>
    <w:rsid w:val="0002626D"/>
    <w:rsid w:val="00026447"/>
    <w:rsid w:val="00030A19"/>
    <w:rsid w:val="00032162"/>
    <w:rsid w:val="000333B1"/>
    <w:rsid w:val="00033426"/>
    <w:rsid w:val="00034A84"/>
    <w:rsid w:val="00034D94"/>
    <w:rsid w:val="00035E67"/>
    <w:rsid w:val="00044809"/>
    <w:rsid w:val="00044BD5"/>
    <w:rsid w:val="00044C08"/>
    <w:rsid w:val="00052543"/>
    <w:rsid w:val="00053F71"/>
    <w:rsid w:val="00056E3A"/>
    <w:rsid w:val="00057B03"/>
    <w:rsid w:val="0006027D"/>
    <w:rsid w:val="0006069A"/>
    <w:rsid w:val="000614AC"/>
    <w:rsid w:val="00061548"/>
    <w:rsid w:val="00065306"/>
    <w:rsid w:val="00065804"/>
    <w:rsid w:val="000707B2"/>
    <w:rsid w:val="00071F28"/>
    <w:rsid w:val="00071F82"/>
    <w:rsid w:val="000755B9"/>
    <w:rsid w:val="000769E3"/>
    <w:rsid w:val="00076F67"/>
    <w:rsid w:val="00077C1C"/>
    <w:rsid w:val="00080179"/>
    <w:rsid w:val="00081825"/>
    <w:rsid w:val="00082BB1"/>
    <w:rsid w:val="00083E98"/>
    <w:rsid w:val="00090C28"/>
    <w:rsid w:val="0009345E"/>
    <w:rsid w:val="00094B45"/>
    <w:rsid w:val="00095B85"/>
    <w:rsid w:val="00096680"/>
    <w:rsid w:val="0009737D"/>
    <w:rsid w:val="00097F3B"/>
    <w:rsid w:val="000A01F6"/>
    <w:rsid w:val="000A1036"/>
    <w:rsid w:val="000A1267"/>
    <w:rsid w:val="000A15D5"/>
    <w:rsid w:val="000A1C7C"/>
    <w:rsid w:val="000A3267"/>
    <w:rsid w:val="000A4CB1"/>
    <w:rsid w:val="000A6164"/>
    <w:rsid w:val="000A6FD9"/>
    <w:rsid w:val="000B0822"/>
    <w:rsid w:val="000B2A0F"/>
    <w:rsid w:val="000B3260"/>
    <w:rsid w:val="000B3594"/>
    <w:rsid w:val="000B363D"/>
    <w:rsid w:val="000B7281"/>
    <w:rsid w:val="000B7B2E"/>
    <w:rsid w:val="000C23DA"/>
    <w:rsid w:val="000C2D77"/>
    <w:rsid w:val="000C2F8F"/>
    <w:rsid w:val="000C3439"/>
    <w:rsid w:val="000C3F40"/>
    <w:rsid w:val="000C43A2"/>
    <w:rsid w:val="000C4577"/>
    <w:rsid w:val="000C5D99"/>
    <w:rsid w:val="000D06EC"/>
    <w:rsid w:val="000D478C"/>
    <w:rsid w:val="000D54E0"/>
    <w:rsid w:val="000D6E4C"/>
    <w:rsid w:val="000D7B90"/>
    <w:rsid w:val="000D7BB7"/>
    <w:rsid w:val="000E04E4"/>
    <w:rsid w:val="000E082D"/>
    <w:rsid w:val="000E0B9B"/>
    <w:rsid w:val="000E2021"/>
    <w:rsid w:val="000E2383"/>
    <w:rsid w:val="000E44DD"/>
    <w:rsid w:val="000E5181"/>
    <w:rsid w:val="000E5D82"/>
    <w:rsid w:val="000E5E4B"/>
    <w:rsid w:val="000E7293"/>
    <w:rsid w:val="000F0832"/>
    <w:rsid w:val="000F1659"/>
    <w:rsid w:val="000F1A72"/>
    <w:rsid w:val="000F1FED"/>
    <w:rsid w:val="000F2632"/>
    <w:rsid w:val="000F43DE"/>
    <w:rsid w:val="000F488A"/>
    <w:rsid w:val="00103C32"/>
    <w:rsid w:val="001045D3"/>
    <w:rsid w:val="001053AF"/>
    <w:rsid w:val="0010540A"/>
    <w:rsid w:val="001077A5"/>
    <w:rsid w:val="001079EB"/>
    <w:rsid w:val="0011012E"/>
    <w:rsid w:val="0011314E"/>
    <w:rsid w:val="00115810"/>
    <w:rsid w:val="00116A14"/>
    <w:rsid w:val="00116B2C"/>
    <w:rsid w:val="00117BE4"/>
    <w:rsid w:val="00120211"/>
    <w:rsid w:val="001214CD"/>
    <w:rsid w:val="0012160E"/>
    <w:rsid w:val="001221B9"/>
    <w:rsid w:val="001223D7"/>
    <w:rsid w:val="00123082"/>
    <w:rsid w:val="00123704"/>
    <w:rsid w:val="00125B79"/>
    <w:rsid w:val="001270C7"/>
    <w:rsid w:val="001306EA"/>
    <w:rsid w:val="00130F58"/>
    <w:rsid w:val="001314C8"/>
    <w:rsid w:val="001372C2"/>
    <w:rsid w:val="001376FC"/>
    <w:rsid w:val="00142814"/>
    <w:rsid w:val="001429A1"/>
    <w:rsid w:val="00142BCD"/>
    <w:rsid w:val="0014324C"/>
    <w:rsid w:val="0014786A"/>
    <w:rsid w:val="00147D9C"/>
    <w:rsid w:val="001505E4"/>
    <w:rsid w:val="001516A4"/>
    <w:rsid w:val="001552F8"/>
    <w:rsid w:val="00164E1E"/>
    <w:rsid w:val="001650CA"/>
    <w:rsid w:val="00166CDA"/>
    <w:rsid w:val="00167615"/>
    <w:rsid w:val="001737BF"/>
    <w:rsid w:val="00175121"/>
    <w:rsid w:val="00175E28"/>
    <w:rsid w:val="001767A9"/>
    <w:rsid w:val="00176DC6"/>
    <w:rsid w:val="001802CA"/>
    <w:rsid w:val="00181AC2"/>
    <w:rsid w:val="00182D43"/>
    <w:rsid w:val="00185482"/>
    <w:rsid w:val="00185576"/>
    <w:rsid w:val="00185951"/>
    <w:rsid w:val="001907A1"/>
    <w:rsid w:val="001923BF"/>
    <w:rsid w:val="001923F7"/>
    <w:rsid w:val="0019334A"/>
    <w:rsid w:val="00193D5A"/>
    <w:rsid w:val="001941CE"/>
    <w:rsid w:val="00194763"/>
    <w:rsid w:val="00195309"/>
    <w:rsid w:val="00195AB9"/>
    <w:rsid w:val="00197396"/>
    <w:rsid w:val="001976E8"/>
    <w:rsid w:val="001A1038"/>
    <w:rsid w:val="001A158E"/>
    <w:rsid w:val="001A1BDE"/>
    <w:rsid w:val="001A2505"/>
    <w:rsid w:val="001A3316"/>
    <w:rsid w:val="001A36BB"/>
    <w:rsid w:val="001A41C5"/>
    <w:rsid w:val="001A5D8F"/>
    <w:rsid w:val="001A5EAB"/>
    <w:rsid w:val="001B01A5"/>
    <w:rsid w:val="001B03FF"/>
    <w:rsid w:val="001B0D70"/>
    <w:rsid w:val="001B5302"/>
    <w:rsid w:val="001B74B4"/>
    <w:rsid w:val="001B7D7E"/>
    <w:rsid w:val="001C47F8"/>
    <w:rsid w:val="001C6878"/>
    <w:rsid w:val="001C793E"/>
    <w:rsid w:val="001D0D3B"/>
    <w:rsid w:val="001D0F1E"/>
    <w:rsid w:val="001D30C9"/>
    <w:rsid w:val="001D39F7"/>
    <w:rsid w:val="001D3A8A"/>
    <w:rsid w:val="001D48AE"/>
    <w:rsid w:val="001D4B00"/>
    <w:rsid w:val="001D5178"/>
    <w:rsid w:val="001D62BE"/>
    <w:rsid w:val="001E3336"/>
    <w:rsid w:val="001E34C6"/>
    <w:rsid w:val="001E4432"/>
    <w:rsid w:val="001E5581"/>
    <w:rsid w:val="001E5699"/>
    <w:rsid w:val="001E7856"/>
    <w:rsid w:val="001F0885"/>
    <w:rsid w:val="001F31CB"/>
    <w:rsid w:val="001F354F"/>
    <w:rsid w:val="001F3831"/>
    <w:rsid w:val="001F4151"/>
    <w:rsid w:val="001F5E55"/>
    <w:rsid w:val="001F7F2C"/>
    <w:rsid w:val="00202126"/>
    <w:rsid w:val="00202798"/>
    <w:rsid w:val="002033BD"/>
    <w:rsid w:val="0020462F"/>
    <w:rsid w:val="00204AF9"/>
    <w:rsid w:val="002072EB"/>
    <w:rsid w:val="00210A3C"/>
    <w:rsid w:val="00210FCE"/>
    <w:rsid w:val="00211FFE"/>
    <w:rsid w:val="00213674"/>
    <w:rsid w:val="00215DB5"/>
    <w:rsid w:val="002168B9"/>
    <w:rsid w:val="00216ADD"/>
    <w:rsid w:val="00221F29"/>
    <w:rsid w:val="00222188"/>
    <w:rsid w:val="00223881"/>
    <w:rsid w:val="00223ACE"/>
    <w:rsid w:val="00223ADE"/>
    <w:rsid w:val="00224B2E"/>
    <w:rsid w:val="0022655C"/>
    <w:rsid w:val="00231F92"/>
    <w:rsid w:val="00233A52"/>
    <w:rsid w:val="00233BE5"/>
    <w:rsid w:val="00234AC4"/>
    <w:rsid w:val="0023541F"/>
    <w:rsid w:val="00235FD4"/>
    <w:rsid w:val="00236DD6"/>
    <w:rsid w:val="002405B7"/>
    <w:rsid w:val="00241DAE"/>
    <w:rsid w:val="002428E3"/>
    <w:rsid w:val="00243159"/>
    <w:rsid w:val="0024496B"/>
    <w:rsid w:val="00245483"/>
    <w:rsid w:val="0025090F"/>
    <w:rsid w:val="00250CD3"/>
    <w:rsid w:val="00254B7D"/>
    <w:rsid w:val="00260BAF"/>
    <w:rsid w:val="002621C4"/>
    <w:rsid w:val="00262B32"/>
    <w:rsid w:val="00263D63"/>
    <w:rsid w:val="00264481"/>
    <w:rsid w:val="00264F05"/>
    <w:rsid w:val="002650F7"/>
    <w:rsid w:val="0026601A"/>
    <w:rsid w:val="00271304"/>
    <w:rsid w:val="00274EAC"/>
    <w:rsid w:val="00276440"/>
    <w:rsid w:val="0027649E"/>
    <w:rsid w:val="002766AB"/>
    <w:rsid w:val="0027753F"/>
    <w:rsid w:val="00277C96"/>
    <w:rsid w:val="00280481"/>
    <w:rsid w:val="00280F74"/>
    <w:rsid w:val="002830C8"/>
    <w:rsid w:val="00286998"/>
    <w:rsid w:val="00294859"/>
    <w:rsid w:val="00294FB0"/>
    <w:rsid w:val="002960A7"/>
    <w:rsid w:val="00297FEC"/>
    <w:rsid w:val="002A227B"/>
    <w:rsid w:val="002A327F"/>
    <w:rsid w:val="002A5C08"/>
    <w:rsid w:val="002B0008"/>
    <w:rsid w:val="002B0039"/>
    <w:rsid w:val="002B031E"/>
    <w:rsid w:val="002B153C"/>
    <w:rsid w:val="002B168E"/>
    <w:rsid w:val="002B1AC0"/>
    <w:rsid w:val="002B2CA1"/>
    <w:rsid w:val="002B3DDD"/>
    <w:rsid w:val="002B43AF"/>
    <w:rsid w:val="002B6066"/>
    <w:rsid w:val="002B6EB2"/>
    <w:rsid w:val="002C0DFF"/>
    <w:rsid w:val="002C155D"/>
    <w:rsid w:val="002C29DA"/>
    <w:rsid w:val="002C47AB"/>
    <w:rsid w:val="002C7DB4"/>
    <w:rsid w:val="002D0F0A"/>
    <w:rsid w:val="002D12D7"/>
    <w:rsid w:val="002D2B07"/>
    <w:rsid w:val="002D2BEB"/>
    <w:rsid w:val="002D3170"/>
    <w:rsid w:val="002D317B"/>
    <w:rsid w:val="002D41F4"/>
    <w:rsid w:val="002D5768"/>
    <w:rsid w:val="002D61A6"/>
    <w:rsid w:val="002D711A"/>
    <w:rsid w:val="002D715B"/>
    <w:rsid w:val="002D724F"/>
    <w:rsid w:val="002D75BD"/>
    <w:rsid w:val="002D7CFC"/>
    <w:rsid w:val="002E02F6"/>
    <w:rsid w:val="002E0DC7"/>
    <w:rsid w:val="002E0F69"/>
    <w:rsid w:val="002E10BB"/>
    <w:rsid w:val="002E14E1"/>
    <w:rsid w:val="002E26E2"/>
    <w:rsid w:val="002E3D84"/>
    <w:rsid w:val="002E5AC7"/>
    <w:rsid w:val="002E5C91"/>
    <w:rsid w:val="002F0510"/>
    <w:rsid w:val="002F0EEA"/>
    <w:rsid w:val="002F35DC"/>
    <w:rsid w:val="002F4D8F"/>
    <w:rsid w:val="002F5B3A"/>
    <w:rsid w:val="002F604F"/>
    <w:rsid w:val="0030004D"/>
    <w:rsid w:val="003022A2"/>
    <w:rsid w:val="003030E6"/>
    <w:rsid w:val="003034B0"/>
    <w:rsid w:val="003045C2"/>
    <w:rsid w:val="00306613"/>
    <w:rsid w:val="003067C2"/>
    <w:rsid w:val="00311662"/>
    <w:rsid w:val="0031188D"/>
    <w:rsid w:val="00312597"/>
    <w:rsid w:val="003137D2"/>
    <w:rsid w:val="00320847"/>
    <w:rsid w:val="003210E2"/>
    <w:rsid w:val="0032355C"/>
    <w:rsid w:val="00323B54"/>
    <w:rsid w:val="00326CFC"/>
    <w:rsid w:val="003305CF"/>
    <w:rsid w:val="00332F70"/>
    <w:rsid w:val="003335CC"/>
    <w:rsid w:val="00341BAF"/>
    <w:rsid w:val="003428D3"/>
    <w:rsid w:val="00342938"/>
    <w:rsid w:val="00352364"/>
    <w:rsid w:val="00352897"/>
    <w:rsid w:val="00353458"/>
    <w:rsid w:val="003536B1"/>
    <w:rsid w:val="00353D56"/>
    <w:rsid w:val="00353F7A"/>
    <w:rsid w:val="00354ACD"/>
    <w:rsid w:val="003572B3"/>
    <w:rsid w:val="0036223B"/>
    <w:rsid w:val="0036252A"/>
    <w:rsid w:val="00364D9D"/>
    <w:rsid w:val="00367225"/>
    <w:rsid w:val="00370583"/>
    <w:rsid w:val="003711DF"/>
    <w:rsid w:val="003737A8"/>
    <w:rsid w:val="00373CF7"/>
    <w:rsid w:val="003743C6"/>
    <w:rsid w:val="0037461E"/>
    <w:rsid w:val="00374748"/>
    <w:rsid w:val="00374BF1"/>
    <w:rsid w:val="00375BA8"/>
    <w:rsid w:val="00376132"/>
    <w:rsid w:val="00376CD5"/>
    <w:rsid w:val="00376E24"/>
    <w:rsid w:val="00383906"/>
    <w:rsid w:val="00383AD0"/>
    <w:rsid w:val="00383DA1"/>
    <w:rsid w:val="00383E50"/>
    <w:rsid w:val="003849EF"/>
    <w:rsid w:val="00390ACD"/>
    <w:rsid w:val="003952EB"/>
    <w:rsid w:val="00395F2F"/>
    <w:rsid w:val="0039744C"/>
    <w:rsid w:val="00397A6A"/>
    <w:rsid w:val="003A046B"/>
    <w:rsid w:val="003A06C8"/>
    <w:rsid w:val="003A0D7C"/>
    <w:rsid w:val="003A1A12"/>
    <w:rsid w:val="003A1B47"/>
    <w:rsid w:val="003A1B8C"/>
    <w:rsid w:val="003A1F4E"/>
    <w:rsid w:val="003A2437"/>
    <w:rsid w:val="003A4893"/>
    <w:rsid w:val="003A53EE"/>
    <w:rsid w:val="003A6E20"/>
    <w:rsid w:val="003A74F5"/>
    <w:rsid w:val="003A788D"/>
    <w:rsid w:val="003A7B63"/>
    <w:rsid w:val="003B13F1"/>
    <w:rsid w:val="003B1C80"/>
    <w:rsid w:val="003B26FE"/>
    <w:rsid w:val="003B2CA3"/>
    <w:rsid w:val="003B32DB"/>
    <w:rsid w:val="003B58E3"/>
    <w:rsid w:val="003B610C"/>
    <w:rsid w:val="003B710C"/>
    <w:rsid w:val="003B7420"/>
    <w:rsid w:val="003B7612"/>
    <w:rsid w:val="003B7EE7"/>
    <w:rsid w:val="003C0A60"/>
    <w:rsid w:val="003C132B"/>
    <w:rsid w:val="003C18C0"/>
    <w:rsid w:val="003C34F7"/>
    <w:rsid w:val="003C39EB"/>
    <w:rsid w:val="003C7A58"/>
    <w:rsid w:val="003C7E4F"/>
    <w:rsid w:val="003D0EAB"/>
    <w:rsid w:val="003D27AB"/>
    <w:rsid w:val="003D29A4"/>
    <w:rsid w:val="003D3024"/>
    <w:rsid w:val="003D35B7"/>
    <w:rsid w:val="003D39EC"/>
    <w:rsid w:val="003D607C"/>
    <w:rsid w:val="003D6FC8"/>
    <w:rsid w:val="003E1ECF"/>
    <w:rsid w:val="003E3DD5"/>
    <w:rsid w:val="003E6209"/>
    <w:rsid w:val="003F0E1D"/>
    <w:rsid w:val="003F1A4E"/>
    <w:rsid w:val="003F2AC4"/>
    <w:rsid w:val="003F2BC0"/>
    <w:rsid w:val="003F3CBF"/>
    <w:rsid w:val="003F44B7"/>
    <w:rsid w:val="003F4A16"/>
    <w:rsid w:val="003F570E"/>
    <w:rsid w:val="003F70C0"/>
    <w:rsid w:val="003F7A1E"/>
    <w:rsid w:val="00400213"/>
    <w:rsid w:val="0040081D"/>
    <w:rsid w:val="00401056"/>
    <w:rsid w:val="004014D0"/>
    <w:rsid w:val="0040177B"/>
    <w:rsid w:val="0040178D"/>
    <w:rsid w:val="00402477"/>
    <w:rsid w:val="00404A37"/>
    <w:rsid w:val="00406AFC"/>
    <w:rsid w:val="00407109"/>
    <w:rsid w:val="00407205"/>
    <w:rsid w:val="0041123A"/>
    <w:rsid w:val="004114C0"/>
    <w:rsid w:val="004127BE"/>
    <w:rsid w:val="0041381C"/>
    <w:rsid w:val="00413D48"/>
    <w:rsid w:val="00416837"/>
    <w:rsid w:val="004213B0"/>
    <w:rsid w:val="00421CBF"/>
    <w:rsid w:val="004223AD"/>
    <w:rsid w:val="00422C43"/>
    <w:rsid w:val="00422FEE"/>
    <w:rsid w:val="0042321D"/>
    <w:rsid w:val="004254EB"/>
    <w:rsid w:val="00427BD6"/>
    <w:rsid w:val="00431029"/>
    <w:rsid w:val="0043204F"/>
    <w:rsid w:val="0043489F"/>
    <w:rsid w:val="00435544"/>
    <w:rsid w:val="00435CD6"/>
    <w:rsid w:val="00437E7C"/>
    <w:rsid w:val="0044044C"/>
    <w:rsid w:val="004405F6"/>
    <w:rsid w:val="00440C48"/>
    <w:rsid w:val="00441AC2"/>
    <w:rsid w:val="00442C33"/>
    <w:rsid w:val="00443441"/>
    <w:rsid w:val="00443579"/>
    <w:rsid w:val="00444212"/>
    <w:rsid w:val="00444592"/>
    <w:rsid w:val="004465F2"/>
    <w:rsid w:val="0044775C"/>
    <w:rsid w:val="00451B7E"/>
    <w:rsid w:val="004520E4"/>
    <w:rsid w:val="0045258A"/>
    <w:rsid w:val="004527B1"/>
    <w:rsid w:val="00452BCD"/>
    <w:rsid w:val="00456B63"/>
    <w:rsid w:val="00465C1B"/>
    <w:rsid w:val="00470AC1"/>
    <w:rsid w:val="00471D17"/>
    <w:rsid w:val="00476298"/>
    <w:rsid w:val="00480505"/>
    <w:rsid w:val="00480E75"/>
    <w:rsid w:val="00483F0B"/>
    <w:rsid w:val="0048410B"/>
    <w:rsid w:val="00485880"/>
    <w:rsid w:val="00485985"/>
    <w:rsid w:val="00491CFE"/>
    <w:rsid w:val="004924D5"/>
    <w:rsid w:val="004925EA"/>
    <w:rsid w:val="00492A5E"/>
    <w:rsid w:val="00492CB4"/>
    <w:rsid w:val="00494238"/>
    <w:rsid w:val="004949E6"/>
    <w:rsid w:val="00496928"/>
    <w:rsid w:val="004979E8"/>
    <w:rsid w:val="004A4859"/>
    <w:rsid w:val="004A5012"/>
    <w:rsid w:val="004A63B8"/>
    <w:rsid w:val="004B02EC"/>
    <w:rsid w:val="004B1578"/>
    <w:rsid w:val="004B1877"/>
    <w:rsid w:val="004B4663"/>
    <w:rsid w:val="004B5452"/>
    <w:rsid w:val="004B5465"/>
    <w:rsid w:val="004B6E43"/>
    <w:rsid w:val="004B7135"/>
    <w:rsid w:val="004B7A11"/>
    <w:rsid w:val="004C0BC9"/>
    <w:rsid w:val="004C215D"/>
    <w:rsid w:val="004C2E90"/>
    <w:rsid w:val="004C37D0"/>
    <w:rsid w:val="004C3ABD"/>
    <w:rsid w:val="004C3CBC"/>
    <w:rsid w:val="004C50B8"/>
    <w:rsid w:val="004C5818"/>
    <w:rsid w:val="004C61C4"/>
    <w:rsid w:val="004C72F8"/>
    <w:rsid w:val="004C7B6D"/>
    <w:rsid w:val="004C7E04"/>
    <w:rsid w:val="004D26AF"/>
    <w:rsid w:val="004D7F94"/>
    <w:rsid w:val="004E078B"/>
    <w:rsid w:val="004E13BE"/>
    <w:rsid w:val="004E32F0"/>
    <w:rsid w:val="004E33BD"/>
    <w:rsid w:val="004E5FC9"/>
    <w:rsid w:val="004E6B40"/>
    <w:rsid w:val="004F1154"/>
    <w:rsid w:val="004F1408"/>
    <w:rsid w:val="004F202A"/>
    <w:rsid w:val="00510543"/>
    <w:rsid w:val="00511D9E"/>
    <w:rsid w:val="00512558"/>
    <w:rsid w:val="005139A3"/>
    <w:rsid w:val="005151AC"/>
    <w:rsid w:val="00516022"/>
    <w:rsid w:val="0051660D"/>
    <w:rsid w:val="00517D8C"/>
    <w:rsid w:val="00517E7A"/>
    <w:rsid w:val="005210C5"/>
    <w:rsid w:val="00521CEE"/>
    <w:rsid w:val="005226F9"/>
    <w:rsid w:val="00522F1F"/>
    <w:rsid w:val="00523298"/>
    <w:rsid w:val="0052590E"/>
    <w:rsid w:val="00531244"/>
    <w:rsid w:val="00533BFE"/>
    <w:rsid w:val="00533FF3"/>
    <w:rsid w:val="00534880"/>
    <w:rsid w:val="00535F08"/>
    <w:rsid w:val="00536ADC"/>
    <w:rsid w:val="00536B21"/>
    <w:rsid w:val="00536EB9"/>
    <w:rsid w:val="00537275"/>
    <w:rsid w:val="005424EE"/>
    <w:rsid w:val="005447A7"/>
    <w:rsid w:val="005458C0"/>
    <w:rsid w:val="005464CD"/>
    <w:rsid w:val="00546ADD"/>
    <w:rsid w:val="00550621"/>
    <w:rsid w:val="00553433"/>
    <w:rsid w:val="00555ED3"/>
    <w:rsid w:val="005631B8"/>
    <w:rsid w:val="00563E08"/>
    <w:rsid w:val="0056454C"/>
    <w:rsid w:val="00566308"/>
    <w:rsid w:val="00567BD0"/>
    <w:rsid w:val="00572121"/>
    <w:rsid w:val="005727A3"/>
    <w:rsid w:val="00573041"/>
    <w:rsid w:val="0057386A"/>
    <w:rsid w:val="00573F14"/>
    <w:rsid w:val="005768B7"/>
    <w:rsid w:val="00576E29"/>
    <w:rsid w:val="00581FD0"/>
    <w:rsid w:val="00582C88"/>
    <w:rsid w:val="005842FA"/>
    <w:rsid w:val="005850D7"/>
    <w:rsid w:val="0058588F"/>
    <w:rsid w:val="005858E7"/>
    <w:rsid w:val="00585B3A"/>
    <w:rsid w:val="00585D73"/>
    <w:rsid w:val="00585E2E"/>
    <w:rsid w:val="00586DC2"/>
    <w:rsid w:val="005903FB"/>
    <w:rsid w:val="0059416C"/>
    <w:rsid w:val="00595A36"/>
    <w:rsid w:val="005A03A3"/>
    <w:rsid w:val="005A0B37"/>
    <w:rsid w:val="005A18CF"/>
    <w:rsid w:val="005A1C59"/>
    <w:rsid w:val="005A2C49"/>
    <w:rsid w:val="005B0BC7"/>
    <w:rsid w:val="005B1123"/>
    <w:rsid w:val="005B1AD9"/>
    <w:rsid w:val="005B2624"/>
    <w:rsid w:val="005B27C1"/>
    <w:rsid w:val="005B4F97"/>
    <w:rsid w:val="005B7561"/>
    <w:rsid w:val="005B77E3"/>
    <w:rsid w:val="005B791D"/>
    <w:rsid w:val="005C0B93"/>
    <w:rsid w:val="005C164B"/>
    <w:rsid w:val="005C182B"/>
    <w:rsid w:val="005C1A3A"/>
    <w:rsid w:val="005C3FE0"/>
    <w:rsid w:val="005C4A55"/>
    <w:rsid w:val="005C740C"/>
    <w:rsid w:val="005C7DAC"/>
    <w:rsid w:val="005D0300"/>
    <w:rsid w:val="005D3E7C"/>
    <w:rsid w:val="005D42AF"/>
    <w:rsid w:val="005D75A9"/>
    <w:rsid w:val="005E1076"/>
    <w:rsid w:val="005E1A72"/>
    <w:rsid w:val="005E2F83"/>
    <w:rsid w:val="005E5614"/>
    <w:rsid w:val="005E6CB8"/>
    <w:rsid w:val="005E7FF9"/>
    <w:rsid w:val="005F0015"/>
    <w:rsid w:val="005F06A8"/>
    <w:rsid w:val="005F0E31"/>
    <w:rsid w:val="005F275F"/>
    <w:rsid w:val="005F2F08"/>
    <w:rsid w:val="005F707F"/>
    <w:rsid w:val="00600314"/>
    <w:rsid w:val="00601348"/>
    <w:rsid w:val="00603734"/>
    <w:rsid w:val="00604859"/>
    <w:rsid w:val="006048F4"/>
    <w:rsid w:val="0060660A"/>
    <w:rsid w:val="00606FCD"/>
    <w:rsid w:val="00607472"/>
    <w:rsid w:val="00610C98"/>
    <w:rsid w:val="00612294"/>
    <w:rsid w:val="00613F6C"/>
    <w:rsid w:val="00613F87"/>
    <w:rsid w:val="00615520"/>
    <w:rsid w:val="00616857"/>
    <w:rsid w:val="00617A44"/>
    <w:rsid w:val="006218D1"/>
    <w:rsid w:val="00621C6C"/>
    <w:rsid w:val="00625CD0"/>
    <w:rsid w:val="00631CD3"/>
    <w:rsid w:val="006333EC"/>
    <w:rsid w:val="00634096"/>
    <w:rsid w:val="00634B6F"/>
    <w:rsid w:val="00635DE3"/>
    <w:rsid w:val="006365F6"/>
    <w:rsid w:val="00637E31"/>
    <w:rsid w:val="00641BE0"/>
    <w:rsid w:val="00644AC4"/>
    <w:rsid w:val="00645377"/>
    <w:rsid w:val="00645EC4"/>
    <w:rsid w:val="006469F6"/>
    <w:rsid w:val="00650269"/>
    <w:rsid w:val="006502AB"/>
    <w:rsid w:val="00650370"/>
    <w:rsid w:val="0065050C"/>
    <w:rsid w:val="006538E6"/>
    <w:rsid w:val="006614C4"/>
    <w:rsid w:val="00661591"/>
    <w:rsid w:val="00663C33"/>
    <w:rsid w:val="00665008"/>
    <w:rsid w:val="00665895"/>
    <w:rsid w:val="00665C98"/>
    <w:rsid w:val="0066632F"/>
    <w:rsid w:val="006665E1"/>
    <w:rsid w:val="00666FCD"/>
    <w:rsid w:val="00667BAB"/>
    <w:rsid w:val="0067147A"/>
    <w:rsid w:val="00671EC4"/>
    <w:rsid w:val="006725B0"/>
    <w:rsid w:val="00673343"/>
    <w:rsid w:val="00675C58"/>
    <w:rsid w:val="006808F3"/>
    <w:rsid w:val="0068164C"/>
    <w:rsid w:val="006822F2"/>
    <w:rsid w:val="0068397F"/>
    <w:rsid w:val="0068423C"/>
    <w:rsid w:val="006866EB"/>
    <w:rsid w:val="0068724D"/>
    <w:rsid w:val="0069415C"/>
    <w:rsid w:val="0069684B"/>
    <w:rsid w:val="00696CBD"/>
    <w:rsid w:val="00697119"/>
    <w:rsid w:val="00697F8F"/>
    <w:rsid w:val="006A05C5"/>
    <w:rsid w:val="006A0E8D"/>
    <w:rsid w:val="006A1D50"/>
    <w:rsid w:val="006A50C7"/>
    <w:rsid w:val="006A59C2"/>
    <w:rsid w:val="006A5A18"/>
    <w:rsid w:val="006A5CE5"/>
    <w:rsid w:val="006A72BA"/>
    <w:rsid w:val="006A7B1F"/>
    <w:rsid w:val="006B03AF"/>
    <w:rsid w:val="006B203B"/>
    <w:rsid w:val="006B2D11"/>
    <w:rsid w:val="006B2F7C"/>
    <w:rsid w:val="006B4C97"/>
    <w:rsid w:val="006B4D4F"/>
    <w:rsid w:val="006B4D58"/>
    <w:rsid w:val="006B51C7"/>
    <w:rsid w:val="006B6949"/>
    <w:rsid w:val="006B7A7C"/>
    <w:rsid w:val="006B7F40"/>
    <w:rsid w:val="006C017A"/>
    <w:rsid w:val="006C241F"/>
    <w:rsid w:val="006C2535"/>
    <w:rsid w:val="006C2B7C"/>
    <w:rsid w:val="006C36B1"/>
    <w:rsid w:val="006C56CB"/>
    <w:rsid w:val="006C5F7A"/>
    <w:rsid w:val="006C703E"/>
    <w:rsid w:val="006C7745"/>
    <w:rsid w:val="006D0870"/>
    <w:rsid w:val="006D2329"/>
    <w:rsid w:val="006D2C19"/>
    <w:rsid w:val="006D2C63"/>
    <w:rsid w:val="006D4B0D"/>
    <w:rsid w:val="006D60B4"/>
    <w:rsid w:val="006D6450"/>
    <w:rsid w:val="006D6BDF"/>
    <w:rsid w:val="006D75E1"/>
    <w:rsid w:val="006E0370"/>
    <w:rsid w:val="006E0BDA"/>
    <w:rsid w:val="006E1399"/>
    <w:rsid w:val="006E263E"/>
    <w:rsid w:val="006E3546"/>
    <w:rsid w:val="006E54B4"/>
    <w:rsid w:val="006E56C5"/>
    <w:rsid w:val="006E65BD"/>
    <w:rsid w:val="006E7216"/>
    <w:rsid w:val="006E77B9"/>
    <w:rsid w:val="006F0917"/>
    <w:rsid w:val="006F0F93"/>
    <w:rsid w:val="006F1CA0"/>
    <w:rsid w:val="006F1D8B"/>
    <w:rsid w:val="006F2508"/>
    <w:rsid w:val="006F27B2"/>
    <w:rsid w:val="006F35FA"/>
    <w:rsid w:val="006F4A5F"/>
    <w:rsid w:val="006F5A7C"/>
    <w:rsid w:val="006F74D8"/>
    <w:rsid w:val="006F776D"/>
    <w:rsid w:val="007009EE"/>
    <w:rsid w:val="00701835"/>
    <w:rsid w:val="00701CD8"/>
    <w:rsid w:val="00701DD0"/>
    <w:rsid w:val="0070324F"/>
    <w:rsid w:val="00703AEF"/>
    <w:rsid w:val="00703F44"/>
    <w:rsid w:val="00704EB9"/>
    <w:rsid w:val="007101C9"/>
    <w:rsid w:val="00710676"/>
    <w:rsid w:val="00710C86"/>
    <w:rsid w:val="00711A44"/>
    <w:rsid w:val="00712B9D"/>
    <w:rsid w:val="00715237"/>
    <w:rsid w:val="00715A0E"/>
    <w:rsid w:val="00715F39"/>
    <w:rsid w:val="007160DB"/>
    <w:rsid w:val="007163D1"/>
    <w:rsid w:val="007168DB"/>
    <w:rsid w:val="007172ED"/>
    <w:rsid w:val="00721405"/>
    <w:rsid w:val="007218F1"/>
    <w:rsid w:val="007243DD"/>
    <w:rsid w:val="007254A5"/>
    <w:rsid w:val="00725748"/>
    <w:rsid w:val="00727BAA"/>
    <w:rsid w:val="00731D28"/>
    <w:rsid w:val="007322B7"/>
    <w:rsid w:val="007327BB"/>
    <w:rsid w:val="00732BCA"/>
    <w:rsid w:val="00733B55"/>
    <w:rsid w:val="00734C95"/>
    <w:rsid w:val="0073720D"/>
    <w:rsid w:val="00737791"/>
    <w:rsid w:val="007402E0"/>
    <w:rsid w:val="007417B6"/>
    <w:rsid w:val="00741A54"/>
    <w:rsid w:val="00741CB6"/>
    <w:rsid w:val="00741CDE"/>
    <w:rsid w:val="0074228C"/>
    <w:rsid w:val="00742AB9"/>
    <w:rsid w:val="00743E6F"/>
    <w:rsid w:val="00744229"/>
    <w:rsid w:val="00744572"/>
    <w:rsid w:val="007458AD"/>
    <w:rsid w:val="007458C3"/>
    <w:rsid w:val="007458E1"/>
    <w:rsid w:val="007478EE"/>
    <w:rsid w:val="00754FBF"/>
    <w:rsid w:val="007552B9"/>
    <w:rsid w:val="00755914"/>
    <w:rsid w:val="00755A64"/>
    <w:rsid w:val="00755B80"/>
    <w:rsid w:val="00755B89"/>
    <w:rsid w:val="0076016D"/>
    <w:rsid w:val="007621A8"/>
    <w:rsid w:val="0076248E"/>
    <w:rsid w:val="00763347"/>
    <w:rsid w:val="007642D8"/>
    <w:rsid w:val="007650A1"/>
    <w:rsid w:val="00765592"/>
    <w:rsid w:val="00765CF0"/>
    <w:rsid w:val="00766FC5"/>
    <w:rsid w:val="00766FE9"/>
    <w:rsid w:val="007670DF"/>
    <w:rsid w:val="0076717E"/>
    <w:rsid w:val="00767A9A"/>
    <w:rsid w:val="007707A7"/>
    <w:rsid w:val="00771EC3"/>
    <w:rsid w:val="0077423E"/>
    <w:rsid w:val="0077461F"/>
    <w:rsid w:val="00775185"/>
    <w:rsid w:val="00775344"/>
    <w:rsid w:val="007777DF"/>
    <w:rsid w:val="00782826"/>
    <w:rsid w:val="00783559"/>
    <w:rsid w:val="00783DB6"/>
    <w:rsid w:val="007870BA"/>
    <w:rsid w:val="007908BA"/>
    <w:rsid w:val="007917C8"/>
    <w:rsid w:val="00792BCB"/>
    <w:rsid w:val="00794FA5"/>
    <w:rsid w:val="0079646C"/>
    <w:rsid w:val="007A03A4"/>
    <w:rsid w:val="007A0770"/>
    <w:rsid w:val="007A13E0"/>
    <w:rsid w:val="007A27A5"/>
    <w:rsid w:val="007A3270"/>
    <w:rsid w:val="007A4105"/>
    <w:rsid w:val="007A474C"/>
    <w:rsid w:val="007B010B"/>
    <w:rsid w:val="007B0280"/>
    <w:rsid w:val="007B1690"/>
    <w:rsid w:val="007B4496"/>
    <w:rsid w:val="007B44DB"/>
    <w:rsid w:val="007B4A6E"/>
    <w:rsid w:val="007B4F03"/>
    <w:rsid w:val="007B5EEB"/>
    <w:rsid w:val="007B6353"/>
    <w:rsid w:val="007B6526"/>
    <w:rsid w:val="007B664A"/>
    <w:rsid w:val="007B6693"/>
    <w:rsid w:val="007C0B0E"/>
    <w:rsid w:val="007C1C27"/>
    <w:rsid w:val="007C2638"/>
    <w:rsid w:val="007C34A7"/>
    <w:rsid w:val="007C406E"/>
    <w:rsid w:val="007C75F5"/>
    <w:rsid w:val="007D2F51"/>
    <w:rsid w:val="007D4431"/>
    <w:rsid w:val="007D5EB8"/>
    <w:rsid w:val="007D68B4"/>
    <w:rsid w:val="007D7AE9"/>
    <w:rsid w:val="007E017A"/>
    <w:rsid w:val="007E0AD3"/>
    <w:rsid w:val="007E10C9"/>
    <w:rsid w:val="007E3B63"/>
    <w:rsid w:val="007E403F"/>
    <w:rsid w:val="007E4B0C"/>
    <w:rsid w:val="007E5C0D"/>
    <w:rsid w:val="007E72F0"/>
    <w:rsid w:val="007E73CC"/>
    <w:rsid w:val="007F3CF3"/>
    <w:rsid w:val="007F428E"/>
    <w:rsid w:val="008014D4"/>
    <w:rsid w:val="00806311"/>
    <w:rsid w:val="00806B93"/>
    <w:rsid w:val="00807614"/>
    <w:rsid w:val="00807C29"/>
    <w:rsid w:val="00812028"/>
    <w:rsid w:val="0081377F"/>
    <w:rsid w:val="00813A1D"/>
    <w:rsid w:val="00813D2D"/>
    <w:rsid w:val="00814D03"/>
    <w:rsid w:val="00816074"/>
    <w:rsid w:val="00817854"/>
    <w:rsid w:val="008179D4"/>
    <w:rsid w:val="00820CC3"/>
    <w:rsid w:val="00821E74"/>
    <w:rsid w:val="00822D40"/>
    <w:rsid w:val="00825F18"/>
    <w:rsid w:val="00826A44"/>
    <w:rsid w:val="00826C2F"/>
    <w:rsid w:val="00830FCE"/>
    <w:rsid w:val="0083178B"/>
    <w:rsid w:val="00831A6E"/>
    <w:rsid w:val="00831C8C"/>
    <w:rsid w:val="00833695"/>
    <w:rsid w:val="00834002"/>
    <w:rsid w:val="00834199"/>
    <w:rsid w:val="00834CD1"/>
    <w:rsid w:val="00836409"/>
    <w:rsid w:val="00836553"/>
    <w:rsid w:val="00842CD8"/>
    <w:rsid w:val="008457D3"/>
    <w:rsid w:val="008459F6"/>
    <w:rsid w:val="00852AE1"/>
    <w:rsid w:val="00853E2B"/>
    <w:rsid w:val="008553C7"/>
    <w:rsid w:val="00855A84"/>
    <w:rsid w:val="00857FEB"/>
    <w:rsid w:val="00860B95"/>
    <w:rsid w:val="00860DBA"/>
    <w:rsid w:val="008616E0"/>
    <w:rsid w:val="00862050"/>
    <w:rsid w:val="008646B0"/>
    <w:rsid w:val="008666D2"/>
    <w:rsid w:val="008672F8"/>
    <w:rsid w:val="00867DC1"/>
    <w:rsid w:val="0087208E"/>
    <w:rsid w:val="00872B4D"/>
    <w:rsid w:val="008732D2"/>
    <w:rsid w:val="008737F8"/>
    <w:rsid w:val="00875146"/>
    <w:rsid w:val="008757E7"/>
    <w:rsid w:val="00880E8F"/>
    <w:rsid w:val="008878A9"/>
    <w:rsid w:val="00891692"/>
    <w:rsid w:val="0089308D"/>
    <w:rsid w:val="00895B66"/>
    <w:rsid w:val="008965EF"/>
    <w:rsid w:val="008965F6"/>
    <w:rsid w:val="0089723A"/>
    <w:rsid w:val="008A30AA"/>
    <w:rsid w:val="008A3DCE"/>
    <w:rsid w:val="008A43ED"/>
    <w:rsid w:val="008A7550"/>
    <w:rsid w:val="008A7B24"/>
    <w:rsid w:val="008A7E81"/>
    <w:rsid w:val="008B1377"/>
    <w:rsid w:val="008B293E"/>
    <w:rsid w:val="008B3929"/>
    <w:rsid w:val="008B3C2F"/>
    <w:rsid w:val="008B3CAE"/>
    <w:rsid w:val="008B400F"/>
    <w:rsid w:val="008B4CB3"/>
    <w:rsid w:val="008B5212"/>
    <w:rsid w:val="008B54B2"/>
    <w:rsid w:val="008B5C83"/>
    <w:rsid w:val="008B6360"/>
    <w:rsid w:val="008C0800"/>
    <w:rsid w:val="008C0DDA"/>
    <w:rsid w:val="008C2E94"/>
    <w:rsid w:val="008C46FD"/>
    <w:rsid w:val="008C67AF"/>
    <w:rsid w:val="008D28AF"/>
    <w:rsid w:val="008D7577"/>
    <w:rsid w:val="008D7D50"/>
    <w:rsid w:val="008E5C84"/>
    <w:rsid w:val="008E7068"/>
    <w:rsid w:val="008E728B"/>
    <w:rsid w:val="008F0C84"/>
    <w:rsid w:val="008F2143"/>
    <w:rsid w:val="008F25B9"/>
    <w:rsid w:val="008F3BC2"/>
    <w:rsid w:val="008F51AE"/>
    <w:rsid w:val="008F78E5"/>
    <w:rsid w:val="008F7C78"/>
    <w:rsid w:val="009028DD"/>
    <w:rsid w:val="009034DA"/>
    <w:rsid w:val="00903E8F"/>
    <w:rsid w:val="00904A57"/>
    <w:rsid w:val="00904D57"/>
    <w:rsid w:val="00905676"/>
    <w:rsid w:val="00905D8E"/>
    <w:rsid w:val="0090710E"/>
    <w:rsid w:val="00910642"/>
    <w:rsid w:val="0091120F"/>
    <w:rsid w:val="00913F59"/>
    <w:rsid w:val="00914075"/>
    <w:rsid w:val="00914659"/>
    <w:rsid w:val="00915889"/>
    <w:rsid w:val="00916117"/>
    <w:rsid w:val="00917544"/>
    <w:rsid w:val="00917821"/>
    <w:rsid w:val="009204EB"/>
    <w:rsid w:val="0092499B"/>
    <w:rsid w:val="00924A3B"/>
    <w:rsid w:val="00924E59"/>
    <w:rsid w:val="009274B0"/>
    <w:rsid w:val="009311C8"/>
    <w:rsid w:val="00931E55"/>
    <w:rsid w:val="00933376"/>
    <w:rsid w:val="009336FC"/>
    <w:rsid w:val="00937ED1"/>
    <w:rsid w:val="009421CF"/>
    <w:rsid w:val="00942355"/>
    <w:rsid w:val="00943423"/>
    <w:rsid w:val="0095093F"/>
    <w:rsid w:val="00953CB4"/>
    <w:rsid w:val="00953FB1"/>
    <w:rsid w:val="00954E37"/>
    <w:rsid w:val="009572D7"/>
    <w:rsid w:val="0095748C"/>
    <w:rsid w:val="00960279"/>
    <w:rsid w:val="0096088B"/>
    <w:rsid w:val="0096100E"/>
    <w:rsid w:val="00961FA7"/>
    <w:rsid w:val="00962368"/>
    <w:rsid w:val="009623EC"/>
    <w:rsid w:val="00965440"/>
    <w:rsid w:val="009660AF"/>
    <w:rsid w:val="009668DE"/>
    <w:rsid w:val="0096697B"/>
    <w:rsid w:val="00967313"/>
    <w:rsid w:val="00967A9E"/>
    <w:rsid w:val="00970881"/>
    <w:rsid w:val="009718F9"/>
    <w:rsid w:val="00974337"/>
    <w:rsid w:val="00975112"/>
    <w:rsid w:val="00975202"/>
    <w:rsid w:val="009753D7"/>
    <w:rsid w:val="00975BEE"/>
    <w:rsid w:val="00975E1E"/>
    <w:rsid w:val="00975FE4"/>
    <w:rsid w:val="00976795"/>
    <w:rsid w:val="0097766A"/>
    <w:rsid w:val="00983333"/>
    <w:rsid w:val="0098381A"/>
    <w:rsid w:val="009840EF"/>
    <w:rsid w:val="00984D28"/>
    <w:rsid w:val="00987842"/>
    <w:rsid w:val="00990072"/>
    <w:rsid w:val="00991B5F"/>
    <w:rsid w:val="00993A5A"/>
    <w:rsid w:val="0099464A"/>
    <w:rsid w:val="00994E64"/>
    <w:rsid w:val="009A135E"/>
    <w:rsid w:val="009A24E6"/>
    <w:rsid w:val="009A2CD5"/>
    <w:rsid w:val="009A3370"/>
    <w:rsid w:val="009A3B71"/>
    <w:rsid w:val="009A3CA0"/>
    <w:rsid w:val="009A5C4B"/>
    <w:rsid w:val="009A61BC"/>
    <w:rsid w:val="009A676D"/>
    <w:rsid w:val="009A7078"/>
    <w:rsid w:val="009B0FE1"/>
    <w:rsid w:val="009B1BCA"/>
    <w:rsid w:val="009B424D"/>
    <w:rsid w:val="009B6BD9"/>
    <w:rsid w:val="009C08B0"/>
    <w:rsid w:val="009C1AC6"/>
    <w:rsid w:val="009C3B58"/>
    <w:rsid w:val="009C4F04"/>
    <w:rsid w:val="009C5AC7"/>
    <w:rsid w:val="009C6180"/>
    <w:rsid w:val="009C6F2A"/>
    <w:rsid w:val="009D0560"/>
    <w:rsid w:val="009D0853"/>
    <w:rsid w:val="009D2EFC"/>
    <w:rsid w:val="009D4DB8"/>
    <w:rsid w:val="009D5D64"/>
    <w:rsid w:val="009D5DBF"/>
    <w:rsid w:val="009D65D1"/>
    <w:rsid w:val="009E02C7"/>
    <w:rsid w:val="009E042D"/>
    <w:rsid w:val="009E0E64"/>
    <w:rsid w:val="009E226F"/>
    <w:rsid w:val="009E2E51"/>
    <w:rsid w:val="009E6193"/>
    <w:rsid w:val="009E6274"/>
    <w:rsid w:val="009E6427"/>
    <w:rsid w:val="009E7C46"/>
    <w:rsid w:val="009F137E"/>
    <w:rsid w:val="009F14F6"/>
    <w:rsid w:val="009F1E1A"/>
    <w:rsid w:val="009F2364"/>
    <w:rsid w:val="009F3851"/>
    <w:rsid w:val="009F3ECB"/>
    <w:rsid w:val="009F4D96"/>
    <w:rsid w:val="009F5ACB"/>
    <w:rsid w:val="00A02383"/>
    <w:rsid w:val="00A035B2"/>
    <w:rsid w:val="00A04236"/>
    <w:rsid w:val="00A075C8"/>
    <w:rsid w:val="00A11C01"/>
    <w:rsid w:val="00A12458"/>
    <w:rsid w:val="00A12567"/>
    <w:rsid w:val="00A14103"/>
    <w:rsid w:val="00A15F34"/>
    <w:rsid w:val="00A16787"/>
    <w:rsid w:val="00A2046D"/>
    <w:rsid w:val="00A245C4"/>
    <w:rsid w:val="00A26A78"/>
    <w:rsid w:val="00A27328"/>
    <w:rsid w:val="00A30E68"/>
    <w:rsid w:val="00A320E1"/>
    <w:rsid w:val="00A322B3"/>
    <w:rsid w:val="00A32EA7"/>
    <w:rsid w:val="00A32F56"/>
    <w:rsid w:val="00A34AA0"/>
    <w:rsid w:val="00A34D37"/>
    <w:rsid w:val="00A34DC4"/>
    <w:rsid w:val="00A35A9C"/>
    <w:rsid w:val="00A3659F"/>
    <w:rsid w:val="00A36AAE"/>
    <w:rsid w:val="00A36CA7"/>
    <w:rsid w:val="00A40D18"/>
    <w:rsid w:val="00A4101A"/>
    <w:rsid w:val="00A419D4"/>
    <w:rsid w:val="00A41B8A"/>
    <w:rsid w:val="00A41D00"/>
    <w:rsid w:val="00A41E3C"/>
    <w:rsid w:val="00A41EFC"/>
    <w:rsid w:val="00A425E6"/>
    <w:rsid w:val="00A43422"/>
    <w:rsid w:val="00A46298"/>
    <w:rsid w:val="00A519ED"/>
    <w:rsid w:val="00A5307C"/>
    <w:rsid w:val="00A5362B"/>
    <w:rsid w:val="00A53F5C"/>
    <w:rsid w:val="00A54FBD"/>
    <w:rsid w:val="00A55EF9"/>
    <w:rsid w:val="00A5670B"/>
    <w:rsid w:val="00A56946"/>
    <w:rsid w:val="00A56A85"/>
    <w:rsid w:val="00A56C7F"/>
    <w:rsid w:val="00A578D8"/>
    <w:rsid w:val="00A57DAB"/>
    <w:rsid w:val="00A61759"/>
    <w:rsid w:val="00A65FF9"/>
    <w:rsid w:val="00A66D90"/>
    <w:rsid w:val="00A67C5F"/>
    <w:rsid w:val="00A70DA5"/>
    <w:rsid w:val="00A72351"/>
    <w:rsid w:val="00A73B41"/>
    <w:rsid w:val="00A74B10"/>
    <w:rsid w:val="00A75846"/>
    <w:rsid w:val="00A75C99"/>
    <w:rsid w:val="00A76DA0"/>
    <w:rsid w:val="00A8120E"/>
    <w:rsid w:val="00A817CF"/>
    <w:rsid w:val="00A87D64"/>
    <w:rsid w:val="00A91897"/>
    <w:rsid w:val="00A91A57"/>
    <w:rsid w:val="00A93502"/>
    <w:rsid w:val="00A93970"/>
    <w:rsid w:val="00A94A09"/>
    <w:rsid w:val="00A94A39"/>
    <w:rsid w:val="00A959F6"/>
    <w:rsid w:val="00A9693E"/>
    <w:rsid w:val="00A96FE9"/>
    <w:rsid w:val="00AA1D3C"/>
    <w:rsid w:val="00AA50F0"/>
    <w:rsid w:val="00AA5DF6"/>
    <w:rsid w:val="00AA5FD4"/>
    <w:rsid w:val="00AA7F83"/>
    <w:rsid w:val="00AB1D13"/>
    <w:rsid w:val="00AB762B"/>
    <w:rsid w:val="00AB78E0"/>
    <w:rsid w:val="00AC0810"/>
    <w:rsid w:val="00AC1753"/>
    <w:rsid w:val="00AC23DA"/>
    <w:rsid w:val="00AC2401"/>
    <w:rsid w:val="00AC4106"/>
    <w:rsid w:val="00AC49D8"/>
    <w:rsid w:val="00AC523C"/>
    <w:rsid w:val="00AC5EC7"/>
    <w:rsid w:val="00AC6194"/>
    <w:rsid w:val="00AD030C"/>
    <w:rsid w:val="00AD186E"/>
    <w:rsid w:val="00AD1CAC"/>
    <w:rsid w:val="00AD1F96"/>
    <w:rsid w:val="00AD3A3C"/>
    <w:rsid w:val="00AD589F"/>
    <w:rsid w:val="00AE0A2C"/>
    <w:rsid w:val="00AE11B7"/>
    <w:rsid w:val="00AE21FB"/>
    <w:rsid w:val="00AE3CB6"/>
    <w:rsid w:val="00AE7C85"/>
    <w:rsid w:val="00AF0612"/>
    <w:rsid w:val="00AF0946"/>
    <w:rsid w:val="00AF29C4"/>
    <w:rsid w:val="00AF2A52"/>
    <w:rsid w:val="00AF54B7"/>
    <w:rsid w:val="00AF55E2"/>
    <w:rsid w:val="00AF5E97"/>
    <w:rsid w:val="00B00218"/>
    <w:rsid w:val="00B03581"/>
    <w:rsid w:val="00B05009"/>
    <w:rsid w:val="00B069A5"/>
    <w:rsid w:val="00B06C4D"/>
    <w:rsid w:val="00B07AE2"/>
    <w:rsid w:val="00B115A4"/>
    <w:rsid w:val="00B1166D"/>
    <w:rsid w:val="00B117B8"/>
    <w:rsid w:val="00B118DA"/>
    <w:rsid w:val="00B11D78"/>
    <w:rsid w:val="00B123B1"/>
    <w:rsid w:val="00B1242B"/>
    <w:rsid w:val="00B127EE"/>
    <w:rsid w:val="00B12CC0"/>
    <w:rsid w:val="00B144A4"/>
    <w:rsid w:val="00B154E0"/>
    <w:rsid w:val="00B15595"/>
    <w:rsid w:val="00B159BA"/>
    <w:rsid w:val="00B203F8"/>
    <w:rsid w:val="00B21BCE"/>
    <w:rsid w:val="00B220FB"/>
    <w:rsid w:val="00B23818"/>
    <w:rsid w:val="00B26CCF"/>
    <w:rsid w:val="00B274A9"/>
    <w:rsid w:val="00B316B9"/>
    <w:rsid w:val="00B32049"/>
    <w:rsid w:val="00B33D42"/>
    <w:rsid w:val="00B3430E"/>
    <w:rsid w:val="00B35331"/>
    <w:rsid w:val="00B355E7"/>
    <w:rsid w:val="00B3628B"/>
    <w:rsid w:val="00B37875"/>
    <w:rsid w:val="00B37D8B"/>
    <w:rsid w:val="00B43D93"/>
    <w:rsid w:val="00B458BB"/>
    <w:rsid w:val="00B471BA"/>
    <w:rsid w:val="00B50DDB"/>
    <w:rsid w:val="00B511BF"/>
    <w:rsid w:val="00B51544"/>
    <w:rsid w:val="00B51A47"/>
    <w:rsid w:val="00B523B1"/>
    <w:rsid w:val="00B531DD"/>
    <w:rsid w:val="00B54801"/>
    <w:rsid w:val="00B54AD9"/>
    <w:rsid w:val="00B554B8"/>
    <w:rsid w:val="00B55A4C"/>
    <w:rsid w:val="00B60860"/>
    <w:rsid w:val="00B62047"/>
    <w:rsid w:val="00B62A06"/>
    <w:rsid w:val="00B62B18"/>
    <w:rsid w:val="00B63B5A"/>
    <w:rsid w:val="00B6443F"/>
    <w:rsid w:val="00B66C46"/>
    <w:rsid w:val="00B66D83"/>
    <w:rsid w:val="00B67702"/>
    <w:rsid w:val="00B70711"/>
    <w:rsid w:val="00B71DC2"/>
    <w:rsid w:val="00B72D28"/>
    <w:rsid w:val="00B73546"/>
    <w:rsid w:val="00B74A03"/>
    <w:rsid w:val="00B74A3D"/>
    <w:rsid w:val="00B74DD5"/>
    <w:rsid w:val="00B74F88"/>
    <w:rsid w:val="00B76146"/>
    <w:rsid w:val="00B76A6E"/>
    <w:rsid w:val="00B80BCA"/>
    <w:rsid w:val="00B80E89"/>
    <w:rsid w:val="00B812A7"/>
    <w:rsid w:val="00B82505"/>
    <w:rsid w:val="00B849B3"/>
    <w:rsid w:val="00B867D0"/>
    <w:rsid w:val="00B8789C"/>
    <w:rsid w:val="00B91D4A"/>
    <w:rsid w:val="00B93893"/>
    <w:rsid w:val="00B95241"/>
    <w:rsid w:val="00B9607B"/>
    <w:rsid w:val="00BA0590"/>
    <w:rsid w:val="00BA05AC"/>
    <w:rsid w:val="00BA2008"/>
    <w:rsid w:val="00BA31B7"/>
    <w:rsid w:val="00BA6987"/>
    <w:rsid w:val="00BA7817"/>
    <w:rsid w:val="00BB02F8"/>
    <w:rsid w:val="00BB1670"/>
    <w:rsid w:val="00BB1F91"/>
    <w:rsid w:val="00BB26A9"/>
    <w:rsid w:val="00BB28FC"/>
    <w:rsid w:val="00BB35A5"/>
    <w:rsid w:val="00BB37D1"/>
    <w:rsid w:val="00BB3D00"/>
    <w:rsid w:val="00BB6487"/>
    <w:rsid w:val="00BB68E3"/>
    <w:rsid w:val="00BB7379"/>
    <w:rsid w:val="00BC12A3"/>
    <w:rsid w:val="00BC24B1"/>
    <w:rsid w:val="00BC3B53"/>
    <w:rsid w:val="00BC56E2"/>
    <w:rsid w:val="00BC56F5"/>
    <w:rsid w:val="00BC7C05"/>
    <w:rsid w:val="00BD04C3"/>
    <w:rsid w:val="00BD0752"/>
    <w:rsid w:val="00BD0A7D"/>
    <w:rsid w:val="00BD17B8"/>
    <w:rsid w:val="00BD35A2"/>
    <w:rsid w:val="00BD4E45"/>
    <w:rsid w:val="00BE2163"/>
    <w:rsid w:val="00BE3ED5"/>
    <w:rsid w:val="00BE3F7A"/>
    <w:rsid w:val="00BE445B"/>
    <w:rsid w:val="00BE4FD2"/>
    <w:rsid w:val="00BE5278"/>
    <w:rsid w:val="00BE59AA"/>
    <w:rsid w:val="00BE69F0"/>
    <w:rsid w:val="00BE6F30"/>
    <w:rsid w:val="00BF039F"/>
    <w:rsid w:val="00BF1BD4"/>
    <w:rsid w:val="00BF295F"/>
    <w:rsid w:val="00BF2F6A"/>
    <w:rsid w:val="00BF37A3"/>
    <w:rsid w:val="00BF38BF"/>
    <w:rsid w:val="00BF6FC2"/>
    <w:rsid w:val="00C008C8"/>
    <w:rsid w:val="00C018A2"/>
    <w:rsid w:val="00C021D0"/>
    <w:rsid w:val="00C06C62"/>
    <w:rsid w:val="00C07AFE"/>
    <w:rsid w:val="00C1295A"/>
    <w:rsid w:val="00C12E90"/>
    <w:rsid w:val="00C13D7C"/>
    <w:rsid w:val="00C146D2"/>
    <w:rsid w:val="00C15902"/>
    <w:rsid w:val="00C16AF6"/>
    <w:rsid w:val="00C17631"/>
    <w:rsid w:val="00C17A8F"/>
    <w:rsid w:val="00C2062E"/>
    <w:rsid w:val="00C206F1"/>
    <w:rsid w:val="00C20B7C"/>
    <w:rsid w:val="00C2329A"/>
    <w:rsid w:val="00C25B05"/>
    <w:rsid w:val="00C26079"/>
    <w:rsid w:val="00C26219"/>
    <w:rsid w:val="00C318CC"/>
    <w:rsid w:val="00C339F2"/>
    <w:rsid w:val="00C33B20"/>
    <w:rsid w:val="00C35A91"/>
    <w:rsid w:val="00C35C11"/>
    <w:rsid w:val="00C40C60"/>
    <w:rsid w:val="00C40E6F"/>
    <w:rsid w:val="00C43FE1"/>
    <w:rsid w:val="00C44635"/>
    <w:rsid w:val="00C47504"/>
    <w:rsid w:val="00C4787F"/>
    <w:rsid w:val="00C52112"/>
    <w:rsid w:val="00C53426"/>
    <w:rsid w:val="00C54D80"/>
    <w:rsid w:val="00C55B2D"/>
    <w:rsid w:val="00C55CE5"/>
    <w:rsid w:val="00C57EA7"/>
    <w:rsid w:val="00C60C80"/>
    <w:rsid w:val="00C6301C"/>
    <w:rsid w:val="00C63108"/>
    <w:rsid w:val="00C6537C"/>
    <w:rsid w:val="00C655D5"/>
    <w:rsid w:val="00C70E36"/>
    <w:rsid w:val="00C71D78"/>
    <w:rsid w:val="00C74A87"/>
    <w:rsid w:val="00C75E44"/>
    <w:rsid w:val="00C76CBA"/>
    <w:rsid w:val="00C777CE"/>
    <w:rsid w:val="00C80EB6"/>
    <w:rsid w:val="00C811A4"/>
    <w:rsid w:val="00C813A6"/>
    <w:rsid w:val="00C81E81"/>
    <w:rsid w:val="00C83833"/>
    <w:rsid w:val="00C84C14"/>
    <w:rsid w:val="00C8544F"/>
    <w:rsid w:val="00C876B7"/>
    <w:rsid w:val="00C878FF"/>
    <w:rsid w:val="00C90846"/>
    <w:rsid w:val="00C94000"/>
    <w:rsid w:val="00C94AE1"/>
    <w:rsid w:val="00C95715"/>
    <w:rsid w:val="00CA0747"/>
    <w:rsid w:val="00CA0940"/>
    <w:rsid w:val="00CA0A69"/>
    <w:rsid w:val="00CA0E76"/>
    <w:rsid w:val="00CA1F86"/>
    <w:rsid w:val="00CA3677"/>
    <w:rsid w:val="00CA3FC9"/>
    <w:rsid w:val="00CA47D3"/>
    <w:rsid w:val="00CA4CF0"/>
    <w:rsid w:val="00CA6006"/>
    <w:rsid w:val="00CA6679"/>
    <w:rsid w:val="00CA7925"/>
    <w:rsid w:val="00CA7A20"/>
    <w:rsid w:val="00CB1548"/>
    <w:rsid w:val="00CB2680"/>
    <w:rsid w:val="00CB29E7"/>
    <w:rsid w:val="00CB367E"/>
    <w:rsid w:val="00CB52F9"/>
    <w:rsid w:val="00CB56AB"/>
    <w:rsid w:val="00CB56B0"/>
    <w:rsid w:val="00CB5A73"/>
    <w:rsid w:val="00CB6368"/>
    <w:rsid w:val="00CC1E5D"/>
    <w:rsid w:val="00CC44BD"/>
    <w:rsid w:val="00CC48E4"/>
    <w:rsid w:val="00CC4D5F"/>
    <w:rsid w:val="00CC51D4"/>
    <w:rsid w:val="00CC69F2"/>
    <w:rsid w:val="00CC7393"/>
    <w:rsid w:val="00CC7B14"/>
    <w:rsid w:val="00CC7D62"/>
    <w:rsid w:val="00CD0BBE"/>
    <w:rsid w:val="00CD2797"/>
    <w:rsid w:val="00CD4A87"/>
    <w:rsid w:val="00CD604A"/>
    <w:rsid w:val="00CD6791"/>
    <w:rsid w:val="00CD6EAC"/>
    <w:rsid w:val="00CE2EA9"/>
    <w:rsid w:val="00CE4578"/>
    <w:rsid w:val="00CE48AA"/>
    <w:rsid w:val="00CE4A04"/>
    <w:rsid w:val="00CE5F83"/>
    <w:rsid w:val="00CE6168"/>
    <w:rsid w:val="00CE74D9"/>
    <w:rsid w:val="00CF053F"/>
    <w:rsid w:val="00CF073B"/>
    <w:rsid w:val="00CF16B1"/>
    <w:rsid w:val="00CF3065"/>
    <w:rsid w:val="00CF5AED"/>
    <w:rsid w:val="00CF5F27"/>
    <w:rsid w:val="00CF62DD"/>
    <w:rsid w:val="00CF7172"/>
    <w:rsid w:val="00CF7A58"/>
    <w:rsid w:val="00CF7C8B"/>
    <w:rsid w:val="00D00B0A"/>
    <w:rsid w:val="00D02041"/>
    <w:rsid w:val="00D02D73"/>
    <w:rsid w:val="00D043CF"/>
    <w:rsid w:val="00D044FA"/>
    <w:rsid w:val="00D052CD"/>
    <w:rsid w:val="00D078E1"/>
    <w:rsid w:val="00D1052B"/>
    <w:rsid w:val="00D12A7F"/>
    <w:rsid w:val="00D14F1D"/>
    <w:rsid w:val="00D1557C"/>
    <w:rsid w:val="00D15F8B"/>
    <w:rsid w:val="00D17148"/>
    <w:rsid w:val="00D205B8"/>
    <w:rsid w:val="00D218D2"/>
    <w:rsid w:val="00D22D4B"/>
    <w:rsid w:val="00D23522"/>
    <w:rsid w:val="00D242F7"/>
    <w:rsid w:val="00D25A0F"/>
    <w:rsid w:val="00D25FE2"/>
    <w:rsid w:val="00D26425"/>
    <w:rsid w:val="00D279AE"/>
    <w:rsid w:val="00D30750"/>
    <w:rsid w:val="00D30C3E"/>
    <w:rsid w:val="00D316EC"/>
    <w:rsid w:val="00D33A16"/>
    <w:rsid w:val="00D33DC8"/>
    <w:rsid w:val="00D341AB"/>
    <w:rsid w:val="00D358C1"/>
    <w:rsid w:val="00D35B61"/>
    <w:rsid w:val="00D36436"/>
    <w:rsid w:val="00D366B0"/>
    <w:rsid w:val="00D372BC"/>
    <w:rsid w:val="00D377E4"/>
    <w:rsid w:val="00D405AB"/>
    <w:rsid w:val="00D41C42"/>
    <w:rsid w:val="00D4243F"/>
    <w:rsid w:val="00D42B85"/>
    <w:rsid w:val="00D432DA"/>
    <w:rsid w:val="00D4505A"/>
    <w:rsid w:val="00D45AA9"/>
    <w:rsid w:val="00D46B34"/>
    <w:rsid w:val="00D5048E"/>
    <w:rsid w:val="00D5423B"/>
    <w:rsid w:val="00D54F4E"/>
    <w:rsid w:val="00D5568C"/>
    <w:rsid w:val="00D55865"/>
    <w:rsid w:val="00D56274"/>
    <w:rsid w:val="00D573DC"/>
    <w:rsid w:val="00D60BA4"/>
    <w:rsid w:val="00D61159"/>
    <w:rsid w:val="00D6476B"/>
    <w:rsid w:val="00D662C8"/>
    <w:rsid w:val="00D67085"/>
    <w:rsid w:val="00D71F22"/>
    <w:rsid w:val="00D72421"/>
    <w:rsid w:val="00D72970"/>
    <w:rsid w:val="00D73690"/>
    <w:rsid w:val="00D73F97"/>
    <w:rsid w:val="00D74B0E"/>
    <w:rsid w:val="00D7597C"/>
    <w:rsid w:val="00D76FB2"/>
    <w:rsid w:val="00D80CCE"/>
    <w:rsid w:val="00D80E1F"/>
    <w:rsid w:val="00D81AFC"/>
    <w:rsid w:val="00D8234B"/>
    <w:rsid w:val="00D8300A"/>
    <w:rsid w:val="00D849AE"/>
    <w:rsid w:val="00D85D2B"/>
    <w:rsid w:val="00D872B0"/>
    <w:rsid w:val="00D874FD"/>
    <w:rsid w:val="00D91B6E"/>
    <w:rsid w:val="00D93C6D"/>
    <w:rsid w:val="00D95217"/>
    <w:rsid w:val="00D95F40"/>
    <w:rsid w:val="00DA46BF"/>
    <w:rsid w:val="00DA4C45"/>
    <w:rsid w:val="00DA6026"/>
    <w:rsid w:val="00DA60F7"/>
    <w:rsid w:val="00DA7C3E"/>
    <w:rsid w:val="00DB0575"/>
    <w:rsid w:val="00DB1215"/>
    <w:rsid w:val="00DB752B"/>
    <w:rsid w:val="00DC0790"/>
    <w:rsid w:val="00DC2F69"/>
    <w:rsid w:val="00DD1730"/>
    <w:rsid w:val="00DD1977"/>
    <w:rsid w:val="00DD25DD"/>
    <w:rsid w:val="00DD3480"/>
    <w:rsid w:val="00DD3A61"/>
    <w:rsid w:val="00DE0289"/>
    <w:rsid w:val="00DE12E3"/>
    <w:rsid w:val="00DE2612"/>
    <w:rsid w:val="00DE3249"/>
    <w:rsid w:val="00DE578A"/>
    <w:rsid w:val="00DE6C91"/>
    <w:rsid w:val="00DE77D0"/>
    <w:rsid w:val="00DF13F5"/>
    <w:rsid w:val="00DF1987"/>
    <w:rsid w:val="00DF1D1E"/>
    <w:rsid w:val="00DF1E07"/>
    <w:rsid w:val="00DF2583"/>
    <w:rsid w:val="00DF3D3A"/>
    <w:rsid w:val="00DF54D9"/>
    <w:rsid w:val="00DF69EB"/>
    <w:rsid w:val="00DF7BF1"/>
    <w:rsid w:val="00E00B5E"/>
    <w:rsid w:val="00E00D68"/>
    <w:rsid w:val="00E03D32"/>
    <w:rsid w:val="00E044EE"/>
    <w:rsid w:val="00E04819"/>
    <w:rsid w:val="00E06047"/>
    <w:rsid w:val="00E06652"/>
    <w:rsid w:val="00E10DC6"/>
    <w:rsid w:val="00E11ABE"/>
    <w:rsid w:val="00E11F8E"/>
    <w:rsid w:val="00E12B1D"/>
    <w:rsid w:val="00E145EA"/>
    <w:rsid w:val="00E1544A"/>
    <w:rsid w:val="00E16580"/>
    <w:rsid w:val="00E16AFF"/>
    <w:rsid w:val="00E16F23"/>
    <w:rsid w:val="00E23191"/>
    <w:rsid w:val="00E23A65"/>
    <w:rsid w:val="00E2660B"/>
    <w:rsid w:val="00E30266"/>
    <w:rsid w:val="00E332F5"/>
    <w:rsid w:val="00E344BE"/>
    <w:rsid w:val="00E3469C"/>
    <w:rsid w:val="00E36226"/>
    <w:rsid w:val="00E364EF"/>
    <w:rsid w:val="00E378A1"/>
    <w:rsid w:val="00E37F42"/>
    <w:rsid w:val="00E40654"/>
    <w:rsid w:val="00E40B84"/>
    <w:rsid w:val="00E426A4"/>
    <w:rsid w:val="00E4294B"/>
    <w:rsid w:val="00E42D22"/>
    <w:rsid w:val="00E43E49"/>
    <w:rsid w:val="00E455DF"/>
    <w:rsid w:val="00E45742"/>
    <w:rsid w:val="00E46CD8"/>
    <w:rsid w:val="00E47A85"/>
    <w:rsid w:val="00E50A17"/>
    <w:rsid w:val="00E50D27"/>
    <w:rsid w:val="00E516C9"/>
    <w:rsid w:val="00E532D2"/>
    <w:rsid w:val="00E533AB"/>
    <w:rsid w:val="00E5511C"/>
    <w:rsid w:val="00E55800"/>
    <w:rsid w:val="00E5707D"/>
    <w:rsid w:val="00E57126"/>
    <w:rsid w:val="00E57682"/>
    <w:rsid w:val="00E603BC"/>
    <w:rsid w:val="00E6129E"/>
    <w:rsid w:val="00E614EA"/>
    <w:rsid w:val="00E61AC1"/>
    <w:rsid w:val="00E61B48"/>
    <w:rsid w:val="00E62D9D"/>
    <w:rsid w:val="00E634E3"/>
    <w:rsid w:val="00E65653"/>
    <w:rsid w:val="00E659A6"/>
    <w:rsid w:val="00E70603"/>
    <w:rsid w:val="00E70727"/>
    <w:rsid w:val="00E7110A"/>
    <w:rsid w:val="00E71347"/>
    <w:rsid w:val="00E73DA2"/>
    <w:rsid w:val="00E744D0"/>
    <w:rsid w:val="00E74E0F"/>
    <w:rsid w:val="00E75253"/>
    <w:rsid w:val="00E774CA"/>
    <w:rsid w:val="00E8013E"/>
    <w:rsid w:val="00E8019F"/>
    <w:rsid w:val="00E80B86"/>
    <w:rsid w:val="00E80C30"/>
    <w:rsid w:val="00E84C54"/>
    <w:rsid w:val="00E84FBE"/>
    <w:rsid w:val="00E86339"/>
    <w:rsid w:val="00E90091"/>
    <w:rsid w:val="00E91EF6"/>
    <w:rsid w:val="00E93428"/>
    <w:rsid w:val="00E93942"/>
    <w:rsid w:val="00E94DE4"/>
    <w:rsid w:val="00E94EE6"/>
    <w:rsid w:val="00E95546"/>
    <w:rsid w:val="00EA0E47"/>
    <w:rsid w:val="00EA41FE"/>
    <w:rsid w:val="00EA5C78"/>
    <w:rsid w:val="00EA727C"/>
    <w:rsid w:val="00EA735C"/>
    <w:rsid w:val="00EA75C1"/>
    <w:rsid w:val="00EB45AA"/>
    <w:rsid w:val="00EB63C1"/>
    <w:rsid w:val="00EB7550"/>
    <w:rsid w:val="00EC237D"/>
    <w:rsid w:val="00EC4570"/>
    <w:rsid w:val="00EC5394"/>
    <w:rsid w:val="00EC6A38"/>
    <w:rsid w:val="00EC7148"/>
    <w:rsid w:val="00ED4A04"/>
    <w:rsid w:val="00ED5D4C"/>
    <w:rsid w:val="00ED6BAE"/>
    <w:rsid w:val="00ED6E13"/>
    <w:rsid w:val="00EE0FB4"/>
    <w:rsid w:val="00EE1807"/>
    <w:rsid w:val="00EE1A75"/>
    <w:rsid w:val="00EE4A1F"/>
    <w:rsid w:val="00EE4BF3"/>
    <w:rsid w:val="00EE6940"/>
    <w:rsid w:val="00EE6CA8"/>
    <w:rsid w:val="00EF19E9"/>
    <w:rsid w:val="00EF1B5A"/>
    <w:rsid w:val="00EF2CCA"/>
    <w:rsid w:val="00EF30DB"/>
    <w:rsid w:val="00EF421E"/>
    <w:rsid w:val="00EF468C"/>
    <w:rsid w:val="00EF47AC"/>
    <w:rsid w:val="00EF5BAA"/>
    <w:rsid w:val="00EF7371"/>
    <w:rsid w:val="00EF78D2"/>
    <w:rsid w:val="00F00B4C"/>
    <w:rsid w:val="00F015B8"/>
    <w:rsid w:val="00F01603"/>
    <w:rsid w:val="00F01664"/>
    <w:rsid w:val="00F03E1B"/>
    <w:rsid w:val="00F04C07"/>
    <w:rsid w:val="00F04E01"/>
    <w:rsid w:val="00F10F83"/>
    <w:rsid w:val="00F1229C"/>
    <w:rsid w:val="00F14E76"/>
    <w:rsid w:val="00F15141"/>
    <w:rsid w:val="00F16EBD"/>
    <w:rsid w:val="00F23BE5"/>
    <w:rsid w:val="00F24550"/>
    <w:rsid w:val="00F2608D"/>
    <w:rsid w:val="00F3145B"/>
    <w:rsid w:val="00F32A99"/>
    <w:rsid w:val="00F32BE2"/>
    <w:rsid w:val="00F3320D"/>
    <w:rsid w:val="00F33D56"/>
    <w:rsid w:val="00F344FD"/>
    <w:rsid w:val="00F3478C"/>
    <w:rsid w:val="00F34DE9"/>
    <w:rsid w:val="00F36803"/>
    <w:rsid w:val="00F37C91"/>
    <w:rsid w:val="00F40846"/>
    <w:rsid w:val="00F40C74"/>
    <w:rsid w:val="00F41F33"/>
    <w:rsid w:val="00F42E49"/>
    <w:rsid w:val="00F42ECC"/>
    <w:rsid w:val="00F46578"/>
    <w:rsid w:val="00F46AA1"/>
    <w:rsid w:val="00F47401"/>
    <w:rsid w:val="00F50B53"/>
    <w:rsid w:val="00F51B77"/>
    <w:rsid w:val="00F53F91"/>
    <w:rsid w:val="00F54613"/>
    <w:rsid w:val="00F56652"/>
    <w:rsid w:val="00F56978"/>
    <w:rsid w:val="00F57321"/>
    <w:rsid w:val="00F57778"/>
    <w:rsid w:val="00F6021C"/>
    <w:rsid w:val="00F61A72"/>
    <w:rsid w:val="00F66F13"/>
    <w:rsid w:val="00F70CB1"/>
    <w:rsid w:val="00F74073"/>
    <w:rsid w:val="00F75B72"/>
    <w:rsid w:val="00F76AEC"/>
    <w:rsid w:val="00F77453"/>
    <w:rsid w:val="00F810FD"/>
    <w:rsid w:val="00F82D29"/>
    <w:rsid w:val="00F85DC9"/>
    <w:rsid w:val="00F86DBF"/>
    <w:rsid w:val="00F873B3"/>
    <w:rsid w:val="00F9077A"/>
    <w:rsid w:val="00F91C12"/>
    <w:rsid w:val="00F9512E"/>
    <w:rsid w:val="00F97645"/>
    <w:rsid w:val="00FA0A29"/>
    <w:rsid w:val="00FA12EC"/>
    <w:rsid w:val="00FA1759"/>
    <w:rsid w:val="00FA28FD"/>
    <w:rsid w:val="00FA2B1A"/>
    <w:rsid w:val="00FA3220"/>
    <w:rsid w:val="00FA5033"/>
    <w:rsid w:val="00FA658F"/>
    <w:rsid w:val="00FA67C2"/>
    <w:rsid w:val="00FA6A78"/>
    <w:rsid w:val="00FA6C2F"/>
    <w:rsid w:val="00FA7F80"/>
    <w:rsid w:val="00FB06ED"/>
    <w:rsid w:val="00FB27EE"/>
    <w:rsid w:val="00FB2C8A"/>
    <w:rsid w:val="00FB3514"/>
    <w:rsid w:val="00FB61A2"/>
    <w:rsid w:val="00FB76DB"/>
    <w:rsid w:val="00FC09A6"/>
    <w:rsid w:val="00FC36AB"/>
    <w:rsid w:val="00FD0689"/>
    <w:rsid w:val="00FD1727"/>
    <w:rsid w:val="00FD2798"/>
    <w:rsid w:val="00FD2A15"/>
    <w:rsid w:val="00FD31B6"/>
    <w:rsid w:val="00FD3550"/>
    <w:rsid w:val="00FD3A79"/>
    <w:rsid w:val="00FD5927"/>
    <w:rsid w:val="00FD60A1"/>
    <w:rsid w:val="00FD70D0"/>
    <w:rsid w:val="00FE0C53"/>
    <w:rsid w:val="00FE0D0E"/>
    <w:rsid w:val="00FE1162"/>
    <w:rsid w:val="00FE3721"/>
    <w:rsid w:val="00FE3B6B"/>
    <w:rsid w:val="00FE4AF2"/>
    <w:rsid w:val="00FE4F08"/>
    <w:rsid w:val="00FF07B9"/>
    <w:rsid w:val="00FF0D35"/>
    <w:rsid w:val="00FF56CC"/>
    <w:rsid w:val="00FF65E0"/>
    <w:rsid w:val="00FF7062"/>
    <w:rsid w:val="00FF7561"/>
    <w:rsid w:val="00FF7831"/>
    <w:rsid w:val="00FF7AC2"/>
    <w:rsid w:val="3B9E7CD4"/>
    <w:rsid w:val="7C617B9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9C058A7"/>
  <w15:docId w15:val="{DBE646EC-53AA-4457-B3D3-01953D68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A46BF"/>
    <w:pPr>
      <w:spacing w:line="240" w:lineRule="atLeast"/>
    </w:pPr>
  </w:style>
  <w:style w:type="paragraph" w:styleId="Kop1">
    <w:name w:val="heading 1"/>
    <w:basedOn w:val="Standaard"/>
    <w:next w:val="Standaard"/>
    <w:link w:val="Kop1Char"/>
    <w:qFormat/>
    <w:rsid w:val="009D5D64"/>
    <w:pPr>
      <w:pageBreakBefore/>
      <w:widowControl w:val="0"/>
      <w:numPr>
        <w:numId w:val="2"/>
      </w:numPr>
      <w:spacing w:after="700" w:line="300" w:lineRule="atLeast"/>
      <w:contextualSpacing/>
      <w:outlineLvl w:val="0"/>
    </w:pPr>
    <w:rPr>
      <w:rFonts w:cs="Arial"/>
      <w:bCs/>
      <w:color w:val="CF6045"/>
      <w:kern w:val="32"/>
      <w:sz w:val="24"/>
    </w:rPr>
  </w:style>
  <w:style w:type="paragraph" w:styleId="Kop2">
    <w:name w:val="heading 2"/>
    <w:basedOn w:val="Kop1"/>
    <w:next w:val="Standaard"/>
    <w:link w:val="Kop2Char"/>
    <w:qFormat/>
    <w:rsid w:val="00DA46BF"/>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rsid w:val="00DA46BF"/>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semiHidden/>
    <w:qFormat/>
    <w:rsid w:val="00DA46BF"/>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semiHidden/>
    <w:qFormat/>
    <w:rsid w:val="00DA46BF"/>
    <w:pPr>
      <w:numPr>
        <w:ilvl w:val="4"/>
        <w:numId w:val="2"/>
      </w:numPr>
      <w:spacing w:before="240" w:after="60"/>
      <w:outlineLvl w:val="4"/>
    </w:pPr>
    <w:rPr>
      <w:b/>
      <w:bCs/>
      <w:i/>
      <w:iCs/>
      <w:sz w:val="26"/>
      <w:szCs w:val="26"/>
    </w:rPr>
  </w:style>
  <w:style w:type="paragraph" w:styleId="Kop6">
    <w:name w:val="heading 6"/>
    <w:basedOn w:val="Standaard"/>
    <w:next w:val="Standaard"/>
    <w:link w:val="Kop6Char"/>
    <w:semiHidden/>
    <w:qFormat/>
    <w:rsid w:val="00DA46BF"/>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semiHidden/>
    <w:qFormat/>
    <w:rsid w:val="00DA46BF"/>
    <w:pPr>
      <w:numPr>
        <w:ilvl w:val="6"/>
        <w:numId w:val="3"/>
      </w:numPr>
      <w:spacing w:before="240" w:after="60"/>
      <w:outlineLvl w:val="6"/>
    </w:pPr>
    <w:rPr>
      <w:rFonts w:ascii="Times New Roman" w:hAnsi="Times New Roman"/>
      <w:sz w:val="24"/>
    </w:rPr>
  </w:style>
  <w:style w:type="paragraph" w:styleId="Kop8">
    <w:name w:val="heading 8"/>
    <w:basedOn w:val="Standaard"/>
    <w:next w:val="Standaard"/>
    <w:link w:val="Kop8Char"/>
    <w:semiHidden/>
    <w:qFormat/>
    <w:rsid w:val="00DA46BF"/>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link w:val="Kop9Char"/>
    <w:semiHidden/>
    <w:qFormat/>
    <w:rsid w:val="00DA46BF"/>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D5D64"/>
    <w:rPr>
      <w:rFonts w:cs="Arial"/>
      <w:bCs/>
      <w:color w:val="CF6045"/>
      <w:kern w:val="32"/>
      <w:sz w:val="24"/>
    </w:rPr>
  </w:style>
  <w:style w:type="character" w:customStyle="1" w:styleId="Lijstnummering2Char">
    <w:name w:val="Lijstnummering 2 Char"/>
    <w:link w:val="Lijstnummering2"/>
    <w:semiHidden/>
    <w:rsid w:val="00DA46BF"/>
  </w:style>
  <w:style w:type="paragraph" w:styleId="Lijstnummering2">
    <w:name w:val="List Number 2"/>
    <w:basedOn w:val="Standaard"/>
    <w:link w:val="Lijstnummering2Char"/>
    <w:semiHidden/>
    <w:rsid w:val="00DA46BF"/>
    <w:pPr>
      <w:tabs>
        <w:tab w:val="num" w:pos="454"/>
      </w:tabs>
      <w:ind w:left="454" w:hanging="227"/>
    </w:pPr>
  </w:style>
  <w:style w:type="paragraph" w:styleId="Inhopg1">
    <w:name w:val="toc 1"/>
    <w:basedOn w:val="Standaard"/>
    <w:next w:val="Standaard"/>
    <w:uiPriority w:val="39"/>
    <w:rsid w:val="000D06EC"/>
    <w:pPr>
      <w:tabs>
        <w:tab w:val="left" w:pos="426"/>
        <w:tab w:val="right" w:leader="dot" w:pos="7711"/>
      </w:tabs>
      <w:spacing w:before="120"/>
      <w:ind w:left="425" w:right="425" w:hanging="425"/>
    </w:pPr>
    <w:rPr>
      <w:noProof/>
    </w:rPr>
  </w:style>
  <w:style w:type="character" w:customStyle="1" w:styleId="LijstnummeringChar">
    <w:name w:val="Lijstnummering Char"/>
    <w:link w:val="Lijstnummering"/>
    <w:semiHidden/>
    <w:rsid w:val="00DA46BF"/>
  </w:style>
  <w:style w:type="paragraph" w:styleId="Lijstnummering">
    <w:name w:val="List Number"/>
    <w:basedOn w:val="Standaard"/>
    <w:link w:val="LijstnummeringChar"/>
    <w:semiHidden/>
    <w:rsid w:val="00DA46BF"/>
    <w:pPr>
      <w:tabs>
        <w:tab w:val="num" w:pos="227"/>
      </w:tabs>
      <w:ind w:left="227" w:hanging="227"/>
    </w:pPr>
  </w:style>
  <w:style w:type="paragraph" w:styleId="Koptekst">
    <w:name w:val="header"/>
    <w:basedOn w:val="Standaard"/>
    <w:link w:val="KoptekstChar"/>
    <w:semiHidden/>
    <w:rsid w:val="00DA46BF"/>
    <w:pPr>
      <w:tabs>
        <w:tab w:val="center" w:pos="4536"/>
        <w:tab w:val="right" w:pos="9072"/>
      </w:tabs>
    </w:pPr>
  </w:style>
  <w:style w:type="paragraph" w:styleId="Voettekst">
    <w:name w:val="footer"/>
    <w:basedOn w:val="Standaard"/>
    <w:link w:val="VoettekstChar"/>
    <w:rsid w:val="00DA46BF"/>
    <w:pPr>
      <w:tabs>
        <w:tab w:val="center" w:pos="4536"/>
        <w:tab w:val="right" w:pos="9072"/>
      </w:tabs>
    </w:pPr>
  </w:style>
  <w:style w:type="paragraph" w:styleId="Lijstopsomteken2">
    <w:name w:val="List Bullet 2"/>
    <w:basedOn w:val="Standaard"/>
    <w:semiHidden/>
    <w:rsid w:val="00DA46BF"/>
    <w:pPr>
      <w:tabs>
        <w:tab w:val="num" w:pos="-31680"/>
      </w:tabs>
      <w:ind w:left="454" w:hanging="227"/>
    </w:pPr>
    <w:rPr>
      <w:noProof/>
    </w:rPr>
  </w:style>
  <w:style w:type="paragraph" w:styleId="Lijstopsomteken">
    <w:name w:val="List Bullet"/>
    <w:basedOn w:val="Standaard"/>
    <w:semiHidden/>
    <w:rsid w:val="00DA46BF"/>
    <w:pPr>
      <w:numPr>
        <w:numId w:val="1"/>
      </w:numPr>
    </w:pPr>
    <w:rPr>
      <w:noProof/>
    </w:rPr>
  </w:style>
  <w:style w:type="paragraph" w:styleId="Ondertitel">
    <w:name w:val="Subtitle"/>
    <w:basedOn w:val="Standaard"/>
    <w:next w:val="Standaard"/>
    <w:link w:val="OndertitelChar"/>
    <w:semiHidden/>
    <w:qFormat/>
    <w:rsid w:val="00DA46BF"/>
    <w:pPr>
      <w:spacing w:line="320" w:lineRule="atLeast"/>
      <w:outlineLvl w:val="1"/>
    </w:pPr>
    <w:rPr>
      <w:sz w:val="24"/>
    </w:rPr>
  </w:style>
  <w:style w:type="paragraph" w:styleId="Titel">
    <w:name w:val="Title"/>
    <w:basedOn w:val="Standaard"/>
    <w:link w:val="TitelChar"/>
    <w:semiHidden/>
    <w:qFormat/>
    <w:rsid w:val="00DA46BF"/>
    <w:pPr>
      <w:spacing w:line="320" w:lineRule="atLeast"/>
      <w:outlineLvl w:val="0"/>
    </w:pPr>
    <w:rPr>
      <w:rFonts w:cs="Arial"/>
      <w:b/>
      <w:bCs/>
      <w:kern w:val="28"/>
      <w:sz w:val="24"/>
      <w:szCs w:val="32"/>
    </w:rPr>
  </w:style>
  <w:style w:type="paragraph" w:styleId="Inhopg2">
    <w:name w:val="toc 2"/>
    <w:next w:val="Standaard"/>
    <w:uiPriority w:val="39"/>
    <w:rsid w:val="000D06EC"/>
    <w:pPr>
      <w:tabs>
        <w:tab w:val="left" w:pos="851"/>
        <w:tab w:val="right" w:leader="dot" w:pos="7711"/>
      </w:tabs>
      <w:ind w:left="850" w:right="425" w:hanging="425"/>
    </w:pPr>
    <w:rPr>
      <w:noProof/>
    </w:rPr>
  </w:style>
  <w:style w:type="paragraph" w:styleId="Normaalweb">
    <w:name w:val="Normal (Web)"/>
    <w:basedOn w:val="Standaard"/>
    <w:uiPriority w:val="99"/>
    <w:rsid w:val="00DA46BF"/>
  </w:style>
  <w:style w:type="paragraph" w:styleId="Inhopg3">
    <w:name w:val="toc 3"/>
    <w:basedOn w:val="Inhopg2"/>
    <w:next w:val="Standaard"/>
    <w:uiPriority w:val="39"/>
    <w:rsid w:val="00DA46BF"/>
    <w:rPr>
      <w:b/>
    </w:rPr>
  </w:style>
  <w:style w:type="table" w:styleId="Tabelraster">
    <w:name w:val="Table Grid"/>
    <w:basedOn w:val="Standaardtabel"/>
    <w:uiPriority w:val="59"/>
    <w:rsid w:val="00DA46BF"/>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Inhopg3"/>
    <w:next w:val="Standaard"/>
    <w:uiPriority w:val="39"/>
    <w:semiHidden/>
    <w:rsid w:val="00DA46BF"/>
  </w:style>
  <w:style w:type="paragraph" w:styleId="Inhopg5">
    <w:name w:val="toc 5"/>
    <w:basedOn w:val="Standaard"/>
    <w:next w:val="Standaard"/>
    <w:autoRedefine/>
    <w:semiHidden/>
    <w:rsid w:val="00DA46BF"/>
    <w:pPr>
      <w:ind w:left="720"/>
    </w:pPr>
  </w:style>
  <w:style w:type="paragraph" w:styleId="Voetnoottekst">
    <w:name w:val="footnote text"/>
    <w:basedOn w:val="Standaard"/>
    <w:link w:val="VoetnoottekstChar"/>
    <w:rsid w:val="00DA46BF"/>
    <w:pPr>
      <w:tabs>
        <w:tab w:val="left" w:pos="600"/>
      </w:tabs>
      <w:spacing w:line="180" w:lineRule="atLeast"/>
      <w:ind w:left="240" w:hanging="240"/>
    </w:pPr>
    <w:rPr>
      <w:sz w:val="13"/>
      <w:szCs w:val="20"/>
    </w:rPr>
  </w:style>
  <w:style w:type="character" w:styleId="Voetnootmarkering">
    <w:name w:val="footnote reference"/>
    <w:rsid w:val="00DA46BF"/>
    <w:rPr>
      <w:vertAlign w:val="superscript"/>
    </w:rPr>
  </w:style>
  <w:style w:type="paragraph" w:styleId="Eindnoottekst">
    <w:name w:val="endnote text"/>
    <w:basedOn w:val="Standaard"/>
    <w:link w:val="EindnoottekstChar"/>
    <w:semiHidden/>
    <w:rsid w:val="00DA46BF"/>
    <w:rPr>
      <w:sz w:val="20"/>
      <w:szCs w:val="20"/>
    </w:rPr>
  </w:style>
  <w:style w:type="character" w:styleId="Eindnootmarkering">
    <w:name w:val="endnote reference"/>
    <w:semiHidden/>
    <w:rsid w:val="00DA46BF"/>
    <w:rPr>
      <w:vertAlign w:val="superscript"/>
    </w:rPr>
  </w:style>
  <w:style w:type="paragraph" w:styleId="Standaardinspringing">
    <w:name w:val="Normal Indent"/>
    <w:basedOn w:val="Standaard"/>
    <w:semiHidden/>
    <w:rsid w:val="00DA46BF"/>
    <w:pPr>
      <w:numPr>
        <w:numId w:val="4"/>
      </w:numPr>
      <w:tabs>
        <w:tab w:val="clear" w:pos="0"/>
      </w:tabs>
      <w:ind w:left="708"/>
    </w:pPr>
    <w:rPr>
      <w:rFonts w:cs="Verdana"/>
    </w:rPr>
  </w:style>
  <w:style w:type="character" w:styleId="Verwijzingopmerking">
    <w:name w:val="annotation reference"/>
    <w:semiHidden/>
    <w:rsid w:val="00DA46BF"/>
    <w:rPr>
      <w:sz w:val="16"/>
      <w:szCs w:val="16"/>
    </w:rPr>
  </w:style>
  <w:style w:type="paragraph" w:styleId="Tekstopmerking">
    <w:name w:val="annotation text"/>
    <w:basedOn w:val="Standaard"/>
    <w:link w:val="TekstopmerkingChar"/>
    <w:semiHidden/>
    <w:rsid w:val="00DA46BF"/>
    <w:pPr>
      <w:spacing w:line="300" w:lineRule="atLeast"/>
    </w:pPr>
    <w:rPr>
      <w:sz w:val="20"/>
      <w:szCs w:val="20"/>
    </w:rPr>
  </w:style>
  <w:style w:type="character" w:customStyle="1" w:styleId="TekstopmerkingChar">
    <w:name w:val="Tekst opmerking Char"/>
    <w:link w:val="Tekstopmerking"/>
    <w:semiHidden/>
    <w:locked/>
    <w:rsid w:val="00DA46BF"/>
    <w:rPr>
      <w:sz w:val="20"/>
      <w:szCs w:val="20"/>
    </w:rPr>
  </w:style>
  <w:style w:type="paragraph" w:styleId="Bijschrift">
    <w:name w:val="caption"/>
    <w:basedOn w:val="Standaard"/>
    <w:next w:val="Standaard"/>
    <w:semiHidden/>
    <w:qFormat/>
    <w:rsid w:val="00DA46BF"/>
    <w:pPr>
      <w:spacing w:line="260" w:lineRule="atLeast"/>
    </w:pPr>
    <w:rPr>
      <w:rFonts w:ascii="Euphemia" w:hAnsi="Euphemia"/>
      <w:b/>
      <w:bCs/>
      <w:kern w:val="14"/>
      <w:sz w:val="20"/>
      <w:szCs w:val="20"/>
      <w:lang w:eastAsia="en-US"/>
    </w:rPr>
  </w:style>
  <w:style w:type="paragraph" w:styleId="Ballontekst">
    <w:name w:val="Balloon Text"/>
    <w:basedOn w:val="Standaard"/>
    <w:link w:val="BallontekstChar"/>
    <w:semiHidden/>
    <w:rsid w:val="00DA46BF"/>
    <w:rPr>
      <w:rFonts w:ascii="Tahoma" w:hAnsi="Tahoma" w:cs="Tahoma"/>
      <w:sz w:val="16"/>
      <w:szCs w:val="16"/>
    </w:rPr>
  </w:style>
  <w:style w:type="character" w:styleId="Zwaar">
    <w:name w:val="Strong"/>
    <w:uiPriority w:val="22"/>
    <w:qFormat/>
    <w:rsid w:val="00DA46BF"/>
    <w:rPr>
      <w:b/>
      <w:bCs/>
    </w:rPr>
  </w:style>
  <w:style w:type="paragraph" w:styleId="Plattetekst">
    <w:name w:val="Body Text"/>
    <w:basedOn w:val="Standaard"/>
    <w:link w:val="PlattetekstChar"/>
    <w:semiHidden/>
    <w:rsid w:val="00DA46BF"/>
    <w:pPr>
      <w:spacing w:after="120"/>
    </w:pPr>
  </w:style>
  <w:style w:type="character" w:customStyle="1" w:styleId="PlattetekstChar">
    <w:name w:val="Platte tekst Char"/>
    <w:link w:val="Plattetekst"/>
    <w:semiHidden/>
    <w:rsid w:val="00DA46BF"/>
  </w:style>
  <w:style w:type="paragraph" w:customStyle="1" w:styleId="DOReportLabel">
    <w:name w:val="DO_ReportLabel"/>
    <w:basedOn w:val="Standaard"/>
    <w:qFormat/>
    <w:rsid w:val="00DA46BF"/>
    <w:rPr>
      <w:i/>
    </w:rPr>
  </w:style>
  <w:style w:type="paragraph" w:customStyle="1" w:styleId="DOUnit">
    <w:name w:val="DO_Unit"/>
    <w:basedOn w:val="Standaard"/>
    <w:qFormat/>
    <w:rsid w:val="00DA46BF"/>
    <w:pPr>
      <w:jc w:val="center"/>
    </w:pPr>
    <w:rPr>
      <w:noProof/>
    </w:rPr>
  </w:style>
  <w:style w:type="paragraph" w:customStyle="1" w:styleId="DODocTitle">
    <w:name w:val="DO_DocTitle"/>
    <w:basedOn w:val="Standaard"/>
    <w:qFormat/>
    <w:rsid w:val="00DA46BF"/>
    <w:pPr>
      <w:jc w:val="center"/>
    </w:pPr>
    <w:rPr>
      <w:rFonts w:eastAsiaTheme="minorHAnsi"/>
      <w:noProof/>
      <w:color w:val="CF6045"/>
      <w:sz w:val="48"/>
      <w:szCs w:val="56"/>
    </w:rPr>
  </w:style>
  <w:style w:type="paragraph" w:customStyle="1" w:styleId="DOColofon">
    <w:name w:val="DO_Colofon"/>
    <w:basedOn w:val="Standaard"/>
    <w:qFormat/>
    <w:rsid w:val="00DA46BF"/>
    <w:pPr>
      <w:pageBreakBefore/>
    </w:pPr>
    <w:rPr>
      <w:rFonts w:eastAsiaTheme="minorHAnsi"/>
      <w:color w:val="CF6045"/>
      <w:sz w:val="24"/>
    </w:rPr>
  </w:style>
  <w:style w:type="character" w:customStyle="1" w:styleId="Kop4Char">
    <w:name w:val="Kop 4 Char"/>
    <w:basedOn w:val="Standaardalinea-lettertype"/>
    <w:link w:val="Kop4"/>
    <w:semiHidden/>
    <w:rsid w:val="00DA46BF"/>
    <w:rPr>
      <w:rFonts w:cs="Arial"/>
      <w:color w:val="CF6045"/>
      <w:kern w:val="32"/>
      <w:szCs w:val="28"/>
    </w:rPr>
  </w:style>
  <w:style w:type="character" w:customStyle="1" w:styleId="Kop5Char">
    <w:name w:val="Kop 5 Char"/>
    <w:basedOn w:val="Standaardalinea-lettertype"/>
    <w:link w:val="Kop5"/>
    <w:semiHidden/>
    <w:rsid w:val="00DA46BF"/>
    <w:rPr>
      <w:b/>
      <w:bCs/>
      <w:i/>
      <w:iCs/>
      <w:sz w:val="26"/>
      <w:szCs w:val="26"/>
    </w:rPr>
  </w:style>
  <w:style w:type="character" w:customStyle="1" w:styleId="BallontekstChar">
    <w:name w:val="Ballontekst Char"/>
    <w:basedOn w:val="Standaardalinea-lettertype"/>
    <w:link w:val="Ballontekst"/>
    <w:semiHidden/>
    <w:rsid w:val="00DA46BF"/>
    <w:rPr>
      <w:rFonts w:ascii="Tahoma" w:hAnsi="Tahoma" w:cs="Tahoma"/>
      <w:sz w:val="16"/>
      <w:szCs w:val="16"/>
      <w:lang w:val="nl-NL"/>
    </w:rPr>
  </w:style>
  <w:style w:type="character" w:customStyle="1" w:styleId="Kop2Char">
    <w:name w:val="Kop 2 Char"/>
    <w:basedOn w:val="Standaardalinea-lettertype"/>
    <w:link w:val="Kop2"/>
    <w:rsid w:val="00DA46BF"/>
    <w:rPr>
      <w:rFonts w:cs="Arial"/>
      <w:b/>
      <w:iCs/>
      <w:color w:val="CF6045"/>
      <w:kern w:val="32"/>
      <w:szCs w:val="28"/>
    </w:rPr>
  </w:style>
  <w:style w:type="character" w:customStyle="1" w:styleId="Kop3Char">
    <w:name w:val="Kop 3 Char"/>
    <w:basedOn w:val="Standaardalinea-lettertype"/>
    <w:link w:val="Kop3"/>
    <w:rsid w:val="00DA46BF"/>
    <w:rPr>
      <w:rFonts w:cs="Arial"/>
      <w:i/>
      <w:color w:val="CF6045"/>
      <w:kern w:val="32"/>
      <w:szCs w:val="26"/>
    </w:rPr>
  </w:style>
  <w:style w:type="character" w:customStyle="1" w:styleId="Kop6Char">
    <w:name w:val="Kop 6 Char"/>
    <w:basedOn w:val="Standaardalinea-lettertype"/>
    <w:link w:val="Kop6"/>
    <w:semiHidden/>
    <w:rsid w:val="00DA46BF"/>
    <w:rPr>
      <w:rFonts w:ascii="Times New Roman" w:hAnsi="Times New Roman"/>
      <w:b/>
      <w:bCs/>
      <w:sz w:val="22"/>
      <w:szCs w:val="22"/>
    </w:rPr>
  </w:style>
  <w:style w:type="character" w:customStyle="1" w:styleId="Kop7Char">
    <w:name w:val="Kop 7 Char"/>
    <w:basedOn w:val="Standaardalinea-lettertype"/>
    <w:link w:val="Kop7"/>
    <w:semiHidden/>
    <w:rsid w:val="00DA46BF"/>
    <w:rPr>
      <w:rFonts w:ascii="Times New Roman" w:hAnsi="Times New Roman"/>
      <w:sz w:val="24"/>
    </w:rPr>
  </w:style>
  <w:style w:type="character" w:customStyle="1" w:styleId="Kop8Char">
    <w:name w:val="Kop 8 Char"/>
    <w:basedOn w:val="Standaardalinea-lettertype"/>
    <w:link w:val="Kop8"/>
    <w:semiHidden/>
    <w:rsid w:val="00DA46BF"/>
    <w:rPr>
      <w:rFonts w:ascii="Times New Roman" w:hAnsi="Times New Roman"/>
      <w:i/>
      <w:iCs/>
      <w:sz w:val="24"/>
    </w:rPr>
  </w:style>
  <w:style w:type="character" w:customStyle="1" w:styleId="Kop9Char">
    <w:name w:val="Kop 9 Char"/>
    <w:basedOn w:val="Standaardalinea-lettertype"/>
    <w:link w:val="Kop9"/>
    <w:semiHidden/>
    <w:rsid w:val="00DA46BF"/>
    <w:rPr>
      <w:rFonts w:ascii="Arial" w:hAnsi="Arial" w:cs="Arial"/>
      <w:sz w:val="22"/>
      <w:szCs w:val="22"/>
    </w:rPr>
  </w:style>
  <w:style w:type="paragraph" w:styleId="Lijstalinea">
    <w:name w:val="List Paragraph"/>
    <w:aliases w:val="List - Number"/>
    <w:basedOn w:val="Standaard"/>
    <w:link w:val="LijstalineaChar"/>
    <w:uiPriority w:val="34"/>
    <w:qFormat/>
    <w:rsid w:val="00DA46BF"/>
    <w:pPr>
      <w:ind w:left="720"/>
      <w:contextualSpacing/>
    </w:pPr>
  </w:style>
  <w:style w:type="character" w:styleId="Nadruk">
    <w:name w:val="Emphasis"/>
    <w:semiHidden/>
    <w:qFormat/>
    <w:rsid w:val="00DA46BF"/>
    <w:rPr>
      <w:rFonts w:ascii="Verdana" w:hAnsi="Verdana"/>
      <w:i/>
      <w:iCs/>
    </w:rPr>
  </w:style>
  <w:style w:type="paragraph" w:styleId="Adresenvelop">
    <w:name w:val="envelope address"/>
    <w:basedOn w:val="Standaard"/>
    <w:semiHidden/>
    <w:rsid w:val="00DA46BF"/>
    <w:pPr>
      <w:framePr w:w="7920" w:h="1980" w:hRule="exact" w:hSpace="141" w:wrap="auto" w:hAnchor="page" w:xAlign="center" w:yAlign="bottom"/>
      <w:spacing w:line="240" w:lineRule="auto"/>
      <w:ind w:left="2880"/>
    </w:pPr>
    <w:rPr>
      <w:sz w:val="24"/>
      <w:szCs w:val="24"/>
    </w:rPr>
  </w:style>
  <w:style w:type="character" w:customStyle="1" w:styleId="TitelChar">
    <w:name w:val="Titel Char"/>
    <w:link w:val="Titel"/>
    <w:semiHidden/>
    <w:rsid w:val="00DA46BF"/>
    <w:rPr>
      <w:rFonts w:cs="Arial"/>
      <w:b/>
      <w:bCs/>
      <w:kern w:val="28"/>
      <w:sz w:val="24"/>
      <w:szCs w:val="32"/>
    </w:rPr>
  </w:style>
  <w:style w:type="character" w:styleId="Paginanummer">
    <w:name w:val="page number"/>
    <w:semiHidden/>
    <w:rsid w:val="00DA46BF"/>
    <w:rPr>
      <w:rFonts w:ascii="Verdana" w:hAnsi="Verdana"/>
    </w:rPr>
  </w:style>
  <w:style w:type="character" w:styleId="Regelnummer">
    <w:name w:val="line number"/>
    <w:semiHidden/>
    <w:rsid w:val="00DA46BF"/>
    <w:rPr>
      <w:rFonts w:ascii="Verdana" w:hAnsi="Verdana"/>
    </w:rPr>
  </w:style>
  <w:style w:type="character" w:styleId="GevolgdeHyperlink">
    <w:name w:val="FollowedHyperlink"/>
    <w:semiHidden/>
    <w:rsid w:val="00DA46BF"/>
    <w:rPr>
      <w:rFonts w:ascii="Verdana" w:hAnsi="Verdana"/>
      <w:color w:val="800080"/>
      <w:u w:val="single"/>
    </w:rPr>
  </w:style>
  <w:style w:type="paragraph" w:styleId="Afzender">
    <w:name w:val="envelope return"/>
    <w:basedOn w:val="Standaard"/>
    <w:semiHidden/>
    <w:rsid w:val="00DA46BF"/>
    <w:pPr>
      <w:spacing w:line="240" w:lineRule="auto"/>
    </w:pPr>
    <w:rPr>
      <w:szCs w:val="20"/>
    </w:rPr>
  </w:style>
  <w:style w:type="character" w:styleId="HTMLVariable">
    <w:name w:val="HTML Variable"/>
    <w:semiHidden/>
    <w:rsid w:val="00DA46BF"/>
    <w:rPr>
      <w:rFonts w:ascii="Verdana" w:hAnsi="Verdana"/>
      <w:i/>
      <w:iCs/>
    </w:rPr>
  </w:style>
  <w:style w:type="paragraph" w:styleId="Berichtkop">
    <w:name w:val="Message Header"/>
    <w:basedOn w:val="Standaard"/>
    <w:link w:val="BerichtkopChar"/>
    <w:semiHidden/>
    <w:rsid w:val="00DA46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semiHidden/>
    <w:rsid w:val="00DA46BF"/>
    <w:rPr>
      <w:sz w:val="24"/>
      <w:szCs w:val="24"/>
      <w:shd w:val="pct20" w:color="auto" w:fill="auto"/>
    </w:rPr>
  </w:style>
  <w:style w:type="character" w:customStyle="1" w:styleId="OndertitelChar">
    <w:name w:val="Ondertitel Char"/>
    <w:link w:val="Ondertitel"/>
    <w:semiHidden/>
    <w:rsid w:val="00DA46BF"/>
    <w:rPr>
      <w:sz w:val="24"/>
    </w:rPr>
  </w:style>
  <w:style w:type="paragraph" w:styleId="Kopbronvermelding">
    <w:name w:val="toa heading"/>
    <w:basedOn w:val="Standaard"/>
    <w:next w:val="Standaard"/>
    <w:semiHidden/>
    <w:rsid w:val="00DA46BF"/>
    <w:pPr>
      <w:spacing w:before="120"/>
    </w:pPr>
    <w:rPr>
      <w:b/>
      <w:bCs/>
      <w:sz w:val="24"/>
      <w:szCs w:val="24"/>
    </w:rPr>
  </w:style>
  <w:style w:type="character" w:styleId="Subtielebenadrukking">
    <w:name w:val="Subtle Emphasis"/>
    <w:qFormat/>
    <w:rsid w:val="00DA46BF"/>
    <w:rPr>
      <w:rFonts w:ascii="Verdana" w:hAnsi="Verdana"/>
      <w:i/>
      <w:iCs/>
      <w:color w:val="808080"/>
    </w:rPr>
  </w:style>
  <w:style w:type="paragraph" w:styleId="Kopvaninhoudsopgave">
    <w:name w:val="TOC Heading"/>
    <w:basedOn w:val="Kop1"/>
    <w:next w:val="Standaard"/>
    <w:uiPriority w:val="39"/>
    <w:qFormat/>
    <w:rsid w:val="00DA46BF"/>
    <w:pPr>
      <w:keepLines/>
      <w:numPr>
        <w:numId w:val="0"/>
      </w:numPr>
      <w:spacing w:before="480" w:after="0"/>
      <w:contextualSpacing w:val="0"/>
      <w:outlineLvl w:val="9"/>
    </w:pPr>
    <w:rPr>
      <w:rFonts w:cs="Times New Roman"/>
      <w:b/>
      <w:kern w:val="0"/>
      <w:sz w:val="20"/>
      <w:szCs w:val="28"/>
    </w:rPr>
  </w:style>
  <w:style w:type="character" w:styleId="Tekstvantijdelijkeaanduiding">
    <w:name w:val="Placeholder Text"/>
    <w:basedOn w:val="Standaardalinea-lettertype"/>
    <w:uiPriority w:val="99"/>
    <w:semiHidden/>
    <w:rsid w:val="00DA46BF"/>
    <w:rPr>
      <w:color w:val="808080"/>
      <w:lang w:val="nl-NL"/>
    </w:rPr>
  </w:style>
  <w:style w:type="character" w:styleId="Titelvanboek">
    <w:name w:val="Book Title"/>
    <w:uiPriority w:val="33"/>
    <w:semiHidden/>
    <w:qFormat/>
    <w:rsid w:val="00DA46BF"/>
    <w:rPr>
      <w:rFonts w:ascii="Verdana" w:hAnsi="Verdana"/>
      <w:b/>
      <w:bCs/>
      <w:smallCaps/>
      <w:spacing w:val="5"/>
    </w:rPr>
  </w:style>
  <w:style w:type="character" w:styleId="Intensieveverwijzing">
    <w:name w:val="Intense Reference"/>
    <w:uiPriority w:val="32"/>
    <w:semiHidden/>
    <w:qFormat/>
    <w:rsid w:val="00DA46BF"/>
    <w:rPr>
      <w:rFonts w:ascii="Verdana" w:hAnsi="Verdana"/>
      <w:b/>
      <w:bCs/>
      <w:smallCaps/>
      <w:color w:val="C0504D"/>
      <w:spacing w:val="5"/>
      <w:u w:val="single"/>
    </w:rPr>
  </w:style>
  <w:style w:type="character" w:styleId="Subtieleverwijzing">
    <w:name w:val="Subtle Reference"/>
    <w:uiPriority w:val="31"/>
    <w:semiHidden/>
    <w:qFormat/>
    <w:rsid w:val="00DA46BF"/>
    <w:rPr>
      <w:rFonts w:ascii="Verdana" w:hAnsi="Verdana"/>
      <w:smallCaps/>
      <w:color w:val="C0504D"/>
      <w:u w:val="single"/>
    </w:rPr>
  </w:style>
  <w:style w:type="paragraph" w:styleId="Duidelijkcitaat">
    <w:name w:val="Intense Quote"/>
    <w:basedOn w:val="Standaard"/>
    <w:next w:val="Standaard"/>
    <w:link w:val="DuidelijkcitaatChar"/>
    <w:uiPriority w:val="30"/>
    <w:semiHidden/>
    <w:qFormat/>
    <w:rsid w:val="00DA46BF"/>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semiHidden/>
    <w:rsid w:val="00DA46BF"/>
    <w:rPr>
      <w:b/>
      <w:bCs/>
      <w:i/>
      <w:iCs/>
      <w:color w:val="4F81BD"/>
    </w:rPr>
  </w:style>
  <w:style w:type="character" w:styleId="Intensievebenadrukking">
    <w:name w:val="Intense Emphasis"/>
    <w:uiPriority w:val="21"/>
    <w:semiHidden/>
    <w:qFormat/>
    <w:rsid w:val="00DA46BF"/>
    <w:rPr>
      <w:rFonts w:ascii="Verdana" w:hAnsi="Verdana"/>
      <w:b/>
      <w:bCs/>
      <w:i/>
      <w:iCs/>
      <w:color w:val="4F81BD"/>
    </w:rPr>
  </w:style>
  <w:style w:type="table" w:customStyle="1" w:styleId="Lichtelijst1">
    <w:name w:val="Lichte lijst1"/>
    <w:basedOn w:val="Standaardtabel"/>
    <w:uiPriority w:val="61"/>
    <w:rsid w:val="00DA46BF"/>
    <w:rPr>
      <w:rFonts w:ascii="Calibri" w:eastAsiaTheme="minorHAnsi" w:hAnsi="Calibr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tekstChar">
    <w:name w:val="Koptekst Char"/>
    <w:basedOn w:val="Standaardalinea-lettertype"/>
    <w:link w:val="Koptekst"/>
    <w:semiHidden/>
    <w:rsid w:val="00DA46BF"/>
    <w:rPr>
      <w:lang w:val="nl-NL"/>
    </w:rPr>
  </w:style>
  <w:style w:type="character" w:customStyle="1" w:styleId="VoettekstChar">
    <w:name w:val="Voettekst Char"/>
    <w:basedOn w:val="Standaardalinea-lettertype"/>
    <w:link w:val="Voettekst"/>
    <w:rsid w:val="00DA46BF"/>
    <w:rPr>
      <w:lang w:val="nl-NL"/>
    </w:rPr>
  </w:style>
  <w:style w:type="paragraph" w:customStyle="1" w:styleId="DOLocation">
    <w:name w:val="DO_Location"/>
    <w:basedOn w:val="Standaard"/>
    <w:qFormat/>
    <w:rsid w:val="00DA46BF"/>
    <w:rPr>
      <w:rFonts w:ascii="Arial" w:hAnsi="Arial"/>
      <w:noProof/>
      <w:sz w:val="17"/>
    </w:rPr>
  </w:style>
  <w:style w:type="numbering" w:styleId="111111">
    <w:name w:val="Outline List 2"/>
    <w:basedOn w:val="Geenlijst"/>
    <w:uiPriority w:val="99"/>
    <w:unhideWhenUsed/>
    <w:rsid w:val="00DA46BF"/>
    <w:pPr>
      <w:numPr>
        <w:numId w:val="5"/>
      </w:numPr>
    </w:pPr>
  </w:style>
  <w:style w:type="paragraph" w:customStyle="1" w:styleId="DOHidden">
    <w:name w:val="DO_Hidden"/>
    <w:basedOn w:val="Standaard"/>
    <w:qFormat/>
    <w:rsid w:val="00DA46BF"/>
    <w:pPr>
      <w:framePr w:w="284" w:h="284" w:hRule="exact" w:wrap="around" w:vAnchor="page" w:hAnchor="page" w:x="1" w:y="1" w:anchorLock="1"/>
    </w:pPr>
    <w:rPr>
      <w:noProof/>
    </w:rPr>
  </w:style>
  <w:style w:type="character" w:customStyle="1" w:styleId="VoetnoottekstChar">
    <w:name w:val="Voetnoottekst Char"/>
    <w:basedOn w:val="Standaardalinea-lettertype"/>
    <w:link w:val="Voetnoottekst"/>
    <w:uiPriority w:val="99"/>
    <w:semiHidden/>
    <w:rsid w:val="00DA46BF"/>
    <w:rPr>
      <w:sz w:val="13"/>
      <w:szCs w:val="20"/>
      <w:lang w:val="nl-NL"/>
    </w:rPr>
  </w:style>
  <w:style w:type="character" w:customStyle="1" w:styleId="EindnoottekstChar">
    <w:name w:val="Eindnoottekst Char"/>
    <w:basedOn w:val="Standaardalinea-lettertype"/>
    <w:link w:val="Eindnoottekst"/>
    <w:semiHidden/>
    <w:rsid w:val="00DA46BF"/>
    <w:rPr>
      <w:sz w:val="20"/>
      <w:szCs w:val="20"/>
      <w:lang w:val="nl-NL"/>
    </w:rPr>
  </w:style>
  <w:style w:type="numbering" w:customStyle="1" w:styleId="doNummering">
    <w:name w:val="do_Nummering"/>
    <w:uiPriority w:val="99"/>
    <w:rsid w:val="00DA46BF"/>
    <w:pPr>
      <w:numPr>
        <w:numId w:val="6"/>
      </w:numPr>
    </w:pPr>
  </w:style>
  <w:style w:type="numbering" w:customStyle="1" w:styleId="doOpsomming">
    <w:name w:val="do_Opsomming"/>
    <w:uiPriority w:val="99"/>
    <w:rsid w:val="00DA46BF"/>
    <w:pPr>
      <w:numPr>
        <w:numId w:val="7"/>
      </w:numPr>
    </w:pPr>
  </w:style>
  <w:style w:type="character" w:styleId="Hyperlink">
    <w:name w:val="Hyperlink"/>
    <w:basedOn w:val="Standaardalinea-lettertype"/>
    <w:uiPriority w:val="99"/>
    <w:unhideWhenUsed/>
    <w:rsid w:val="000D06EC"/>
    <w:rPr>
      <w:color w:val="0000FF" w:themeColor="hyperlink"/>
      <w:u w:val="single"/>
      <w:lang w:val="nl-NL"/>
    </w:rPr>
  </w:style>
  <w:style w:type="paragraph" w:customStyle="1" w:styleId="DOLabel">
    <w:name w:val="DO_Label"/>
    <w:basedOn w:val="Standaard"/>
    <w:qFormat/>
    <w:rsid w:val="00DA46BF"/>
    <w:rPr>
      <w:b/>
      <w:sz w:val="16"/>
      <w:szCs w:val="16"/>
    </w:rPr>
  </w:style>
  <w:style w:type="paragraph" w:styleId="Onderwerpvanopmerking">
    <w:name w:val="annotation subject"/>
    <w:basedOn w:val="Tekstopmerking"/>
    <w:next w:val="Tekstopmerking"/>
    <w:link w:val="OnderwerpvanopmerkingChar"/>
    <w:semiHidden/>
    <w:unhideWhenUsed/>
    <w:rsid w:val="00D242F7"/>
    <w:pPr>
      <w:spacing w:line="240" w:lineRule="auto"/>
    </w:pPr>
    <w:rPr>
      <w:b/>
      <w:bCs/>
    </w:rPr>
  </w:style>
  <w:style w:type="character" w:customStyle="1" w:styleId="OnderwerpvanopmerkingChar">
    <w:name w:val="Onderwerp van opmerking Char"/>
    <w:basedOn w:val="TekstopmerkingChar"/>
    <w:link w:val="Onderwerpvanopmerking"/>
    <w:semiHidden/>
    <w:rsid w:val="00D242F7"/>
    <w:rPr>
      <w:b/>
      <w:bCs/>
      <w:sz w:val="20"/>
      <w:szCs w:val="20"/>
    </w:rPr>
  </w:style>
  <w:style w:type="character" w:customStyle="1" w:styleId="LijstalineaChar">
    <w:name w:val="Lijstalinea Char"/>
    <w:aliases w:val="List - Number Char"/>
    <w:basedOn w:val="Standaardalinea-lettertype"/>
    <w:link w:val="Lijstalinea"/>
    <w:uiPriority w:val="34"/>
    <w:rsid w:val="00EF47AC"/>
  </w:style>
  <w:style w:type="character" w:customStyle="1" w:styleId="Onopgelostemelding1">
    <w:name w:val="Onopgeloste melding1"/>
    <w:basedOn w:val="Standaardalinea-lettertype"/>
    <w:uiPriority w:val="99"/>
    <w:semiHidden/>
    <w:unhideWhenUsed/>
    <w:rsid w:val="00C13D7C"/>
    <w:rPr>
      <w:color w:val="808080"/>
      <w:shd w:val="clear" w:color="auto" w:fill="E6E6E6"/>
    </w:rPr>
  </w:style>
  <w:style w:type="character" w:customStyle="1" w:styleId="tgc">
    <w:name w:val="_tgc"/>
    <w:basedOn w:val="Standaardalinea-lettertype"/>
    <w:rsid w:val="009623EC"/>
  </w:style>
  <w:style w:type="paragraph" w:customStyle="1" w:styleId="BasistekstDoxis">
    <w:name w:val="Basistekst Doxis"/>
    <w:basedOn w:val="Standaard"/>
    <w:qFormat/>
    <w:rsid w:val="00DA4C45"/>
    <w:pPr>
      <w:spacing w:line="269" w:lineRule="atLeast"/>
      <w:jc w:val="both"/>
    </w:pPr>
    <w:rPr>
      <w:rFonts w:ascii="Calibri" w:hAnsi="Calibri" w:cs="Maiandra GD"/>
      <w:color w:val="555555"/>
      <w:sz w:val="22"/>
    </w:rPr>
  </w:style>
  <w:style w:type="paragraph" w:styleId="Revisie">
    <w:name w:val="Revision"/>
    <w:hidden/>
    <w:uiPriority w:val="99"/>
    <w:semiHidden/>
    <w:rsid w:val="0099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4771">
      <w:bodyDiv w:val="1"/>
      <w:marLeft w:val="0"/>
      <w:marRight w:val="0"/>
      <w:marTop w:val="0"/>
      <w:marBottom w:val="0"/>
      <w:divBdr>
        <w:top w:val="none" w:sz="0" w:space="0" w:color="auto"/>
        <w:left w:val="none" w:sz="0" w:space="0" w:color="auto"/>
        <w:bottom w:val="none" w:sz="0" w:space="0" w:color="auto"/>
        <w:right w:val="none" w:sz="0" w:space="0" w:color="auto"/>
      </w:divBdr>
    </w:div>
    <w:div w:id="152571613">
      <w:bodyDiv w:val="1"/>
      <w:marLeft w:val="0"/>
      <w:marRight w:val="0"/>
      <w:marTop w:val="0"/>
      <w:marBottom w:val="0"/>
      <w:divBdr>
        <w:top w:val="none" w:sz="0" w:space="0" w:color="auto"/>
        <w:left w:val="none" w:sz="0" w:space="0" w:color="auto"/>
        <w:bottom w:val="none" w:sz="0" w:space="0" w:color="auto"/>
        <w:right w:val="none" w:sz="0" w:space="0" w:color="auto"/>
      </w:divBdr>
    </w:div>
    <w:div w:id="356322165">
      <w:bodyDiv w:val="1"/>
      <w:marLeft w:val="0"/>
      <w:marRight w:val="0"/>
      <w:marTop w:val="0"/>
      <w:marBottom w:val="0"/>
      <w:divBdr>
        <w:top w:val="none" w:sz="0" w:space="0" w:color="auto"/>
        <w:left w:val="none" w:sz="0" w:space="0" w:color="auto"/>
        <w:bottom w:val="none" w:sz="0" w:space="0" w:color="auto"/>
        <w:right w:val="none" w:sz="0" w:space="0" w:color="auto"/>
      </w:divBdr>
      <w:divsChild>
        <w:div w:id="1072852927">
          <w:marLeft w:val="547"/>
          <w:marRight w:val="0"/>
          <w:marTop w:val="106"/>
          <w:marBottom w:val="0"/>
          <w:divBdr>
            <w:top w:val="none" w:sz="0" w:space="0" w:color="auto"/>
            <w:left w:val="none" w:sz="0" w:space="0" w:color="auto"/>
            <w:bottom w:val="none" w:sz="0" w:space="0" w:color="auto"/>
            <w:right w:val="none" w:sz="0" w:space="0" w:color="auto"/>
          </w:divBdr>
        </w:div>
        <w:div w:id="1796293108">
          <w:marLeft w:val="547"/>
          <w:marRight w:val="0"/>
          <w:marTop w:val="106"/>
          <w:marBottom w:val="0"/>
          <w:divBdr>
            <w:top w:val="none" w:sz="0" w:space="0" w:color="auto"/>
            <w:left w:val="none" w:sz="0" w:space="0" w:color="auto"/>
            <w:bottom w:val="none" w:sz="0" w:space="0" w:color="auto"/>
            <w:right w:val="none" w:sz="0" w:space="0" w:color="auto"/>
          </w:divBdr>
        </w:div>
        <w:div w:id="223762803">
          <w:marLeft w:val="547"/>
          <w:marRight w:val="0"/>
          <w:marTop w:val="106"/>
          <w:marBottom w:val="0"/>
          <w:divBdr>
            <w:top w:val="none" w:sz="0" w:space="0" w:color="auto"/>
            <w:left w:val="none" w:sz="0" w:space="0" w:color="auto"/>
            <w:bottom w:val="none" w:sz="0" w:space="0" w:color="auto"/>
            <w:right w:val="none" w:sz="0" w:space="0" w:color="auto"/>
          </w:divBdr>
        </w:div>
        <w:div w:id="233322695">
          <w:marLeft w:val="547"/>
          <w:marRight w:val="0"/>
          <w:marTop w:val="106"/>
          <w:marBottom w:val="0"/>
          <w:divBdr>
            <w:top w:val="none" w:sz="0" w:space="0" w:color="auto"/>
            <w:left w:val="none" w:sz="0" w:space="0" w:color="auto"/>
            <w:bottom w:val="none" w:sz="0" w:space="0" w:color="auto"/>
            <w:right w:val="none" w:sz="0" w:space="0" w:color="auto"/>
          </w:divBdr>
        </w:div>
        <w:div w:id="573010422">
          <w:marLeft w:val="547"/>
          <w:marRight w:val="0"/>
          <w:marTop w:val="106"/>
          <w:marBottom w:val="0"/>
          <w:divBdr>
            <w:top w:val="none" w:sz="0" w:space="0" w:color="auto"/>
            <w:left w:val="none" w:sz="0" w:space="0" w:color="auto"/>
            <w:bottom w:val="none" w:sz="0" w:space="0" w:color="auto"/>
            <w:right w:val="none" w:sz="0" w:space="0" w:color="auto"/>
          </w:divBdr>
        </w:div>
        <w:div w:id="1333797940">
          <w:marLeft w:val="547"/>
          <w:marRight w:val="0"/>
          <w:marTop w:val="106"/>
          <w:marBottom w:val="0"/>
          <w:divBdr>
            <w:top w:val="none" w:sz="0" w:space="0" w:color="auto"/>
            <w:left w:val="none" w:sz="0" w:space="0" w:color="auto"/>
            <w:bottom w:val="none" w:sz="0" w:space="0" w:color="auto"/>
            <w:right w:val="none" w:sz="0" w:space="0" w:color="auto"/>
          </w:divBdr>
        </w:div>
        <w:div w:id="1567253337">
          <w:marLeft w:val="547"/>
          <w:marRight w:val="0"/>
          <w:marTop w:val="106"/>
          <w:marBottom w:val="0"/>
          <w:divBdr>
            <w:top w:val="none" w:sz="0" w:space="0" w:color="auto"/>
            <w:left w:val="none" w:sz="0" w:space="0" w:color="auto"/>
            <w:bottom w:val="none" w:sz="0" w:space="0" w:color="auto"/>
            <w:right w:val="none" w:sz="0" w:space="0" w:color="auto"/>
          </w:divBdr>
        </w:div>
        <w:div w:id="44374022">
          <w:marLeft w:val="547"/>
          <w:marRight w:val="0"/>
          <w:marTop w:val="106"/>
          <w:marBottom w:val="0"/>
          <w:divBdr>
            <w:top w:val="none" w:sz="0" w:space="0" w:color="auto"/>
            <w:left w:val="none" w:sz="0" w:space="0" w:color="auto"/>
            <w:bottom w:val="none" w:sz="0" w:space="0" w:color="auto"/>
            <w:right w:val="none" w:sz="0" w:space="0" w:color="auto"/>
          </w:divBdr>
        </w:div>
        <w:div w:id="1746754467">
          <w:marLeft w:val="547"/>
          <w:marRight w:val="0"/>
          <w:marTop w:val="106"/>
          <w:marBottom w:val="0"/>
          <w:divBdr>
            <w:top w:val="none" w:sz="0" w:space="0" w:color="auto"/>
            <w:left w:val="none" w:sz="0" w:space="0" w:color="auto"/>
            <w:bottom w:val="none" w:sz="0" w:space="0" w:color="auto"/>
            <w:right w:val="none" w:sz="0" w:space="0" w:color="auto"/>
          </w:divBdr>
        </w:div>
      </w:divsChild>
    </w:div>
    <w:div w:id="699816588">
      <w:bodyDiv w:val="1"/>
      <w:marLeft w:val="0"/>
      <w:marRight w:val="0"/>
      <w:marTop w:val="0"/>
      <w:marBottom w:val="0"/>
      <w:divBdr>
        <w:top w:val="none" w:sz="0" w:space="0" w:color="auto"/>
        <w:left w:val="none" w:sz="0" w:space="0" w:color="auto"/>
        <w:bottom w:val="none" w:sz="0" w:space="0" w:color="auto"/>
        <w:right w:val="none" w:sz="0" w:space="0" w:color="auto"/>
      </w:divBdr>
    </w:div>
    <w:div w:id="1184788115">
      <w:bodyDiv w:val="1"/>
      <w:marLeft w:val="0"/>
      <w:marRight w:val="0"/>
      <w:marTop w:val="0"/>
      <w:marBottom w:val="0"/>
      <w:divBdr>
        <w:top w:val="none" w:sz="0" w:space="0" w:color="auto"/>
        <w:left w:val="none" w:sz="0" w:space="0" w:color="auto"/>
        <w:bottom w:val="none" w:sz="0" w:space="0" w:color="auto"/>
        <w:right w:val="none" w:sz="0" w:space="0" w:color="auto"/>
      </w:divBdr>
    </w:div>
    <w:div w:id="1375811709">
      <w:bodyDiv w:val="1"/>
      <w:marLeft w:val="0"/>
      <w:marRight w:val="0"/>
      <w:marTop w:val="0"/>
      <w:marBottom w:val="0"/>
      <w:divBdr>
        <w:top w:val="none" w:sz="0" w:space="0" w:color="auto"/>
        <w:left w:val="none" w:sz="0" w:space="0" w:color="auto"/>
        <w:bottom w:val="none" w:sz="0" w:space="0" w:color="auto"/>
        <w:right w:val="none" w:sz="0" w:space="0" w:color="auto"/>
      </w:divBdr>
    </w:div>
    <w:div w:id="1574000913">
      <w:bodyDiv w:val="1"/>
      <w:marLeft w:val="0"/>
      <w:marRight w:val="0"/>
      <w:marTop w:val="0"/>
      <w:marBottom w:val="0"/>
      <w:divBdr>
        <w:top w:val="none" w:sz="0" w:space="0" w:color="auto"/>
        <w:left w:val="none" w:sz="0" w:space="0" w:color="auto"/>
        <w:bottom w:val="none" w:sz="0" w:space="0" w:color="auto"/>
        <w:right w:val="none" w:sz="0" w:space="0" w:color="auto"/>
      </w:divBdr>
    </w:div>
    <w:div w:id="1584072576">
      <w:bodyDiv w:val="1"/>
      <w:marLeft w:val="0"/>
      <w:marRight w:val="0"/>
      <w:marTop w:val="0"/>
      <w:marBottom w:val="0"/>
      <w:divBdr>
        <w:top w:val="none" w:sz="0" w:space="0" w:color="auto"/>
        <w:left w:val="none" w:sz="0" w:space="0" w:color="auto"/>
        <w:bottom w:val="none" w:sz="0" w:space="0" w:color="auto"/>
        <w:right w:val="none" w:sz="0" w:space="0" w:color="auto"/>
      </w:divBdr>
    </w:div>
    <w:div w:id="1753971510">
      <w:bodyDiv w:val="1"/>
      <w:marLeft w:val="0"/>
      <w:marRight w:val="0"/>
      <w:marTop w:val="0"/>
      <w:marBottom w:val="0"/>
      <w:divBdr>
        <w:top w:val="none" w:sz="0" w:space="0" w:color="auto"/>
        <w:left w:val="none" w:sz="0" w:space="0" w:color="auto"/>
        <w:bottom w:val="none" w:sz="0" w:space="0" w:color="auto"/>
        <w:right w:val="none" w:sz="0" w:space="0" w:color="auto"/>
      </w:divBdr>
    </w:div>
    <w:div w:id="20822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ab766f15-1a6d-42ae-97a2-8854072b29d3">WQV22FCP6FXM-1505163040-2173</_dlc_DocId>
    <_dlc_DocIdUrl xmlns="ab766f15-1a6d-42ae-97a2-8854072b29d3">
      <Url>https://bij12kantoor.sharepoint.com/sites/EuropeseaanbestedingICT-dienstverlening/_layouts/15/DocIdRedir.aspx?ID=WQV22FCP6FXM-1505163040-2173</Url>
      <Description>WQV22FCP6FXM-1505163040-2173</Description>
    </_dlc_DocIdUrl>
    <Datumsjabloongewijzigd xmlns="ab766f15-1a6d-42ae-97a2-8854072b29d3">2020-10-28T23:00:00+00:00</Datumsjabloongewijzigd>
    <NaamCreatieApplicatie xmlns="ab766f15-1a6d-42ae-97a2-8854072b29d3" xsi:nil="true"/>
    <Trefwoorden xmlns="ab766f15-1a6d-42ae-97a2-8854072b29d3" xsi:nil="true"/>
    <TaxCatchAll xmlns="ab766f15-1a6d-42ae-97a2-8854072b29d3">
      <Value>6</Value>
    </TaxCatchAll>
    <VersieCreatieApplicatie xmlns="ab766f15-1a6d-42ae-97a2-8854072b29d3" xsi:nil="true"/>
    <kb1fed7297714dbb8c8a7b7f109c0ad0 xmlns="ab766f15-1a6d-42ae-97a2-8854072b29d3">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7e12b187-8201-486d-a979-1ba10b56cb3c</TermId>
        </TermInfo>
      </Terms>
    </kb1fed7297714dbb8c8a7b7f109c0ad0>
    <Niveau xmlns="ab766f15-1a6d-42ae-97a2-8854072b29d3">Bedrijfsvertrouwelijk</Niveau>
    <Documentstatus xmlns="ab766f15-1a6d-42ae-97a2-8854072b29d3">Definitief</Documentstatus>
    <DatumVersieCreatieapplicatie xmlns="ab766f15-1a6d-42ae-97a2-8854072b29d3">2020-10-28T23:00:00+00:00</DatumVersieCreatieapplicatie>
    <VernietigenofArchiveren xmlns="ab766f15-1a6d-42ae-97a2-8854072b29d3">Vernietigen</VernietigenofArchiveren>
    <Vrijetrefwoorden2 xmlns="ab766f15-1a6d-42ae-97a2-8854072b29d3" xsi:nil="true"/>
    <Vrijetrefwoorden3 xmlns="ab766f15-1a6d-42ae-97a2-8854072b29d3" xsi:nil="true"/>
    <Tijd xmlns="ab766f15-1a6d-42ae-97a2-8854072b29d3" xsi:nil="true"/>
    <Vrijetrefwoorden1 xmlns="ab766f15-1a6d-42ae-97a2-8854072b29d3" xsi:nil="true"/>
    <Versienummer xmlns="ab766f15-1a6d-42ae-97a2-8854072b29d3">1.0</Versienummer>
    <Dossiernaam xmlns="ab766f15-1a6d-42ae-97a2-8854072b29d3" xsi:nil="true"/>
    <Onderwerp xmlns="ab766f15-1a6d-42ae-97a2-8854072b29d3">Informatiebeleid BIJ12 2020-2021_v2_def_extern</Onderwerp>
    <FysiekeLocatie xmlns="ab766f15-1a6d-42ae-97a2-8854072b29d3" xsi:nil="true"/>
    <Vrijetrefwoorden4 xmlns="ab766f15-1a6d-42ae-97a2-8854072b29d3" xsi:nil="true"/>
    <Actor xmlns="ab766f15-1a6d-42ae-97a2-8854072b29d3" xsi:nil="true"/>
    <Vrijetrefwoorden5 xmlns="ab766f15-1a6d-42ae-97a2-8854072b29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igratiedocument" ma:contentTypeID="0x010100E4B7C484098CA44A9D4B316AEEFAC54300DF9052BA9307C5478ED357B891A55460" ma:contentTypeVersion="24" ma:contentTypeDescription="" ma:contentTypeScope="" ma:versionID="998f2e4bf1ed2d2f99330e3bd69e52ac">
  <xsd:schema xmlns:xsd="http://www.w3.org/2001/XMLSchema" xmlns:xs="http://www.w3.org/2001/XMLSchema" xmlns:p="http://schemas.microsoft.com/office/2006/metadata/properties" xmlns:ns2="ab766f15-1a6d-42ae-97a2-8854072b29d3" targetNamespace="http://schemas.microsoft.com/office/2006/metadata/properties" ma:root="true" ma:fieldsID="1c8094c689e7842945880c588781e96e" ns2:_="">
    <xsd:import namespace="ab766f15-1a6d-42ae-97a2-8854072b29d3"/>
    <xsd:element name="properties">
      <xsd:complexType>
        <xsd:sequence>
          <xsd:element name="documentManagement">
            <xsd:complexType>
              <xsd:all>
                <xsd:element ref="ns2:Actor" minOccurs="0"/>
                <xsd:element ref="ns2:Datumsjabloongewijzigd" minOccurs="0"/>
                <xsd:element ref="ns2:DatumVersieCreatieapplicatie" minOccurs="0"/>
                <xsd:element ref="ns2:Documentstatus"/>
                <xsd:element ref="ns2:Dossiernaam" minOccurs="0"/>
                <xsd:element ref="ns2:FysiekeLocatie" minOccurs="0"/>
                <xsd:element ref="ns2:NaamCreatieApplicatie" minOccurs="0"/>
                <xsd:element ref="ns2:Niveau" minOccurs="0"/>
                <xsd:element ref="ns2:Onderwerp"/>
                <xsd:element ref="ns2:Tijd" minOccurs="0"/>
                <xsd:element ref="ns2:Trefwoorden" minOccurs="0"/>
                <xsd:element ref="ns2:VernietigenofArchiveren" minOccurs="0"/>
                <xsd:element ref="ns2:VersieCreatieApplicatie" minOccurs="0"/>
                <xsd:element ref="ns2:Vrijetrefwoorden1" minOccurs="0"/>
                <xsd:element ref="ns2:Vrijetrefwoorden2" minOccurs="0"/>
                <xsd:element ref="ns2:Vrijetrefwoorden3" minOccurs="0"/>
                <xsd:element ref="ns2:Vrijetrefwoorden4" minOccurs="0"/>
                <xsd:element ref="ns2:Vrijetrefwoorden5" minOccurs="0"/>
                <xsd:element ref="ns2:_dlc_DocId" minOccurs="0"/>
                <xsd:element ref="ns2:_dlc_DocIdUrl" minOccurs="0"/>
                <xsd:element ref="ns2:_dlc_DocIdPersistId" minOccurs="0"/>
                <xsd:element ref="ns2:Versienummer" minOccurs="0"/>
                <xsd:element ref="ns2:kb1fed7297714dbb8c8a7b7f109c0a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Actor" ma:index="8" nillable="true" ma:displayName="Actor" ma:description="Afdeling X, [naam extern taxatiebureau]" ma:internalName="Actor">
      <xsd:simpleType>
        <xsd:restriction base="dms:Text">
          <xsd:maxLength value="255"/>
        </xsd:restriction>
      </xsd:simpleType>
    </xsd:element>
    <xsd:element name="Datumsjabloongewijzigd" ma:index="9" nillable="true" ma:displayName="Datum-sjabloon-gewijzigd" ma:default="[today]" ma:format="DateOnly" ma:internalName="Datumsjabloongewijzigd">
      <xsd:simpleType>
        <xsd:restriction base="dms:DateTime"/>
      </xsd:simpleType>
    </xsd:element>
    <xsd:element name="DatumVersieCreatieapplicatie" ma:index="10" nillable="true" ma:displayName="Datum-Versie-Creatie-applicatie" ma:default="[today]" ma:description="Datum waarop het oorspronkelijke digitale bestand met de creatieapplicatie is gemaakt.&#10;" ma:format="DateOnly" ma:internalName="DatumVersieCreatieapplicatie">
      <xsd:simpleType>
        <xsd:restriction base="dms:DateTime"/>
      </xsd:simpleType>
    </xsd:element>
    <xsd:element name="Documentstatus" ma:index="11" ma:displayName="Document-status" ma:format="Dropdown" ma:internalName="Documentstatus">
      <xsd:simpleType>
        <xsd:restriction base="dms:Choice">
          <xsd:enumeration value="Vastgesteld"/>
          <xsd:enumeration value="Concept"/>
          <xsd:enumeration value="Voorstel"/>
          <xsd:enumeration value="Definitief"/>
        </xsd:restriction>
      </xsd:simpleType>
    </xsd:element>
    <xsd:element name="Dossiernaam" ma:index="12" nillable="true" ma:displayName="Dossiernaam" ma:description="Naam of nummer van het dossier waartoe alle onderliggen de stukken aan zijn gelieerd." ma:internalName="Dossiernaam">
      <xsd:simpleType>
        <xsd:restriction base="dms:Text">
          <xsd:maxLength value="255"/>
        </xsd:restriction>
      </xsd:simpleType>
    </xsd:element>
    <xsd:element name="FysiekeLocatie" ma:index="13" nillable="true" ma:displayName="Fysieke-Locatie" ma:description="Fysieke locatie + Uniek poststuknummer &#10;" ma:internalName="FysiekeLocatie">
      <xsd:simpleType>
        <xsd:restriction base="dms:Text">
          <xsd:maxLength value="255"/>
        </xsd:restriction>
      </xsd:simpleType>
    </xsd:element>
    <xsd:element name="NaamCreatieApplicatie" ma:index="14" nillable="true" ma:displayName="Naam-Creatie-Applicatie" ma:description="Benaming van de applicatie waarmee het oorspronkelijke bestand is gemaakt." ma:internalName="NaamCreatieApplicatie">
      <xsd:simpleType>
        <xsd:restriction base="dms:Text">
          <xsd:maxLength value="255"/>
        </xsd:restriction>
      </xsd:simpleType>
    </xsd:element>
    <xsd:element name="Niveau" ma:index="15" nillable="true" ma:displayName="Niveau" ma:default="Bedrijfsvertrouwelijk" ma:description="Aanduiding van niveau van vertrouwelijkheid" ma:format="RadioButtons" ma:internalName="Niveau">
      <xsd:simpleType>
        <xsd:restriction base="dms:Choice">
          <xsd:enumeration value="Bedrijfsvertrouwelijk"/>
          <xsd:enumeration value="Openbaar"/>
          <xsd:enumeration value="Vertrouwelijk"/>
        </xsd:restriction>
      </xsd:simpleType>
    </xsd:element>
    <xsd:element name="Onderwerp" ma:index="16" ma:displayName="Onderwerp" ma:description="Nadere omschrijving van classificatie(code). Bijvoorbeeld: Waterschade" ma:internalName="Onderwerp">
      <xsd:simpleType>
        <xsd:restriction base="dms:Text">
          <xsd:maxLength value="255"/>
        </xsd:restriction>
      </xsd:simpleType>
    </xsd:element>
    <xsd:element name="Tijd" ma:index="17" nillable="true" ma:displayName="Tijd" ma:description="Voorbeeld beleidsjaar, boekjaar of aanmaakdatum" ma:format="DateOnly" ma:internalName="Tijd">
      <xsd:simpleType>
        <xsd:restriction base="dms:DateTime"/>
      </xsd:simpleType>
    </xsd:element>
    <xsd:element name="Trefwoorden" ma:index="18" nillable="true" ma:displayName="Trefwoorden" ma:internalName="Trefwoorden" ma:readOnly="false">
      <xsd:simpleType>
        <xsd:restriction base="dms:Text">
          <xsd:maxLength value="255"/>
        </xsd:restriction>
      </xsd:simpleType>
    </xsd:element>
    <xsd:element name="VernietigenofArchiveren" ma:index="19" nillable="true" ma:displayName="Vernietigen-of-Archiveren" ma:default="Vernietigen" ma:format="Dropdown" ma:internalName="VernietigenofArchiveren">
      <xsd:simpleType>
        <xsd:restriction base="dms:Choice">
          <xsd:enumeration value="Vernietigen"/>
          <xsd:enumeration value="Archiveren"/>
        </xsd:restriction>
      </xsd:simpleType>
    </xsd:element>
    <xsd:element name="VersieCreatieApplicatie" ma:index="20" nillable="true" ma:displayName="Versie-Creatie-Applicatie" ma:description="Nadere aanduiding van de versie van de creatieapplicatie.&#10;" ma:internalName="VersieCreatieApplicatie">
      <xsd:simpleType>
        <xsd:restriction base="dms:Text">
          <xsd:maxLength value="255"/>
        </xsd:restriction>
      </xsd:simpleType>
    </xsd:element>
    <xsd:element name="Vrijetrefwoorden1" ma:index="21" nillable="true" ma:displayName="Vrije-trefwoorden 1" ma:internalName="Vrijetrefwoorden1">
      <xsd:simpleType>
        <xsd:restriction base="dms:Text">
          <xsd:maxLength value="255"/>
        </xsd:restriction>
      </xsd:simpleType>
    </xsd:element>
    <xsd:element name="Vrijetrefwoorden2" ma:index="22" nillable="true" ma:displayName="Vrije-trefwoorden-2" ma:internalName="Vrijetrefwoorden2">
      <xsd:simpleType>
        <xsd:restriction base="dms:Text">
          <xsd:maxLength value="255"/>
        </xsd:restriction>
      </xsd:simpleType>
    </xsd:element>
    <xsd:element name="Vrijetrefwoorden3" ma:index="23" nillable="true" ma:displayName="Vrije-trefwoorden-3" ma:internalName="Vrijetrefwoorden3">
      <xsd:simpleType>
        <xsd:restriction base="dms:Text">
          <xsd:maxLength value="255"/>
        </xsd:restriction>
      </xsd:simpleType>
    </xsd:element>
    <xsd:element name="Vrijetrefwoorden4" ma:index="24" nillable="true" ma:displayName="Vrije-trefwoorden-4" ma:internalName="Vrijetrefwoorden4">
      <xsd:simpleType>
        <xsd:restriction base="dms:Text">
          <xsd:maxLength value="255"/>
        </xsd:restriction>
      </xsd:simpleType>
    </xsd:element>
    <xsd:element name="Vrijetrefwoorden5" ma:index="25" nillable="true" ma:displayName="Vrije-trefwoorden-5" ma:internalName="Vrijetrefwoorden5">
      <xsd:simpleType>
        <xsd:restriction base="dms:Text">
          <xsd:maxLength value="255"/>
        </xsd:restriction>
      </xsd:simple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Versienummer" ma:index="29" nillable="true" ma:displayName="Versienummer" ma:internalName="Versienummer">
      <xsd:simpleType>
        <xsd:restriction base="dms:Text">
          <xsd:maxLength value="255"/>
        </xsd:restriction>
      </xsd:simpleType>
    </xsd:element>
    <xsd:element name="kb1fed7297714dbb8c8a7b7f109c0ad0" ma:index="30" ma:taxonomy="true" ma:internalName="kb1fed7297714dbb8c8a7b7f109c0ad0" ma:taxonomyFieldName="Type_x0020_document" ma:displayName="Type document" ma:default="" ma:fieldId="{4b1fed72-9771-4dbb-8c8a-7b7f109c0ad0}" ma:sspId="7c800735-cf70-4eec-ae5a-4ed9571f3e3d" ma:termSetId="6b7ec9a5-7372-4f83-becc-cbe290c993a1" ma:anchorId="7cc92aa6-1186-4a72-98d4-6e809e8b0385" ma:open="false" ma:isKeyword="false">
      <xsd:complexType>
        <xsd:sequence>
          <xsd:element ref="pc:Terms" minOccurs="0" maxOccurs="1"/>
        </xsd:sequence>
      </xsd:complexType>
    </xsd:element>
    <xsd:element name="TaxCatchAll" ma:index="31" nillable="true" ma:displayName="Taxonomy Catch All Column" ma:hidden="true" ma:list="{e0d4de9f-3fb5-4d7a-b4cd-59507bbf706f}" ma:internalName="TaxCatchAll" ma:showField="CatchAllData" ma:web="b5d15f40-ee1b-4e74-9584-dda37dcd890d">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e0d4de9f-3fb5-4d7a-b4cd-59507bbf706f}" ma:internalName="TaxCatchAllLabel" ma:readOnly="true" ma:showField="CatchAllDataLabel" ma:web="b5d15f40-ee1b-4e74-9584-dda37dcd8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7.xml><?xml version="1.0" encoding="utf-8"?>
<?mso-contentType ?>
<SharedContentType xmlns="Microsoft.SharePoint.Taxonomy.ContentTypeSync" SourceId="7c800735-cf70-4eec-ae5a-4ed9571f3e3d" ContentTypeId="0x010100E4B7C484098CA44A9D4B316AEEFAC543" PreviousValue="false"/>
</file>

<file path=customXml/itemProps1.xml><?xml version="1.0" encoding="utf-8"?>
<ds:datastoreItem xmlns:ds="http://schemas.openxmlformats.org/officeDocument/2006/customXml" ds:itemID="{10BED0BE-9BDD-4B21-AA1B-9CFFC77BE2E6}">
  <ds:schemaRefs>
    <ds:schemaRef ds:uri="http://schemas.microsoft.com/office/2006/metadata/customXsn"/>
  </ds:schemaRefs>
</ds:datastoreItem>
</file>

<file path=customXml/itemProps2.xml><?xml version="1.0" encoding="utf-8"?>
<ds:datastoreItem xmlns:ds="http://schemas.openxmlformats.org/officeDocument/2006/customXml" ds:itemID="{1649F3F1-42BE-4237-8C17-71B6642F8D15}">
  <ds:schemaRefs>
    <ds:schemaRef ds:uri="http://schemas.microsoft.com/office/2006/metadata/properties"/>
    <ds:schemaRef ds:uri="http://schemas.microsoft.com/office/infopath/2007/PartnerControls"/>
    <ds:schemaRef ds:uri="ab766f15-1a6d-42ae-97a2-8854072b29d3"/>
  </ds:schemaRefs>
</ds:datastoreItem>
</file>

<file path=customXml/itemProps3.xml><?xml version="1.0" encoding="utf-8"?>
<ds:datastoreItem xmlns:ds="http://schemas.openxmlformats.org/officeDocument/2006/customXml" ds:itemID="{DF7DD8A3-ED10-4560-BB2C-58247BEB5942}"/>
</file>

<file path=customXml/itemProps4.xml><?xml version="1.0" encoding="utf-8"?>
<ds:datastoreItem xmlns:ds="http://schemas.openxmlformats.org/officeDocument/2006/customXml" ds:itemID="{713885B8-FCC9-4932-89CC-89CE00645F45}">
  <ds:schemaRefs>
    <ds:schemaRef ds:uri="http://schemas.microsoft.com/sharepoint/events"/>
  </ds:schemaRefs>
</ds:datastoreItem>
</file>

<file path=customXml/itemProps5.xml><?xml version="1.0" encoding="utf-8"?>
<ds:datastoreItem xmlns:ds="http://schemas.openxmlformats.org/officeDocument/2006/customXml" ds:itemID="{B4A7172E-9595-43AA-B9F1-EC9BA9D89D41}">
  <ds:schemaRefs>
    <ds:schemaRef ds:uri="http://schemas.microsoft.com/sharepoint/v3/contenttype/forms"/>
  </ds:schemaRefs>
</ds:datastoreItem>
</file>

<file path=customXml/itemProps6.xml><?xml version="1.0" encoding="utf-8"?>
<ds:datastoreItem xmlns:ds="http://schemas.openxmlformats.org/officeDocument/2006/customXml" ds:itemID="{F276B89D-0B23-48BF-BFA5-658D93C8ED12}">
  <ds:schemaRefs>
    <ds:schemaRef ds:uri="http://schemas.openxmlformats.org/officeDocument/2006/bibliography"/>
  </ds:schemaRefs>
</ds:datastoreItem>
</file>

<file path=customXml/itemProps7.xml><?xml version="1.0" encoding="utf-8"?>
<ds:datastoreItem xmlns:ds="http://schemas.openxmlformats.org/officeDocument/2006/customXml" ds:itemID="{613B3B9B-FE24-43F4-B4DA-8B55495324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5769</Words>
  <Characters>31734</Characters>
  <Application>Microsoft Office Word</Application>
  <DocSecurity>0</DocSecurity>
  <Lines>264</Lines>
  <Paragraphs>74</Paragraphs>
  <ScaleCrop>false</ScaleCrop>
  <Company>Bij12</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Informatiebeleid BIJ12 2020-2021</dc:title>
  <dc:subject/>
  <dc:creator>Jose Buijsman</dc:creator>
  <cp:keywords/>
  <dc:description/>
  <cp:lastModifiedBy>John</cp:lastModifiedBy>
  <cp:revision>2</cp:revision>
  <cp:lastPrinted>2018-02-28T12:57:00Z</cp:lastPrinted>
  <dcterms:created xsi:type="dcterms:W3CDTF">2021-02-25T09:49:00Z</dcterms:created>
  <dcterms:modified xsi:type="dcterms:W3CDTF">2021-02-25T09:49:00Z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StylesCopied">
    <vt:lpwstr>1</vt:lpwstr>
  </property>
  <property fmtid="{D5CDD505-2E9C-101B-9397-08002B2CF9AE}" pid="4" name="txtTitle">
    <vt:lpwstr>Testrapport</vt:lpwstr>
  </property>
  <property fmtid="{D5CDD505-2E9C-101B-9397-08002B2CF9AE}" pid="5" name="txtVersion">
    <vt:lpwstr>1</vt:lpwstr>
  </property>
  <property fmtid="{D5CDD505-2E9C-101B-9397-08002B2CF9AE}" pid="6" name="txtDate">
    <vt:lpwstr>27-10-2017</vt:lpwstr>
  </property>
  <property fmtid="{D5CDD505-2E9C-101B-9397-08002B2CF9AE}" pid="7" name="cboAuthor">
    <vt:lpwstr>F57745525C5042F5B7F75FFEEE34067E</vt:lpwstr>
  </property>
  <property fmtid="{D5CDD505-2E9C-101B-9397-08002B2CF9AE}" pid="8" name="cboOrganization">
    <vt:lpwstr>BIJ12</vt:lpwstr>
  </property>
  <property fmtid="{D5CDD505-2E9C-101B-9397-08002B2CF9AE}" pid="9" name="chkConcept">
    <vt:lpwstr>0</vt:lpwstr>
  </property>
  <property fmtid="{D5CDD505-2E9C-101B-9397-08002B2CF9AE}" pid="10" name="cboStatus">
    <vt:lpwstr>Concept</vt:lpwstr>
  </property>
  <property fmtid="{D5CDD505-2E9C-101B-9397-08002B2CF9AE}" pid="11" name="txtProcess">
    <vt:lpwstr/>
  </property>
  <property fmtid="{D5CDD505-2E9C-101B-9397-08002B2CF9AE}" pid="12" name="cboISODocument">
    <vt:lpwstr/>
  </property>
  <property fmtid="{D5CDD505-2E9C-101B-9397-08002B2CF9AE}" pid="13" name="Version">
    <vt:lpwstr>2.4.0</vt:lpwstr>
  </property>
  <property fmtid="{D5CDD505-2E9C-101B-9397-08002B2CF9AE}" pid="14" name="languageID">
    <vt:lpwstr>NL</vt:lpwstr>
  </property>
  <property fmtid="{D5CDD505-2E9C-101B-9397-08002B2CF9AE}" pid="15" name="pdfPrintHidden">
    <vt:lpwstr>0</vt:lpwstr>
  </property>
  <property fmtid="{D5CDD505-2E9C-101B-9397-08002B2CF9AE}" pid="16" name="ContentTypeId">
    <vt:lpwstr>0x010100E4B7C484098CA44A9D4B316AEEFAC54300DF9052BA9307C5478ED357B891A55460</vt:lpwstr>
  </property>
  <property fmtid="{D5CDD505-2E9C-101B-9397-08002B2CF9AE}" pid="17" name="_dlc_DocIdItemGuid">
    <vt:lpwstr>662c0a19-76ea-4f77-9c4f-b329344e45e5</vt:lpwstr>
  </property>
  <property fmtid="{D5CDD505-2E9C-101B-9397-08002B2CF9AE}" pid="18" name="Type document">
    <vt:lpwstr>6;#Plan|7e12b187-8201-486d-a979-1ba10b56cb3c</vt:lpwstr>
  </property>
  <property fmtid="{D5CDD505-2E9C-101B-9397-08002B2CF9AE}" pid="19" name="SharedWithUsers">
    <vt:lpwstr>50;#Ivo Eggink;#102;#John Konijn</vt:lpwstr>
  </property>
</Properties>
</file>