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547D" w14:textId="1A0EBAD9" w:rsidR="00FE484E" w:rsidRDefault="00FE484E" w:rsidP="00D720B4">
      <w:pPr>
        <w:rPr>
          <w:rFonts w:ascii="CordiaUPC" w:hAnsi="CordiaUPC" w:cs="CordiaUPC"/>
          <w:b/>
          <w:sz w:val="26"/>
          <w:szCs w:val="26"/>
        </w:rPr>
      </w:pPr>
      <w:r w:rsidRPr="000C635B">
        <w:rPr>
          <w:rFonts w:ascii="CordiaUPC" w:hAnsi="CordiaUPC" w:cs="CordiaUPC"/>
          <w:b/>
          <w:sz w:val="26"/>
          <w:szCs w:val="26"/>
        </w:rPr>
        <w:tab/>
      </w:r>
      <w:r w:rsidR="00727C83" w:rsidRPr="00727C83">
        <w:rPr>
          <w:rFonts w:ascii="CordiaUPC" w:hAnsi="CordiaUPC" w:cs="CordiaUPC"/>
          <w:b/>
          <w:sz w:val="26"/>
          <w:szCs w:val="26"/>
        </w:rPr>
        <w:t>Bijlage C - Programma van eisen</w:t>
      </w:r>
      <w:r w:rsidR="00D64384">
        <w:rPr>
          <w:rFonts w:ascii="CordiaUPC" w:hAnsi="CordiaUPC" w:cs="CordiaUPC"/>
          <w:b/>
          <w:sz w:val="26"/>
          <w:szCs w:val="26"/>
        </w:rPr>
        <w:t xml:space="preserve"> P</w:t>
      </w:r>
      <w:r w:rsidR="005939E6">
        <w:rPr>
          <w:rFonts w:ascii="CordiaUPC" w:hAnsi="CordiaUPC" w:cs="CordiaUPC"/>
          <w:b/>
          <w:sz w:val="26"/>
          <w:szCs w:val="26"/>
        </w:rPr>
        <w:t>2</w:t>
      </w:r>
      <w:r w:rsidR="005939E6">
        <w:rPr>
          <w:rFonts w:ascii="CordiaUPC" w:hAnsi="CordiaUPC" w:cs="CordiaUPC"/>
          <w:b/>
          <w:sz w:val="26"/>
          <w:szCs w:val="26"/>
        </w:rPr>
        <w:tab/>
      </w:r>
      <w:r w:rsidR="005939E6">
        <w:rPr>
          <w:rFonts w:ascii="CordiaUPC" w:hAnsi="CordiaUPC" w:cs="CordiaUPC"/>
          <w:b/>
          <w:sz w:val="26"/>
          <w:szCs w:val="26"/>
        </w:rPr>
        <w:tab/>
      </w:r>
      <w:r w:rsidR="005939E6">
        <w:rPr>
          <w:rFonts w:ascii="CordiaUPC" w:hAnsi="CordiaUPC" w:cs="CordiaUPC"/>
          <w:b/>
          <w:sz w:val="26"/>
          <w:szCs w:val="26"/>
        </w:rPr>
        <w:tab/>
      </w:r>
      <w:r w:rsidR="00D720B4">
        <w:rPr>
          <w:rFonts w:ascii="CordiaUPC" w:hAnsi="CordiaUPC" w:cs="CordiaUPC"/>
          <w:b/>
          <w:sz w:val="26"/>
          <w:szCs w:val="26"/>
        </w:rPr>
        <w:tab/>
      </w:r>
      <w:r w:rsidR="00D720B4">
        <w:rPr>
          <w:rFonts w:ascii="CordiaUPC" w:hAnsi="CordiaUPC" w:cs="CordiaUPC"/>
          <w:b/>
          <w:sz w:val="26"/>
          <w:szCs w:val="26"/>
        </w:rPr>
        <w:tab/>
      </w:r>
      <w:r w:rsidR="00D720B4">
        <w:rPr>
          <w:rFonts w:ascii="CordiaUPC" w:hAnsi="CordiaUPC" w:cs="CordiaUPC"/>
          <w:b/>
          <w:sz w:val="26"/>
          <w:szCs w:val="26"/>
        </w:rPr>
        <w:tab/>
      </w:r>
      <w:r w:rsidR="00D64384">
        <w:rPr>
          <w:rFonts w:ascii="CordiaUPC" w:hAnsi="CordiaUPC" w:cs="CordiaUPC"/>
          <w:sz w:val="26"/>
          <w:szCs w:val="26"/>
        </w:rPr>
        <w:t>ICZ.</w:t>
      </w:r>
      <w:proofErr w:type="gramStart"/>
      <w:r w:rsidR="00D64384">
        <w:rPr>
          <w:rFonts w:ascii="CordiaUPC" w:hAnsi="CordiaUPC" w:cs="CordiaUPC"/>
          <w:sz w:val="26"/>
          <w:szCs w:val="26"/>
        </w:rPr>
        <w:t>2022.001.JW</w:t>
      </w:r>
      <w:proofErr w:type="gramEnd"/>
    </w:p>
    <w:p w14:paraId="0E002ADC" w14:textId="77777777" w:rsidR="000C635B" w:rsidRDefault="000C635B" w:rsidP="00FE484E">
      <w:pPr>
        <w:rPr>
          <w:rFonts w:ascii="CordiaUPC" w:hAnsi="CordiaUPC" w:cs="CordiaUPC"/>
          <w:b/>
          <w:sz w:val="26"/>
          <w:szCs w:val="26"/>
        </w:rPr>
      </w:pPr>
    </w:p>
    <w:p w14:paraId="3778FF88" w14:textId="77777777" w:rsidR="00FE484E" w:rsidRPr="00B82123" w:rsidRDefault="00FE484E" w:rsidP="00FE484E">
      <w:pPr>
        <w:spacing w:line="240" w:lineRule="auto"/>
        <w:rPr>
          <w:rFonts w:ascii="CordiaUPC" w:hAnsi="CordiaUPC" w:cs="CordiaUPC"/>
          <w:sz w:val="26"/>
          <w:szCs w:val="26"/>
        </w:rPr>
      </w:pPr>
    </w:p>
    <w:tbl>
      <w:tblPr>
        <w:tblW w:w="7797" w:type="dxa"/>
        <w:tblInd w:w="55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66"/>
        <w:gridCol w:w="9"/>
        <w:gridCol w:w="4251"/>
        <w:gridCol w:w="12"/>
        <w:gridCol w:w="2359"/>
      </w:tblGrid>
      <w:tr w:rsidR="00A5209F" w:rsidRPr="00A5209F" w14:paraId="455DC045" w14:textId="77777777" w:rsidTr="00E344AC">
        <w:trPr>
          <w:cantSplit/>
          <w:tblHeader/>
        </w:trPr>
        <w:tc>
          <w:tcPr>
            <w:tcW w:w="1166" w:type="dxa"/>
            <w:tcBorders>
              <w:top w:val="single" w:sz="12" w:space="0" w:color="808080"/>
              <w:left w:val="single" w:sz="12" w:space="0" w:color="808080"/>
              <w:bottom w:val="single" w:sz="12" w:space="0" w:color="808080"/>
              <w:right w:val="single" w:sz="12" w:space="0" w:color="808080"/>
            </w:tcBorders>
            <w:shd w:val="clear" w:color="auto" w:fill="CCCCCC"/>
          </w:tcPr>
          <w:p w14:paraId="37EFD46E" w14:textId="77777777" w:rsidR="0034415D" w:rsidRPr="00A5209F" w:rsidRDefault="0034415D" w:rsidP="00FE484E">
            <w:pPr>
              <w:spacing w:before="90" w:after="54" w:line="240" w:lineRule="auto"/>
              <w:jc w:val="center"/>
              <w:rPr>
                <w:rFonts w:ascii="CordiaUPC" w:hAnsi="CordiaUPC" w:cs="CordiaUPC"/>
                <w:b/>
                <w:bCs/>
                <w:sz w:val="26"/>
                <w:szCs w:val="26"/>
              </w:rPr>
            </w:pPr>
            <w:r w:rsidRPr="00A5209F">
              <w:rPr>
                <w:rFonts w:ascii="CordiaUPC" w:hAnsi="CordiaUPC" w:cs="CordiaUPC"/>
                <w:b/>
                <w:bCs/>
                <w:sz w:val="26"/>
                <w:szCs w:val="26"/>
              </w:rPr>
              <w:t>Eis</w:t>
            </w:r>
          </w:p>
        </w:tc>
        <w:tc>
          <w:tcPr>
            <w:tcW w:w="42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6B55981" w14:textId="77777777" w:rsidR="0034415D" w:rsidRPr="00A5209F" w:rsidRDefault="0034415D" w:rsidP="00FE484E">
            <w:pPr>
              <w:spacing w:before="90" w:after="54" w:line="240" w:lineRule="auto"/>
              <w:jc w:val="center"/>
              <w:rPr>
                <w:rFonts w:ascii="CordiaUPC" w:hAnsi="CordiaUPC" w:cs="CordiaUPC"/>
                <w:b/>
                <w:bCs/>
                <w:sz w:val="26"/>
                <w:szCs w:val="26"/>
              </w:rPr>
            </w:pPr>
            <w:r w:rsidRPr="00A5209F">
              <w:rPr>
                <w:rFonts w:ascii="CordiaUPC" w:hAnsi="CordiaUPC" w:cs="CordiaUPC"/>
                <w:b/>
                <w:bCs/>
                <w:sz w:val="26"/>
                <w:szCs w:val="26"/>
              </w:rPr>
              <w:t>Stelling</w:t>
            </w:r>
          </w:p>
        </w:tc>
        <w:tc>
          <w:tcPr>
            <w:tcW w:w="2359" w:type="dxa"/>
            <w:tcBorders>
              <w:top w:val="single" w:sz="12" w:space="0" w:color="808080"/>
              <w:left w:val="single" w:sz="12" w:space="0" w:color="808080"/>
              <w:bottom w:val="single" w:sz="12" w:space="0" w:color="808080"/>
              <w:right w:val="single" w:sz="12" w:space="0" w:color="808080"/>
            </w:tcBorders>
            <w:shd w:val="clear" w:color="auto" w:fill="CCCCCC"/>
          </w:tcPr>
          <w:p w14:paraId="76375FA9" w14:textId="77777777" w:rsidR="0034415D" w:rsidRPr="00A5209F" w:rsidRDefault="0034415D" w:rsidP="00FE484E">
            <w:pPr>
              <w:spacing w:before="90" w:after="54" w:line="240" w:lineRule="auto"/>
              <w:jc w:val="center"/>
              <w:rPr>
                <w:rFonts w:ascii="CordiaUPC" w:hAnsi="CordiaUPC" w:cs="CordiaUPC"/>
                <w:b/>
                <w:bCs/>
                <w:sz w:val="26"/>
                <w:szCs w:val="26"/>
              </w:rPr>
            </w:pPr>
            <w:r w:rsidRPr="00A5209F">
              <w:rPr>
                <w:rFonts w:ascii="CordiaUPC" w:hAnsi="CordiaUPC" w:cs="CordiaUPC"/>
                <w:b/>
                <w:bCs/>
                <w:sz w:val="26"/>
                <w:szCs w:val="26"/>
              </w:rPr>
              <w:t>Toelichting</w:t>
            </w:r>
          </w:p>
        </w:tc>
      </w:tr>
      <w:tr w:rsidR="00A5209F" w:rsidRPr="00A5209F" w14:paraId="46F9ACDA" w14:textId="77777777" w:rsidTr="00E344AC">
        <w:trPr>
          <w:cantSplit/>
        </w:trPr>
        <w:tc>
          <w:tcPr>
            <w:tcW w:w="1166" w:type="dxa"/>
            <w:shd w:val="clear" w:color="auto" w:fill="E6E6E6"/>
          </w:tcPr>
          <w:p w14:paraId="38A5E3DE" w14:textId="77777777" w:rsidR="0034415D" w:rsidRPr="00A5209F" w:rsidRDefault="0034415D" w:rsidP="0034415D">
            <w:pPr>
              <w:spacing w:before="90" w:after="54" w:line="240" w:lineRule="auto"/>
              <w:ind w:left="227"/>
              <w:rPr>
                <w:rFonts w:ascii="CordiaUPC" w:hAnsi="CordiaUPC" w:cs="CordiaUPC"/>
                <w:sz w:val="26"/>
                <w:szCs w:val="26"/>
              </w:rPr>
            </w:pPr>
          </w:p>
        </w:tc>
        <w:tc>
          <w:tcPr>
            <w:tcW w:w="4272" w:type="dxa"/>
            <w:gridSpan w:val="3"/>
          </w:tcPr>
          <w:p w14:paraId="4F239C75" w14:textId="77777777" w:rsidR="0034415D" w:rsidRPr="00A5209F" w:rsidRDefault="00963D2E" w:rsidP="00FE484E">
            <w:pPr>
              <w:tabs>
                <w:tab w:val="left" w:pos="397"/>
              </w:tabs>
              <w:spacing w:before="90" w:after="54" w:line="240" w:lineRule="auto"/>
              <w:ind w:left="57"/>
              <w:rPr>
                <w:rFonts w:ascii="CordiaUPC" w:eastAsia="Verdana" w:hAnsi="CordiaUPC" w:cs="CordiaUPC"/>
                <w:b/>
                <w:sz w:val="26"/>
                <w:szCs w:val="26"/>
              </w:rPr>
            </w:pPr>
            <w:r w:rsidRPr="00A5209F">
              <w:rPr>
                <w:rFonts w:ascii="CordiaUPC" w:eastAsia="Verdana" w:hAnsi="CordiaUPC" w:cs="CordiaUPC"/>
                <w:b/>
                <w:sz w:val="26"/>
                <w:szCs w:val="26"/>
              </w:rPr>
              <w:t>Geschiktheidseisen</w:t>
            </w:r>
          </w:p>
        </w:tc>
        <w:tc>
          <w:tcPr>
            <w:tcW w:w="2359" w:type="dxa"/>
          </w:tcPr>
          <w:p w14:paraId="2436020F" w14:textId="77777777" w:rsidR="0034415D" w:rsidRPr="00A5209F" w:rsidRDefault="0034415D" w:rsidP="00FE484E">
            <w:pPr>
              <w:tabs>
                <w:tab w:val="left" w:pos="397"/>
              </w:tabs>
              <w:spacing w:before="90" w:after="54" w:line="240" w:lineRule="auto"/>
              <w:ind w:left="57"/>
              <w:rPr>
                <w:rFonts w:ascii="CordiaUPC" w:hAnsi="CordiaUPC" w:cs="CordiaUPC"/>
                <w:sz w:val="26"/>
                <w:szCs w:val="26"/>
              </w:rPr>
            </w:pPr>
          </w:p>
        </w:tc>
      </w:tr>
      <w:tr w:rsidR="00922346" w:rsidRPr="00A5209F" w14:paraId="1212AA66" w14:textId="77777777" w:rsidTr="00E344AC">
        <w:trPr>
          <w:cantSplit/>
        </w:trPr>
        <w:tc>
          <w:tcPr>
            <w:tcW w:w="1166" w:type="dxa"/>
            <w:shd w:val="clear" w:color="auto" w:fill="E6E6E6"/>
          </w:tcPr>
          <w:p w14:paraId="4EE36E72" w14:textId="77777777" w:rsidR="00922346" w:rsidRPr="00A5209F" w:rsidRDefault="00922346" w:rsidP="00922346">
            <w:pPr>
              <w:numPr>
                <w:ilvl w:val="0"/>
                <w:numId w:val="4"/>
              </w:numPr>
              <w:spacing w:before="90" w:after="54" w:line="240" w:lineRule="auto"/>
              <w:rPr>
                <w:rFonts w:ascii="CordiaUPC" w:hAnsi="CordiaUPC" w:cs="CordiaUPC"/>
                <w:sz w:val="26"/>
                <w:szCs w:val="26"/>
              </w:rPr>
            </w:pPr>
          </w:p>
        </w:tc>
        <w:tc>
          <w:tcPr>
            <w:tcW w:w="4272" w:type="dxa"/>
            <w:gridSpan w:val="3"/>
          </w:tcPr>
          <w:p w14:paraId="0610FBF6"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Inschrijver dient aan te tonen over een gedegen kwaliteitsmanagementsysteem te beschikken door middel van het overleggen van een kopie van een geldig kwaliteitscertificaat (NEN-EN- ISO 9001 of vergelijkbaar), welke is opgesteld door een erkende organisatie voor kwaliteitscontrole.</w:t>
            </w:r>
          </w:p>
          <w:p w14:paraId="549EB919" w14:textId="77777777" w:rsidR="00922346" w:rsidRPr="00A5209F" w:rsidRDefault="00922346" w:rsidP="00DC1E6B">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Indien inschrijver niet beschikt over een gecertificeerd kwaliteitssysteem dient Inschrijver bewijslast te overleggen dat zijn kwaliteitssysteem, ten minste gelijkwaardig is.</w:t>
            </w:r>
          </w:p>
        </w:tc>
        <w:tc>
          <w:tcPr>
            <w:tcW w:w="2359" w:type="dxa"/>
          </w:tcPr>
          <w:p w14:paraId="682FDEC7"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voor verificatie, zie paragraaf </w:t>
            </w:r>
            <w:r>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p w14:paraId="0F826B50"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p>
          <w:p w14:paraId="195B8893"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p>
          <w:p w14:paraId="67931ED4" w14:textId="77777777" w:rsidR="00922346" w:rsidRPr="00504B89" w:rsidRDefault="00922346" w:rsidP="00DC1E6B">
            <w:pPr>
              <w:tabs>
                <w:tab w:val="left" w:pos="397"/>
              </w:tabs>
              <w:spacing w:before="90" w:after="54" w:line="240" w:lineRule="auto"/>
              <w:ind w:left="57"/>
              <w:rPr>
                <w:rFonts w:ascii="CordiaUPC" w:eastAsia="Verdana" w:hAnsi="CordiaUPC" w:cs="CordiaUPC"/>
                <w:sz w:val="26"/>
                <w:szCs w:val="26"/>
              </w:rPr>
            </w:pPr>
          </w:p>
        </w:tc>
      </w:tr>
      <w:tr w:rsidR="00922346" w:rsidRPr="00A5209F" w14:paraId="6C4CC5FC" w14:textId="77777777" w:rsidTr="00E344AC">
        <w:trPr>
          <w:cantSplit/>
        </w:trPr>
        <w:tc>
          <w:tcPr>
            <w:tcW w:w="1166" w:type="dxa"/>
            <w:shd w:val="clear" w:color="auto" w:fill="E6E6E6"/>
          </w:tcPr>
          <w:p w14:paraId="56DCFEC7" w14:textId="77777777" w:rsidR="00922346" w:rsidRPr="00A5209F" w:rsidRDefault="00922346" w:rsidP="00922346">
            <w:pPr>
              <w:numPr>
                <w:ilvl w:val="0"/>
                <w:numId w:val="4"/>
              </w:numPr>
              <w:spacing w:before="90" w:after="54" w:line="240" w:lineRule="auto"/>
              <w:ind w:left="57" w:firstLine="0"/>
              <w:rPr>
                <w:rFonts w:ascii="CordiaUPC" w:hAnsi="CordiaUPC" w:cs="CordiaUPC"/>
                <w:sz w:val="26"/>
                <w:szCs w:val="26"/>
              </w:rPr>
            </w:pPr>
          </w:p>
        </w:tc>
        <w:tc>
          <w:tcPr>
            <w:tcW w:w="4272" w:type="dxa"/>
            <w:gridSpan w:val="3"/>
          </w:tcPr>
          <w:p w14:paraId="7726F667" w14:textId="77777777" w:rsidR="00922346" w:rsidRPr="003C7670" w:rsidRDefault="00922346" w:rsidP="00DC1E6B">
            <w:pPr>
              <w:spacing w:before="90" w:line="240" w:lineRule="auto"/>
              <w:ind w:left="57"/>
              <w:rPr>
                <w:rFonts w:ascii="CordiaUPC" w:eastAsia="Verdana" w:hAnsi="CordiaUPC" w:cs="CordiaUPC"/>
                <w:sz w:val="26"/>
                <w:szCs w:val="26"/>
              </w:rPr>
            </w:pPr>
            <w:r w:rsidRPr="003C7670">
              <w:rPr>
                <w:rFonts w:ascii="CordiaUPC" w:eastAsia="Verdana" w:hAnsi="CordiaUPC" w:cs="CordiaUPC"/>
                <w:sz w:val="26"/>
                <w:szCs w:val="26"/>
              </w:rPr>
              <w:t>Inschrijver moet over een deugdelijke milieuzorg- en borging beschikken. Dit houdt in dat Inschrijver beschikt over:</w:t>
            </w:r>
          </w:p>
          <w:p w14:paraId="2CC7C3A8" w14:textId="77777777" w:rsidR="00922346" w:rsidRDefault="00922346" w:rsidP="00922346">
            <w:pPr>
              <w:pStyle w:val="Lijstalinea"/>
              <w:numPr>
                <w:ilvl w:val="0"/>
                <w:numId w:val="12"/>
              </w:numPr>
              <w:spacing w:before="90" w:line="240" w:lineRule="auto"/>
              <w:rPr>
                <w:rFonts w:ascii="CordiaUPC" w:eastAsia="Verdana" w:hAnsi="CordiaUPC" w:cs="CordiaUPC"/>
                <w:sz w:val="26"/>
                <w:szCs w:val="26"/>
              </w:rPr>
            </w:pPr>
            <w:proofErr w:type="gramStart"/>
            <w:r w:rsidRPr="00920C61">
              <w:rPr>
                <w:rFonts w:ascii="CordiaUPC" w:eastAsia="Verdana" w:hAnsi="CordiaUPC" w:cs="CordiaUPC"/>
                <w:sz w:val="26"/>
                <w:szCs w:val="26"/>
              </w:rPr>
              <w:t>een</w:t>
            </w:r>
            <w:proofErr w:type="gramEnd"/>
            <w:r w:rsidRPr="00920C61">
              <w:rPr>
                <w:rFonts w:ascii="CordiaUPC" w:eastAsia="Verdana" w:hAnsi="CordiaUPC" w:cs="CordiaUPC"/>
                <w:sz w:val="26"/>
                <w:szCs w:val="26"/>
              </w:rPr>
              <w:t xml:space="preserve"> geldig certificaat gebaseerd op het Europese milieubeheer- en milieuauditsysteem (EMAS) of de Europese/internationale norm voor milieubeheersystemen (NEN/ISO 14001) of gelijkwaardig;</w:t>
            </w:r>
          </w:p>
          <w:p w14:paraId="06A9CFCA" w14:textId="77777777" w:rsidR="00922346" w:rsidRDefault="00922346" w:rsidP="00DC1E6B">
            <w:pPr>
              <w:pStyle w:val="Lijstalinea"/>
              <w:spacing w:before="90" w:line="240" w:lineRule="auto"/>
              <w:ind w:left="417"/>
              <w:rPr>
                <w:rFonts w:ascii="CordiaUPC" w:eastAsia="Verdana" w:hAnsi="CordiaUPC" w:cs="CordiaUPC"/>
                <w:sz w:val="26"/>
                <w:szCs w:val="26"/>
              </w:rPr>
            </w:pPr>
            <w:proofErr w:type="gramStart"/>
            <w:r w:rsidRPr="00920C61">
              <w:rPr>
                <w:rFonts w:ascii="CordiaUPC" w:eastAsia="Verdana" w:hAnsi="CordiaUPC" w:cs="CordiaUPC"/>
                <w:sz w:val="26"/>
                <w:szCs w:val="26"/>
              </w:rPr>
              <w:t>of</w:t>
            </w:r>
            <w:proofErr w:type="gramEnd"/>
          </w:p>
          <w:p w14:paraId="3B951DFF" w14:textId="77777777" w:rsidR="00922346" w:rsidRPr="00920C61" w:rsidRDefault="00922346" w:rsidP="00922346">
            <w:pPr>
              <w:pStyle w:val="Lijstalinea"/>
              <w:numPr>
                <w:ilvl w:val="0"/>
                <w:numId w:val="12"/>
              </w:numPr>
              <w:spacing w:before="90" w:line="240" w:lineRule="auto"/>
              <w:rPr>
                <w:rFonts w:ascii="CordiaUPC" w:eastAsia="Verdana" w:hAnsi="CordiaUPC" w:cs="CordiaUPC"/>
                <w:sz w:val="26"/>
                <w:szCs w:val="26"/>
              </w:rPr>
            </w:pPr>
            <w:proofErr w:type="gramStart"/>
            <w:r w:rsidRPr="00920C61">
              <w:rPr>
                <w:rFonts w:ascii="CordiaUPC" w:eastAsia="Verdana" w:hAnsi="CordiaUPC" w:cs="CordiaUPC"/>
                <w:sz w:val="26"/>
                <w:szCs w:val="26"/>
              </w:rPr>
              <w:t>een</w:t>
            </w:r>
            <w:proofErr w:type="gramEnd"/>
            <w:r w:rsidRPr="00920C61">
              <w:rPr>
                <w:rFonts w:ascii="CordiaUPC" w:eastAsia="Verdana" w:hAnsi="CordiaUPC" w:cs="CordiaUPC"/>
                <w:sz w:val="26"/>
                <w:szCs w:val="26"/>
              </w:rPr>
              <w:t xml:space="preserve"> eigen milieuhandboek.</w:t>
            </w:r>
            <w:r>
              <w:rPr>
                <w:rFonts w:ascii="CordiaUPC" w:eastAsia="Verdana" w:hAnsi="CordiaUPC" w:cs="CordiaUPC"/>
                <w:sz w:val="26"/>
                <w:szCs w:val="26"/>
              </w:rPr>
              <w:t xml:space="preserve"> </w:t>
            </w:r>
            <w:r w:rsidRPr="00920C61">
              <w:rPr>
                <w:rFonts w:ascii="CordiaUPC" w:eastAsia="Verdana" w:hAnsi="CordiaUPC" w:cs="CordiaUPC"/>
                <w:sz w:val="26"/>
                <w:szCs w:val="26"/>
              </w:rPr>
              <w:t>Het dient een milieuhandboek te zijn, waarin de maatregelen zijn opgenomen die de Onderneming treft op het gebied van milieubeheer. Inschrijver volstaat met het overleggen van een kopie van de toegesneden index van het milieuhandboek en een onderbouwing waarom de door Inschrijver gehanteerde milieuborging gelijk is aan het gevraagde certificaat</w:t>
            </w:r>
            <w:r>
              <w:rPr>
                <w:rFonts w:ascii="CordiaUPC" w:eastAsia="Verdana" w:hAnsi="CordiaUPC" w:cs="CordiaUPC"/>
                <w:sz w:val="26"/>
                <w:szCs w:val="26"/>
              </w:rPr>
              <w:t>.</w:t>
            </w:r>
          </w:p>
        </w:tc>
        <w:tc>
          <w:tcPr>
            <w:tcW w:w="2359" w:type="dxa"/>
          </w:tcPr>
          <w:p w14:paraId="1E890163" w14:textId="25E57B7D" w:rsidR="00922346" w:rsidRPr="00922346" w:rsidRDefault="00922346" w:rsidP="00922346">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voor verificatie, zie paragraaf </w:t>
            </w:r>
            <w:r>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p w14:paraId="0906FE0C"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p>
        </w:tc>
      </w:tr>
      <w:tr w:rsidR="00922346" w:rsidRPr="00A5209F" w14:paraId="6667BA73" w14:textId="77777777" w:rsidTr="00E344AC">
        <w:trPr>
          <w:cantSplit/>
        </w:trPr>
        <w:tc>
          <w:tcPr>
            <w:tcW w:w="1166" w:type="dxa"/>
            <w:shd w:val="clear" w:color="auto" w:fill="E6E6E6"/>
          </w:tcPr>
          <w:p w14:paraId="58543427" w14:textId="77777777" w:rsidR="00922346" w:rsidRPr="00A5209F" w:rsidRDefault="00922346" w:rsidP="00922346">
            <w:pPr>
              <w:numPr>
                <w:ilvl w:val="0"/>
                <w:numId w:val="4"/>
              </w:numPr>
              <w:spacing w:before="90" w:after="54" w:line="240" w:lineRule="auto"/>
              <w:ind w:left="57" w:firstLine="0"/>
              <w:rPr>
                <w:rFonts w:ascii="CordiaUPC" w:hAnsi="CordiaUPC" w:cs="CordiaUPC"/>
                <w:sz w:val="26"/>
                <w:szCs w:val="26"/>
              </w:rPr>
            </w:pPr>
          </w:p>
        </w:tc>
        <w:tc>
          <w:tcPr>
            <w:tcW w:w="4272" w:type="dxa"/>
            <w:gridSpan w:val="3"/>
          </w:tcPr>
          <w:p w14:paraId="3161B3AE" w14:textId="77777777" w:rsidR="00922346" w:rsidRDefault="00922346" w:rsidP="00DC1E6B">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Inschrijver dient aan te tonen te beschikken </w:t>
            </w:r>
            <w:r>
              <w:rPr>
                <w:rFonts w:ascii="CordiaUPC" w:eastAsia="Verdana" w:hAnsi="CordiaUPC" w:cs="CordiaUPC"/>
                <w:sz w:val="26"/>
                <w:szCs w:val="26"/>
              </w:rPr>
              <w:t xml:space="preserve">over een </w:t>
            </w:r>
            <w:r w:rsidRPr="00922346">
              <w:rPr>
                <w:rFonts w:ascii="CordiaUPC" w:eastAsia="Verdana" w:hAnsi="CordiaUPC" w:cs="CordiaUPC"/>
                <w:sz w:val="26"/>
                <w:szCs w:val="26"/>
              </w:rPr>
              <w:t>VCA</w:t>
            </w:r>
            <w:r>
              <w:rPr>
                <w:rFonts w:ascii="CordiaUPC" w:eastAsia="Verdana" w:hAnsi="CordiaUPC" w:cs="CordiaUPC"/>
                <w:sz w:val="26"/>
                <w:szCs w:val="26"/>
              </w:rPr>
              <w:t xml:space="preserve">+ </w:t>
            </w:r>
          </w:p>
          <w:p w14:paraId="0C36E930" w14:textId="77777777" w:rsidR="00922346" w:rsidRPr="00922346" w:rsidRDefault="00922346" w:rsidP="00DC1E6B">
            <w:pPr>
              <w:tabs>
                <w:tab w:val="left" w:pos="397"/>
              </w:tabs>
              <w:spacing w:before="90" w:after="54" w:line="240" w:lineRule="auto"/>
              <w:ind w:left="57"/>
              <w:rPr>
                <w:rFonts w:ascii="CordiaUPC" w:eastAsia="Verdana" w:hAnsi="CordiaUPC" w:cs="CordiaUPC"/>
                <w:sz w:val="26"/>
                <w:szCs w:val="26"/>
              </w:rPr>
            </w:pPr>
            <w:r>
              <w:rPr>
                <w:rFonts w:ascii="CordiaUPC" w:eastAsia="Verdana" w:hAnsi="CordiaUPC" w:cs="CordiaUPC"/>
                <w:sz w:val="26"/>
                <w:szCs w:val="26"/>
              </w:rPr>
              <w:t>(</w:t>
            </w:r>
            <w:proofErr w:type="gramStart"/>
            <w:r w:rsidRPr="00922346">
              <w:rPr>
                <w:rFonts w:ascii="CordiaUPC" w:eastAsia="Verdana" w:hAnsi="CordiaUPC" w:cs="CordiaUPC"/>
                <w:sz w:val="26"/>
                <w:szCs w:val="26"/>
              </w:rPr>
              <w:t>staat</w:t>
            </w:r>
            <w:proofErr w:type="gramEnd"/>
            <w:r w:rsidRPr="00922346">
              <w:rPr>
                <w:rFonts w:ascii="CordiaUPC" w:eastAsia="Verdana" w:hAnsi="CordiaUPC" w:cs="CordiaUPC"/>
                <w:sz w:val="26"/>
                <w:szCs w:val="26"/>
              </w:rPr>
              <w:t xml:space="preserve"> voor Veiligheid, Gezondheid en Milieu (VGM).</w:t>
            </w:r>
          </w:p>
          <w:p w14:paraId="319C9B26" w14:textId="77777777" w:rsidR="00922346" w:rsidRPr="00A5209F" w:rsidRDefault="00922346" w:rsidP="00DC1E6B">
            <w:pPr>
              <w:tabs>
                <w:tab w:val="left" w:pos="397"/>
              </w:tabs>
              <w:spacing w:before="90" w:after="54" w:line="240" w:lineRule="auto"/>
              <w:ind w:left="57"/>
              <w:rPr>
                <w:rFonts w:ascii="CordiaUPC" w:eastAsia="Verdana" w:hAnsi="CordiaUPC" w:cs="CordiaUPC"/>
                <w:sz w:val="26"/>
                <w:szCs w:val="26"/>
              </w:rPr>
            </w:pPr>
            <w:r w:rsidRPr="00922346">
              <w:rPr>
                <w:rFonts w:ascii="CordiaUPC" w:eastAsia="Verdana" w:hAnsi="CordiaUPC" w:cs="CordiaUPC"/>
                <w:sz w:val="26"/>
                <w:szCs w:val="26"/>
              </w:rPr>
              <w:t>Indien inschrijver niet beschikt over VCA</w:t>
            </w:r>
            <w:r>
              <w:rPr>
                <w:rFonts w:ascii="CordiaUPC" w:eastAsia="Verdana" w:hAnsi="CordiaUPC" w:cs="CordiaUPC"/>
                <w:sz w:val="26"/>
                <w:szCs w:val="26"/>
              </w:rPr>
              <w:t xml:space="preserve">+ </w:t>
            </w:r>
            <w:r w:rsidRPr="00922346">
              <w:rPr>
                <w:rFonts w:ascii="CordiaUPC" w:eastAsia="Verdana" w:hAnsi="CordiaUPC" w:cs="CordiaUPC"/>
                <w:sz w:val="26"/>
                <w:szCs w:val="26"/>
              </w:rPr>
              <w:t>dient</w:t>
            </w:r>
            <w:r w:rsidRPr="00A5209F">
              <w:rPr>
                <w:rFonts w:ascii="CordiaUPC" w:eastAsia="Verdana" w:hAnsi="CordiaUPC" w:cs="CordiaUPC"/>
                <w:sz w:val="26"/>
                <w:szCs w:val="26"/>
              </w:rPr>
              <w:t xml:space="preserve"> Inschrijver bewijslast te overleggen dat zij</w:t>
            </w:r>
            <w:r>
              <w:rPr>
                <w:rFonts w:ascii="CordiaUPC" w:eastAsia="Verdana" w:hAnsi="CordiaUPC" w:cs="CordiaUPC"/>
                <w:sz w:val="26"/>
                <w:szCs w:val="26"/>
              </w:rPr>
              <w:t xml:space="preserve"> beschikken over beheersysteem dat </w:t>
            </w:r>
            <w:r w:rsidRPr="00A5209F">
              <w:rPr>
                <w:rFonts w:ascii="CordiaUPC" w:eastAsia="Verdana" w:hAnsi="CordiaUPC" w:cs="CordiaUPC"/>
                <w:sz w:val="26"/>
                <w:szCs w:val="26"/>
              </w:rPr>
              <w:t>ten minste gelijkwaardig is.</w:t>
            </w:r>
          </w:p>
        </w:tc>
        <w:tc>
          <w:tcPr>
            <w:tcW w:w="2359" w:type="dxa"/>
          </w:tcPr>
          <w:p w14:paraId="168D89BA" w14:textId="77777777" w:rsidR="00922346" w:rsidRPr="00922346" w:rsidRDefault="00922346" w:rsidP="00922346">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voor verificatie, zie paragraaf </w:t>
            </w:r>
            <w:r>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p w14:paraId="5FF8C9EF" w14:textId="77777777" w:rsidR="00922346" w:rsidRPr="00A5209F" w:rsidRDefault="00922346" w:rsidP="00DC1E6B">
            <w:pPr>
              <w:tabs>
                <w:tab w:val="left" w:pos="397"/>
              </w:tabs>
              <w:spacing w:before="90" w:after="54" w:line="240" w:lineRule="auto"/>
              <w:ind w:left="57"/>
              <w:rPr>
                <w:rFonts w:ascii="CordiaUPC" w:hAnsi="CordiaUPC" w:cs="CordiaUPC"/>
                <w:sz w:val="26"/>
                <w:szCs w:val="26"/>
              </w:rPr>
            </w:pPr>
          </w:p>
        </w:tc>
      </w:tr>
      <w:tr w:rsidR="00A5209F" w:rsidRPr="00A5209F" w14:paraId="740097AD" w14:textId="77777777" w:rsidTr="00E344AC">
        <w:trPr>
          <w:cantSplit/>
        </w:trPr>
        <w:tc>
          <w:tcPr>
            <w:tcW w:w="1166" w:type="dxa"/>
            <w:shd w:val="clear" w:color="auto" w:fill="E6E6E6"/>
          </w:tcPr>
          <w:p w14:paraId="5B2ED582" w14:textId="77777777" w:rsidR="00963D2E" w:rsidRPr="00A5209F" w:rsidRDefault="00963D2E" w:rsidP="00963D2E">
            <w:pPr>
              <w:numPr>
                <w:ilvl w:val="0"/>
                <w:numId w:val="4"/>
              </w:numPr>
              <w:spacing w:before="90" w:after="54" w:line="240" w:lineRule="auto"/>
              <w:rPr>
                <w:rFonts w:ascii="CordiaUPC" w:hAnsi="CordiaUPC" w:cs="CordiaUPC"/>
                <w:sz w:val="26"/>
                <w:szCs w:val="26"/>
              </w:rPr>
            </w:pPr>
          </w:p>
        </w:tc>
        <w:tc>
          <w:tcPr>
            <w:tcW w:w="4272" w:type="dxa"/>
            <w:gridSpan w:val="3"/>
          </w:tcPr>
          <w:p w14:paraId="2EC1BB3D" w14:textId="77777777" w:rsidR="000C635B" w:rsidRPr="00A5209F" w:rsidRDefault="00A873F8" w:rsidP="00F72000">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Inschrijver dient een bewijs van betaling inzake sociale zekerheidsbijdragen en belastingen te overleggen, dan wel gegevens te verstrekken waarmee de Aanbestedende Dienst een dergelijk bewijs rechtstreeks gratis kan verkrijgen.</w:t>
            </w:r>
          </w:p>
        </w:tc>
        <w:tc>
          <w:tcPr>
            <w:tcW w:w="2359" w:type="dxa"/>
          </w:tcPr>
          <w:p w14:paraId="5938D2EC" w14:textId="5C5C4480" w:rsidR="003C1DF2" w:rsidRPr="00504B89" w:rsidRDefault="00963D2E" w:rsidP="00504B89">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w:t>
            </w:r>
            <w:r w:rsidR="00632B2F" w:rsidRPr="00A5209F">
              <w:rPr>
                <w:rFonts w:ascii="CordiaUPC" w:eastAsia="Verdana" w:hAnsi="CordiaUPC" w:cs="CordiaUPC"/>
                <w:sz w:val="26"/>
                <w:szCs w:val="26"/>
              </w:rPr>
              <w:t>voor</w:t>
            </w:r>
            <w:r w:rsidRPr="00A5209F">
              <w:rPr>
                <w:rFonts w:ascii="CordiaUPC" w:eastAsia="Verdana" w:hAnsi="CordiaUPC" w:cs="CordiaUPC"/>
                <w:sz w:val="26"/>
                <w:szCs w:val="26"/>
              </w:rPr>
              <w:t xml:space="preserve"> verificatie, zie paragraaf </w:t>
            </w:r>
            <w:r w:rsidR="00A5209F">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tc>
      </w:tr>
      <w:tr w:rsidR="00A5209F" w:rsidRPr="00A5209F" w14:paraId="5E5ED474" w14:textId="77777777" w:rsidTr="00E344AC">
        <w:trPr>
          <w:cantSplit/>
        </w:trPr>
        <w:tc>
          <w:tcPr>
            <w:tcW w:w="1166" w:type="dxa"/>
            <w:shd w:val="clear" w:color="auto" w:fill="E6E6E6"/>
          </w:tcPr>
          <w:p w14:paraId="55C7AFEC" w14:textId="77777777" w:rsidR="00963D2E" w:rsidRPr="00A5209F" w:rsidRDefault="00963D2E" w:rsidP="00963D2E">
            <w:pPr>
              <w:numPr>
                <w:ilvl w:val="0"/>
                <w:numId w:val="4"/>
              </w:numPr>
              <w:spacing w:before="90" w:after="54" w:line="240" w:lineRule="auto"/>
              <w:rPr>
                <w:rFonts w:ascii="CordiaUPC" w:hAnsi="CordiaUPC" w:cs="CordiaUPC"/>
                <w:sz w:val="26"/>
                <w:szCs w:val="26"/>
              </w:rPr>
            </w:pPr>
          </w:p>
        </w:tc>
        <w:tc>
          <w:tcPr>
            <w:tcW w:w="4272" w:type="dxa"/>
            <w:gridSpan w:val="3"/>
          </w:tcPr>
          <w:p w14:paraId="68B4D61C" w14:textId="77777777" w:rsidR="000C635B" w:rsidRPr="00A5209F" w:rsidRDefault="00A873F8" w:rsidP="00F72000">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Inschrijver dient een Gedragsverklaring Aanbesteden overleggen, die op het tijdstip van indiening van de Inschrijving niet ouder is dan twee jaar.</w:t>
            </w:r>
          </w:p>
        </w:tc>
        <w:tc>
          <w:tcPr>
            <w:tcW w:w="2359" w:type="dxa"/>
          </w:tcPr>
          <w:p w14:paraId="7C86E728" w14:textId="76424D3E" w:rsidR="003C1DF2" w:rsidRPr="00504B89" w:rsidRDefault="00A5209F" w:rsidP="00504B89">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voor verificatie, zie paragraaf </w:t>
            </w:r>
            <w:r>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tc>
      </w:tr>
      <w:tr w:rsidR="00A5209F" w:rsidRPr="00A5209F" w14:paraId="1801A491" w14:textId="77777777" w:rsidTr="00E344AC">
        <w:trPr>
          <w:cantSplit/>
        </w:trPr>
        <w:tc>
          <w:tcPr>
            <w:tcW w:w="1166" w:type="dxa"/>
            <w:shd w:val="clear" w:color="auto" w:fill="E6E6E6"/>
          </w:tcPr>
          <w:p w14:paraId="03A6530E" w14:textId="77777777" w:rsidR="00963D2E" w:rsidRPr="00A5209F" w:rsidRDefault="00963D2E" w:rsidP="00D720B4">
            <w:pPr>
              <w:numPr>
                <w:ilvl w:val="0"/>
                <w:numId w:val="4"/>
              </w:numPr>
              <w:spacing w:before="90" w:after="54" w:line="240" w:lineRule="auto"/>
              <w:rPr>
                <w:rFonts w:ascii="CordiaUPC" w:hAnsi="CordiaUPC" w:cs="CordiaUPC"/>
                <w:bCs/>
                <w:sz w:val="26"/>
                <w:szCs w:val="26"/>
              </w:rPr>
            </w:pPr>
          </w:p>
        </w:tc>
        <w:tc>
          <w:tcPr>
            <w:tcW w:w="4260" w:type="dxa"/>
            <w:gridSpan w:val="2"/>
          </w:tcPr>
          <w:p w14:paraId="1ECCF690" w14:textId="6E647089" w:rsidR="00940B7F" w:rsidRPr="00A5209F" w:rsidRDefault="00D720B4" w:rsidP="00D123DE">
            <w:pPr>
              <w:tabs>
                <w:tab w:val="left" w:pos="397"/>
              </w:tabs>
              <w:spacing w:before="90" w:after="54" w:line="240" w:lineRule="auto"/>
              <w:ind w:left="57"/>
              <w:rPr>
                <w:rFonts w:ascii="CordiaUPC" w:eastAsia="Verdana" w:hAnsi="CordiaUPC" w:cs="CordiaUPC"/>
                <w:bCs/>
                <w:sz w:val="26"/>
                <w:szCs w:val="26"/>
              </w:rPr>
            </w:pPr>
            <w:r w:rsidRPr="00A5209F">
              <w:rPr>
                <w:rFonts w:ascii="CordiaUPC" w:eastAsia="Verdana" w:hAnsi="CordiaUPC" w:cs="CordiaUPC"/>
                <w:bCs/>
                <w:sz w:val="26"/>
                <w:szCs w:val="26"/>
              </w:rPr>
              <w:t xml:space="preserve">Inschrijver dient te beschikken over een bedrijfs- en beroepsaansprakelijkheidsverzekering. De minimale dekking van de verzekering is € </w:t>
            </w:r>
            <w:r w:rsidR="00216968">
              <w:rPr>
                <w:rFonts w:ascii="CordiaUPC" w:eastAsia="Verdana" w:hAnsi="CordiaUPC" w:cs="CordiaUPC"/>
                <w:bCs/>
                <w:sz w:val="26"/>
                <w:szCs w:val="26"/>
              </w:rPr>
              <w:t>1.0</w:t>
            </w:r>
            <w:r w:rsidRPr="00A5209F">
              <w:rPr>
                <w:rFonts w:ascii="CordiaUPC" w:eastAsia="Verdana" w:hAnsi="CordiaUPC" w:cs="CordiaUPC"/>
                <w:bCs/>
                <w:sz w:val="26"/>
                <w:szCs w:val="26"/>
              </w:rPr>
              <w:t xml:space="preserve">00.000, - per gebeurtenis (ongeacht het aantal gebeurtenissen) en € </w:t>
            </w:r>
            <w:r w:rsidR="00216968">
              <w:rPr>
                <w:rFonts w:ascii="CordiaUPC" w:eastAsia="Verdana" w:hAnsi="CordiaUPC" w:cs="CordiaUPC"/>
                <w:bCs/>
                <w:sz w:val="26"/>
                <w:szCs w:val="26"/>
              </w:rPr>
              <w:t>2</w:t>
            </w:r>
            <w:r w:rsidRPr="00A5209F">
              <w:rPr>
                <w:rFonts w:ascii="CordiaUPC" w:eastAsia="Verdana" w:hAnsi="CordiaUPC" w:cs="CordiaUPC"/>
                <w:bCs/>
                <w:sz w:val="26"/>
                <w:szCs w:val="26"/>
              </w:rPr>
              <w:t>.</w:t>
            </w:r>
            <w:r w:rsidR="00216968">
              <w:rPr>
                <w:rFonts w:ascii="CordiaUPC" w:eastAsia="Verdana" w:hAnsi="CordiaUPC" w:cs="CordiaUPC"/>
                <w:bCs/>
                <w:sz w:val="26"/>
                <w:szCs w:val="26"/>
              </w:rPr>
              <w:t>5</w:t>
            </w:r>
            <w:r w:rsidRPr="00A5209F">
              <w:rPr>
                <w:rFonts w:ascii="CordiaUPC" w:eastAsia="Verdana" w:hAnsi="CordiaUPC" w:cs="CordiaUPC"/>
                <w:bCs/>
                <w:sz w:val="26"/>
                <w:szCs w:val="26"/>
              </w:rPr>
              <w:t>00.000, - per jaar.</w:t>
            </w:r>
          </w:p>
        </w:tc>
        <w:tc>
          <w:tcPr>
            <w:tcW w:w="2371" w:type="dxa"/>
            <w:gridSpan w:val="2"/>
          </w:tcPr>
          <w:p w14:paraId="2025E20C" w14:textId="06C6ACA1" w:rsidR="00C5649D" w:rsidRDefault="00A5209F" w:rsidP="00504B89">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 xml:space="preserve">Aanleveren voor verificatie, zie paragraaf </w:t>
            </w:r>
            <w:r>
              <w:rPr>
                <w:rFonts w:ascii="CordiaUPC" w:eastAsia="Verdana" w:hAnsi="CordiaUPC" w:cs="CordiaUPC"/>
                <w:sz w:val="26"/>
                <w:szCs w:val="26"/>
              </w:rPr>
              <w:t>5.7</w:t>
            </w:r>
            <w:r w:rsidRPr="00A5209F">
              <w:rPr>
                <w:rFonts w:ascii="CordiaUPC" w:eastAsia="Verdana" w:hAnsi="CordiaUPC" w:cs="CordiaUPC"/>
                <w:sz w:val="26"/>
                <w:szCs w:val="26"/>
              </w:rPr>
              <w:t xml:space="preserve"> van het beschrijvend document.</w:t>
            </w:r>
          </w:p>
          <w:p w14:paraId="381BA7D0" w14:textId="1E3E3833" w:rsidR="00C5649D" w:rsidRPr="00D64384" w:rsidRDefault="00C5649D" w:rsidP="00D123DE">
            <w:pPr>
              <w:tabs>
                <w:tab w:val="left" w:pos="397"/>
              </w:tabs>
              <w:spacing w:before="90" w:after="54" w:line="240" w:lineRule="auto"/>
              <w:rPr>
                <w:rFonts w:ascii="CordiaUPC" w:eastAsia="Verdana" w:hAnsi="CordiaUPC" w:cs="CordiaUPC"/>
                <w:sz w:val="26"/>
                <w:szCs w:val="26"/>
              </w:rPr>
            </w:pPr>
          </w:p>
        </w:tc>
      </w:tr>
      <w:tr w:rsidR="00A5209F" w:rsidRPr="00A5209F" w14:paraId="44AC77E3" w14:textId="77777777" w:rsidTr="00E344AC">
        <w:trPr>
          <w:cantSplit/>
        </w:trPr>
        <w:tc>
          <w:tcPr>
            <w:tcW w:w="1166" w:type="dxa"/>
            <w:shd w:val="clear" w:color="auto" w:fill="E6E6E6"/>
          </w:tcPr>
          <w:p w14:paraId="12130587" w14:textId="77777777" w:rsidR="0034415D" w:rsidRPr="00A5209F" w:rsidRDefault="0034415D" w:rsidP="00FE484E">
            <w:pPr>
              <w:numPr>
                <w:ilvl w:val="0"/>
                <w:numId w:val="4"/>
              </w:numPr>
              <w:spacing w:before="90" w:after="54" w:line="240" w:lineRule="auto"/>
              <w:rPr>
                <w:rFonts w:ascii="CordiaUPC" w:hAnsi="CordiaUPC" w:cs="CordiaUPC"/>
                <w:sz w:val="26"/>
                <w:szCs w:val="26"/>
              </w:rPr>
            </w:pPr>
          </w:p>
        </w:tc>
        <w:tc>
          <w:tcPr>
            <w:tcW w:w="4260" w:type="dxa"/>
            <w:gridSpan w:val="2"/>
          </w:tcPr>
          <w:p w14:paraId="35C9F5F5" w14:textId="50D1851C" w:rsidR="00940B7F" w:rsidRPr="00922346" w:rsidRDefault="00D720B4" w:rsidP="00A67CFA">
            <w:pPr>
              <w:pBdr>
                <w:top w:val="nil"/>
                <w:left w:val="nil"/>
                <w:bottom w:val="nil"/>
                <w:right w:val="nil"/>
                <w:between w:val="nil"/>
              </w:pBdr>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Referentieverklaring(en) kerncompetenties</w:t>
            </w:r>
            <w:r w:rsidR="00940B7F" w:rsidRPr="00922346">
              <w:rPr>
                <w:rFonts w:ascii="CordiaUPC" w:eastAsia="Verdana" w:hAnsi="CordiaUPC" w:cs="CordiaUPC"/>
                <w:sz w:val="26"/>
                <w:szCs w:val="26"/>
              </w:rPr>
              <w:t xml:space="preserve">. </w:t>
            </w:r>
          </w:p>
          <w:p w14:paraId="02922DAF" w14:textId="7B5AF749" w:rsidR="00940B7F" w:rsidRPr="00940B7F" w:rsidRDefault="00940B7F" w:rsidP="00A67CFA">
            <w:pPr>
              <w:pBdr>
                <w:top w:val="nil"/>
                <w:left w:val="nil"/>
                <w:bottom w:val="nil"/>
                <w:right w:val="nil"/>
                <w:between w:val="nil"/>
              </w:pBdr>
              <w:spacing w:before="90" w:after="54" w:line="240" w:lineRule="auto"/>
              <w:ind w:left="57"/>
              <w:rPr>
                <w:rFonts w:ascii="CordiaUPC" w:eastAsia="Verdana" w:hAnsi="CordiaUPC" w:cs="CordiaUPC"/>
                <w:sz w:val="26"/>
                <w:szCs w:val="26"/>
              </w:rPr>
            </w:pPr>
            <w:r w:rsidRPr="00922346">
              <w:rPr>
                <w:rFonts w:ascii="CordiaUPC" w:eastAsia="Verdana" w:hAnsi="CordiaUPC" w:cs="CordiaUPC"/>
                <w:sz w:val="26"/>
                <w:szCs w:val="26"/>
              </w:rPr>
              <w:t>Minimaal is een relevante opdracht vereist van € 30.000,- in de afgelopen 3 jaar, die naar tevredenheid van de opdrachtgever is opgeleverd.</w:t>
            </w:r>
          </w:p>
        </w:tc>
        <w:tc>
          <w:tcPr>
            <w:tcW w:w="2371" w:type="dxa"/>
            <w:gridSpan w:val="2"/>
          </w:tcPr>
          <w:p w14:paraId="17CC0C67" w14:textId="77777777" w:rsidR="003C1DF2" w:rsidRDefault="003C1DF2" w:rsidP="00FE484E">
            <w:pPr>
              <w:tabs>
                <w:tab w:val="left" w:pos="397"/>
              </w:tabs>
              <w:spacing w:before="90" w:after="54" w:line="240" w:lineRule="auto"/>
              <w:ind w:left="57"/>
              <w:rPr>
                <w:rFonts w:ascii="CordiaUPC" w:hAnsi="CordiaUPC" w:cs="CordiaUPC"/>
                <w:i/>
                <w:sz w:val="26"/>
                <w:szCs w:val="26"/>
              </w:rPr>
            </w:pPr>
          </w:p>
          <w:p w14:paraId="3CEF5569" w14:textId="53FEBCE4" w:rsidR="003C1DF2" w:rsidRPr="00A5209F" w:rsidRDefault="003C1DF2" w:rsidP="00FE484E">
            <w:pPr>
              <w:tabs>
                <w:tab w:val="left" w:pos="397"/>
              </w:tabs>
              <w:spacing w:before="90" w:after="54" w:line="240" w:lineRule="auto"/>
              <w:ind w:left="57"/>
              <w:rPr>
                <w:rFonts w:ascii="CordiaUPC" w:hAnsi="CordiaUPC" w:cs="CordiaUPC"/>
                <w:sz w:val="26"/>
                <w:szCs w:val="26"/>
              </w:rPr>
            </w:pPr>
          </w:p>
        </w:tc>
      </w:tr>
      <w:tr w:rsidR="00922346" w:rsidRPr="00A5209F" w14:paraId="6F695E26" w14:textId="77777777" w:rsidTr="00E344AC">
        <w:trPr>
          <w:cantSplit/>
        </w:trPr>
        <w:tc>
          <w:tcPr>
            <w:tcW w:w="1166" w:type="dxa"/>
            <w:shd w:val="clear" w:color="auto" w:fill="E6E6E6"/>
          </w:tcPr>
          <w:p w14:paraId="61ABBCE7" w14:textId="77777777" w:rsidR="00922346" w:rsidRPr="00A5209F" w:rsidRDefault="00922346" w:rsidP="00922346">
            <w:pPr>
              <w:numPr>
                <w:ilvl w:val="0"/>
                <w:numId w:val="4"/>
              </w:numPr>
              <w:spacing w:before="90" w:after="54" w:line="240" w:lineRule="auto"/>
              <w:rPr>
                <w:rFonts w:ascii="CordiaUPC" w:hAnsi="CordiaUPC" w:cs="CordiaUPC"/>
                <w:sz w:val="26"/>
                <w:szCs w:val="26"/>
              </w:rPr>
            </w:pPr>
          </w:p>
        </w:tc>
        <w:tc>
          <w:tcPr>
            <w:tcW w:w="4272" w:type="dxa"/>
            <w:gridSpan w:val="3"/>
          </w:tcPr>
          <w:p w14:paraId="147AE76D" w14:textId="77777777" w:rsidR="00922346" w:rsidRPr="00A5209F" w:rsidRDefault="00922346" w:rsidP="00DC1E6B">
            <w:pPr>
              <w:tabs>
                <w:tab w:val="left" w:pos="397"/>
              </w:tabs>
              <w:spacing w:before="90" w:after="54" w:line="240" w:lineRule="auto"/>
              <w:ind w:left="57"/>
              <w:rPr>
                <w:rFonts w:ascii="CordiaUPC" w:eastAsia="Verdana" w:hAnsi="CordiaUPC" w:cs="CordiaUPC"/>
                <w:sz w:val="26"/>
                <w:szCs w:val="26"/>
              </w:rPr>
            </w:pPr>
            <w:r w:rsidRPr="00A5209F">
              <w:rPr>
                <w:rFonts w:ascii="CordiaUPC" w:eastAsia="Verdana" w:hAnsi="CordiaUPC" w:cs="CordiaUPC"/>
                <w:sz w:val="26"/>
                <w:szCs w:val="26"/>
              </w:rPr>
              <w:t>Inschrijver is ingeschreven in het beroeps- of handelsregister in de lidstaat waar hij is gevestigd. Dit dient hij aan te kunnen tonen, door een uittreksel, niet ouder dan zes maanden gerekend vanaf de uiterste datum van het indienen van de inschrijving. Tevens dient hieruit te blijken wie de vertegenwoordigingsbevoegden van de onderneming zijn.</w:t>
            </w:r>
          </w:p>
        </w:tc>
        <w:tc>
          <w:tcPr>
            <w:tcW w:w="2359" w:type="dxa"/>
          </w:tcPr>
          <w:p w14:paraId="4A0CFD97" w14:textId="77777777" w:rsidR="00922346" w:rsidRPr="00504B89" w:rsidRDefault="00922346" w:rsidP="00DC1E6B">
            <w:pPr>
              <w:tabs>
                <w:tab w:val="left" w:pos="397"/>
              </w:tabs>
              <w:spacing w:before="90" w:after="54" w:line="240" w:lineRule="auto"/>
              <w:ind w:left="57"/>
              <w:rPr>
                <w:rFonts w:ascii="CordiaUPC" w:hAnsi="CordiaUPC" w:cs="CordiaUPC"/>
                <w:i/>
                <w:sz w:val="26"/>
                <w:szCs w:val="26"/>
              </w:rPr>
            </w:pPr>
            <w:r w:rsidRPr="00A5209F">
              <w:rPr>
                <w:rFonts w:ascii="CordiaUPC" w:hAnsi="CordiaUPC" w:cs="CordiaUPC"/>
                <w:sz w:val="26"/>
                <w:szCs w:val="26"/>
              </w:rPr>
              <w:t xml:space="preserve">Gebruik hiervoor als benaming </w:t>
            </w:r>
            <w:r w:rsidRPr="00A5209F">
              <w:rPr>
                <w:rFonts w:ascii="CordiaUPC" w:hAnsi="CordiaUPC" w:cs="CordiaUPC"/>
                <w:i/>
                <w:sz w:val="26"/>
                <w:szCs w:val="26"/>
              </w:rPr>
              <w:t>Bijlage KvK</w:t>
            </w:r>
          </w:p>
        </w:tc>
      </w:tr>
      <w:tr w:rsidR="006D7AC6" w14:paraId="582488B3"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1A00100" w14:textId="77777777" w:rsidR="006D7AC6" w:rsidRDefault="006D7AC6">
            <w:pPr>
              <w:spacing w:before="90" w:after="54" w:line="240" w:lineRule="auto"/>
              <w:ind w:left="57"/>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32533C4F" w14:textId="77777777" w:rsidR="006D7AC6" w:rsidRDefault="006D7AC6">
            <w:pPr>
              <w:tabs>
                <w:tab w:val="left" w:pos="397"/>
              </w:tabs>
              <w:spacing w:before="90" w:after="54" w:line="240" w:lineRule="auto"/>
              <w:ind w:left="57"/>
              <w:rPr>
                <w:rFonts w:ascii="CordiaUPC" w:eastAsia="Verdana" w:hAnsi="CordiaUPC" w:cs="CordiaUPC"/>
                <w:b/>
                <w:bCs/>
                <w:sz w:val="26"/>
                <w:szCs w:val="26"/>
                <w:lang w:eastAsia="en-US"/>
              </w:rPr>
            </w:pPr>
            <w:r>
              <w:rPr>
                <w:rFonts w:ascii="CordiaUPC" w:eastAsia="Verdana" w:hAnsi="CordiaUPC" w:cs="CordiaUPC" w:hint="cs"/>
                <w:b/>
                <w:bCs/>
                <w:sz w:val="26"/>
                <w:szCs w:val="26"/>
                <w:lang w:eastAsia="en-US"/>
              </w:rPr>
              <w:t>Commercieel gedeelte</w:t>
            </w:r>
          </w:p>
        </w:tc>
        <w:tc>
          <w:tcPr>
            <w:tcW w:w="2371" w:type="dxa"/>
            <w:gridSpan w:val="2"/>
            <w:tcBorders>
              <w:top w:val="single" w:sz="8" w:space="0" w:color="C0C0C0"/>
              <w:left w:val="single" w:sz="8" w:space="0" w:color="C0C0C0"/>
              <w:bottom w:val="single" w:sz="8" w:space="0" w:color="C0C0C0"/>
              <w:right w:val="single" w:sz="8" w:space="0" w:color="C0C0C0"/>
            </w:tcBorders>
          </w:tcPr>
          <w:p w14:paraId="3E3D7E56" w14:textId="7777777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3F05FB4F"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045D69B"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7246E39A" w14:textId="77777777" w:rsidR="006D7AC6" w:rsidRDefault="006D7AC6">
            <w:pPr>
              <w:tabs>
                <w:tab w:val="left" w:pos="397"/>
              </w:tabs>
              <w:spacing w:before="90" w:after="54" w:line="240" w:lineRule="auto"/>
              <w:ind w:left="57"/>
              <w:rPr>
                <w:rFonts w:ascii="CordiaUPC" w:hAnsi="CordiaUPC" w:cs="CordiaUPC"/>
                <w:sz w:val="26"/>
                <w:szCs w:val="26"/>
                <w:lang w:eastAsia="en-US"/>
              </w:rPr>
            </w:pPr>
            <w:r>
              <w:rPr>
                <w:rFonts w:ascii="CordiaUPC" w:eastAsia="Verdana" w:hAnsi="CordiaUPC" w:cs="CordiaUPC" w:hint="cs"/>
                <w:sz w:val="26"/>
                <w:szCs w:val="26"/>
                <w:lang w:eastAsia="en-US"/>
              </w:rPr>
              <w:t>Indien gevraagd, dient Opdrachtnemer onmiddellijk en zonder vertraging, de factuurgegevens zoals gewenst in digitale vorm, in een leesbaar en vooraf overeengekomen format ter beschikking te stellen.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24968F58" w14:textId="136720E6" w:rsidR="006D7AC6" w:rsidRPr="00E344AC" w:rsidRDefault="006D7AC6">
            <w:pPr>
              <w:tabs>
                <w:tab w:val="left" w:pos="397"/>
              </w:tabs>
              <w:spacing w:before="90" w:after="54" w:line="240" w:lineRule="auto"/>
              <w:ind w:left="57"/>
              <w:rPr>
                <w:rFonts w:ascii="CordiaUPC" w:hAnsi="CordiaUPC" w:cs="CordiaUPC"/>
                <w:sz w:val="26"/>
                <w:szCs w:val="26"/>
                <w:lang w:eastAsia="en-US"/>
              </w:rPr>
            </w:pPr>
          </w:p>
        </w:tc>
      </w:tr>
      <w:tr w:rsidR="006D7AC6" w14:paraId="61BE2950"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386E575" w14:textId="77777777" w:rsidR="006D7AC6" w:rsidRDefault="006D7AC6">
            <w:pPr>
              <w:spacing w:before="90" w:after="54" w:line="240" w:lineRule="auto"/>
              <w:ind w:left="57"/>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491D9896" w14:textId="77777777" w:rsidR="006D7AC6" w:rsidRDefault="006D7AC6">
            <w:pPr>
              <w:spacing w:before="90" w:line="240" w:lineRule="auto"/>
              <w:ind w:left="57"/>
              <w:rPr>
                <w:rFonts w:ascii="CordiaUPC" w:eastAsia="Verdana" w:hAnsi="CordiaUPC" w:cs="CordiaUPC"/>
                <w:b/>
                <w:bCs/>
                <w:sz w:val="26"/>
                <w:szCs w:val="26"/>
                <w:lang w:eastAsia="en-US"/>
              </w:rPr>
            </w:pPr>
            <w:r>
              <w:rPr>
                <w:rFonts w:ascii="CordiaUPC" w:eastAsia="Verdana" w:hAnsi="CordiaUPC" w:cs="CordiaUPC" w:hint="cs"/>
                <w:b/>
                <w:bCs/>
                <w:sz w:val="26"/>
                <w:szCs w:val="26"/>
                <w:lang w:eastAsia="en-US"/>
              </w:rPr>
              <w:t>Levering en plaatsing</w:t>
            </w:r>
          </w:p>
        </w:tc>
        <w:tc>
          <w:tcPr>
            <w:tcW w:w="2371" w:type="dxa"/>
            <w:gridSpan w:val="2"/>
            <w:tcBorders>
              <w:top w:val="single" w:sz="8" w:space="0" w:color="C0C0C0"/>
              <w:left w:val="single" w:sz="8" w:space="0" w:color="C0C0C0"/>
              <w:bottom w:val="single" w:sz="8" w:space="0" w:color="C0C0C0"/>
              <w:right w:val="single" w:sz="8" w:space="0" w:color="C0C0C0"/>
            </w:tcBorders>
          </w:tcPr>
          <w:p w14:paraId="0F739F97" w14:textId="7777777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08EB985D"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41EB43E"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68F5849D" w14:textId="61CD602F"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In een deelopdracht wordt - in onderling overleg - een uiterste datum gereed opgenomen.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2DED6FED" w14:textId="1F04BA2D"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54DC619B"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5140E347"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415BFD2D"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Leveringstermijn onderdelen: maximale levertijd van onderdelen is 2 weken na schriftelijke opdracht.</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010C6DC9" w14:textId="4704D24D"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2C0E66F2"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59949E2"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04B4287D" w14:textId="77777777" w:rsidR="006D7AC6" w:rsidRDefault="006D7AC6">
            <w:pPr>
              <w:tabs>
                <w:tab w:val="left" w:pos="397"/>
              </w:tabs>
              <w:spacing w:before="90" w:after="54" w:line="240" w:lineRule="auto"/>
              <w:ind w:left="57"/>
              <w:rPr>
                <w:rFonts w:ascii="CordiaUPC" w:hAnsi="CordiaUPC" w:cs="CordiaUPC"/>
                <w:sz w:val="26"/>
                <w:szCs w:val="26"/>
                <w:lang w:eastAsia="en-US"/>
              </w:rPr>
            </w:pPr>
            <w:r>
              <w:rPr>
                <w:rFonts w:ascii="CordiaUPC" w:eastAsia="Verdana" w:hAnsi="CordiaUPC" w:cs="CordiaUPC" w:hint="cs"/>
                <w:sz w:val="26"/>
                <w:szCs w:val="26"/>
                <w:lang w:eastAsia="en-US"/>
              </w:rPr>
              <w:t>Leveringen geschieden conform de Leveringsopdracht. Deelleveringen zijn alleen toegestaan in overleg met de aangegeven Contactpersoon in de Leveringsopdracht</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0E81FE88" w14:textId="6A6886B6"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0704E19E"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F902CF4"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19195AB8"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Ten minste twee weken voor Plaatsing neemt de Contractant contact op met de contactpersoon van de Afnemer om de planning en volgorde van plaatsing door te nemen.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7CBA02A8" w14:textId="44542050"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08BF2203"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150242B"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5A88612F"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Contractant doet, voorafgaand aan het leveren en plaatsen van speeltoestellen, een KLIC-melding en/of graaft in voorkomende gevallen een proefsleuf. Deze kosten zijn voor de Contractant.</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3D052091" w14:textId="28D3118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7FDF7E51"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7887D92"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3A461185"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Eventueel gevraagde ondergrond- en civiele werkzaamheden en verwijderen van oude toestellen en funderingen worden op verzoek apart geoffreerd.</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2D1B0019" w14:textId="77984D1C"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6D22DD44"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BFDF551"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18B90310"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Plaatsing wordt uitgevoerd met daartoe geëigende middelen/gereedschappen zoals die in de plaatsingsvoorschriften zijn vermeld.</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0CB7401A" w14:textId="0BD4A3B0"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730206A4"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D8F5FE7"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305F17D5"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Indien het speeltoestel door de Contractant tijdens het plaatsingsproces onbewaakt wordt achtergelaten, wordt het speeltoestel zodanig afgesloten dat het niet kan worden betreden. Hierbij zijn op of nabij de daarvoor in aanmerking komende punten een duidelijk opschrift aangebracht waaruit blijkt dat het speeltoestel niet voor gebruik bestemd is.</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4B22040B" w14:textId="420D1B14"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31C10DEB"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FC5A9F4"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4D15D087"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Tijdens de werkzaamheden is de veiligheid op het werkterrein de verantwoordelijkheid van de Contractant.</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58EDB18B" w14:textId="075E270F"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7591BD6B"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563FC3D7"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6748F648"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Speeltoestellen worden geleverd inclusief plaatsings- en onderhoudsvoorschriften. Het logboek en certificaat van het speeltoestel worden tenminste een week voor plaatsing van het speeltoestel digitaal aan de Afnemer aangeleverd. Speeltoestellen die op locatie worden gekeurd, zijn hiervan uitgezonderd. Hiervoor geldt dat binnen 7 werkdagen na plaatsing het certificaat en logboek worden overhandigd en worden getekend door de Afnemer.</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751D0690" w14:textId="4C7032EA"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62F39D56"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31C9C7E" w14:textId="77777777" w:rsidR="006D7AC6" w:rsidRDefault="006D7AC6">
            <w:pPr>
              <w:spacing w:before="90" w:after="54" w:line="240" w:lineRule="auto"/>
              <w:ind w:left="57"/>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2BAC79E6" w14:textId="77777777" w:rsidR="006D7AC6" w:rsidRDefault="006D7AC6">
            <w:pPr>
              <w:tabs>
                <w:tab w:val="left" w:pos="397"/>
              </w:tabs>
              <w:spacing w:before="90" w:after="54" w:line="240" w:lineRule="auto"/>
              <w:ind w:left="57"/>
              <w:rPr>
                <w:rFonts w:ascii="CordiaUPC" w:eastAsia="Verdana" w:hAnsi="CordiaUPC" w:cs="CordiaUPC"/>
                <w:b/>
                <w:bCs/>
                <w:sz w:val="26"/>
                <w:szCs w:val="26"/>
                <w:lang w:eastAsia="en-US"/>
              </w:rPr>
            </w:pPr>
            <w:r>
              <w:rPr>
                <w:rFonts w:ascii="CordiaUPC" w:eastAsia="Verdana" w:hAnsi="CordiaUPC" w:cs="CordiaUPC" w:hint="cs"/>
                <w:b/>
                <w:bCs/>
                <w:sz w:val="26"/>
                <w:szCs w:val="26"/>
                <w:lang w:eastAsia="en-US"/>
              </w:rPr>
              <w:t>Technische eisen</w:t>
            </w:r>
          </w:p>
        </w:tc>
        <w:tc>
          <w:tcPr>
            <w:tcW w:w="2371" w:type="dxa"/>
            <w:gridSpan w:val="2"/>
            <w:tcBorders>
              <w:top w:val="single" w:sz="8" w:space="0" w:color="C0C0C0"/>
              <w:left w:val="single" w:sz="8" w:space="0" w:color="C0C0C0"/>
              <w:bottom w:val="single" w:sz="8" w:space="0" w:color="C0C0C0"/>
              <w:right w:val="single" w:sz="8" w:space="0" w:color="C0C0C0"/>
            </w:tcBorders>
          </w:tcPr>
          <w:p w14:paraId="12CD243B" w14:textId="7777777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0C971F40"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6E7C508"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747EA71C"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De Speeltoestellen voldoen aan het veiligheidsniveau van het Warenbesluit Attractie- en Speeltoestellen (WAS); wanneer een EN1176:2008 keuringcertificaat afgegeven door Aangewezen of gelijkgestelde Keuringsinstantie voor het toestel beschikbaar is, of een certificaat op basis van risicoanalyse door een Aangewezen of gelijkgestelde Keuringsinstantie, wordt in ieder geval aan deze eis voldaan.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39DDC9E5" w14:textId="5457EEC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34594A93"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1C96918D"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575A83A5"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Beschikbaarheid onderdelen: onderdelen voor Speeltoestellen zijn tot 15 jaar na eerste oplevering van een speeltoestel beschikbaar</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46793E56" w14:textId="1A6CA08D"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4325A6BE"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08EC15E"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5F9D166D"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Onderdelen van de constructie zijn te vervangen.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2872474A" w14:textId="0832A83B"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08D6A7E3"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1C32A29"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773530B2"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De toestellen zijn vandalismebestendig en zodanig geconstrueerd dat het niet met eenvoudige middelen te demonteren is. Het is niet mogelijk dat speeltoestellen in handkracht worden vernield en/of met hand mechanisch hulpmiddelen niet zijnde mechanisch aangedreven apparatuur kunnen worden gedemonteerd. Graffiti uitgezonderd. In overige gevallen is er sprake van vandalisme.</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4E9A19A5" w14:textId="6BDFEA76"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22F2798E"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DF353E2" w14:textId="77777777" w:rsidR="006D7AC6" w:rsidRDefault="006D7AC6">
            <w:pPr>
              <w:spacing w:before="90" w:after="54" w:line="240" w:lineRule="auto"/>
              <w:ind w:left="57"/>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6AE5C337" w14:textId="77777777" w:rsidR="006D7AC6" w:rsidRDefault="006D7AC6">
            <w:pPr>
              <w:tabs>
                <w:tab w:val="left" w:pos="397"/>
              </w:tabs>
              <w:spacing w:before="90" w:after="54" w:line="240" w:lineRule="auto"/>
              <w:ind w:left="57"/>
              <w:rPr>
                <w:rFonts w:ascii="CordiaUPC" w:eastAsia="Verdana" w:hAnsi="CordiaUPC" w:cs="CordiaUPC"/>
                <w:b/>
                <w:bCs/>
                <w:sz w:val="26"/>
                <w:szCs w:val="26"/>
                <w:lang w:eastAsia="en-US"/>
              </w:rPr>
            </w:pPr>
            <w:r>
              <w:rPr>
                <w:rFonts w:ascii="CordiaUPC" w:eastAsia="Verdana" w:hAnsi="CordiaUPC" w:cs="CordiaUPC" w:hint="cs"/>
                <w:b/>
                <w:bCs/>
                <w:sz w:val="26"/>
                <w:szCs w:val="26"/>
                <w:lang w:eastAsia="en-US"/>
              </w:rPr>
              <w:t>Garantie</w:t>
            </w:r>
          </w:p>
        </w:tc>
        <w:tc>
          <w:tcPr>
            <w:tcW w:w="2371" w:type="dxa"/>
            <w:gridSpan w:val="2"/>
            <w:tcBorders>
              <w:top w:val="single" w:sz="8" w:space="0" w:color="C0C0C0"/>
              <w:left w:val="single" w:sz="8" w:space="0" w:color="C0C0C0"/>
              <w:bottom w:val="single" w:sz="8" w:space="0" w:color="C0C0C0"/>
              <w:right w:val="single" w:sz="8" w:space="0" w:color="C0C0C0"/>
            </w:tcBorders>
          </w:tcPr>
          <w:p w14:paraId="0B7F0514" w14:textId="7777777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5CA0E4A1"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B2DF349"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3CDB01ED" w14:textId="77777777" w:rsidR="006D7AC6" w:rsidRDefault="006D7AC6">
            <w:pPr>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Opdrachtnemer draagt zorg voor de afhandeling van garantieclaims en reparaties op de afgenomen producten.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38E5A2BC" w14:textId="4F7F90B9"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283031E0"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36FE8A1"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173C30CC" w14:textId="77777777" w:rsidR="006D7AC6" w:rsidRDefault="006D7AC6">
            <w:pPr>
              <w:tabs>
                <w:tab w:val="left" w:pos="397"/>
              </w:tabs>
              <w:spacing w:before="90" w:after="54" w:line="240" w:lineRule="auto"/>
              <w:ind w:left="57"/>
              <w:rPr>
                <w:rFonts w:ascii="CordiaUPC" w:eastAsia="Verdana" w:hAnsi="CordiaUPC" w:cs="CordiaUPC"/>
                <w:sz w:val="26"/>
                <w:szCs w:val="26"/>
                <w:lang w:eastAsia="en-US"/>
              </w:rPr>
            </w:pPr>
            <w:r>
              <w:rPr>
                <w:rFonts w:ascii="CordiaUPC" w:eastAsia="Verdana" w:hAnsi="CordiaUPC" w:cs="CordiaUPC" w:hint="cs"/>
                <w:sz w:val="26"/>
                <w:szCs w:val="26"/>
                <w:lang w:eastAsia="en-US"/>
              </w:rPr>
              <w:t xml:space="preserve">Op Speeltoestellen wordt een 10 jaar durende niet aflopende garantie verleend. Deze garantie geldt op de gehele constructie en heeft betrekking op de leverantie van materialen, voorrijkosten, kosten arbeid en alle andere bijkomende kosten welke nodig zijn voor het verhelpen van het mankement.  Deze garantie kan worden verlengd, zie gunningcriteria </w:t>
            </w:r>
            <w:r w:rsidRPr="00AE2A73">
              <w:rPr>
                <w:rFonts w:ascii="CordiaUPC" w:eastAsia="Verdana" w:hAnsi="CordiaUPC" w:cs="CordiaUPC" w:hint="cs"/>
                <w:sz w:val="26"/>
                <w:szCs w:val="26"/>
                <w:lang w:eastAsia="en-US"/>
              </w:rPr>
              <w:t>Hoofdstuk 6.</w:t>
            </w:r>
            <w:r>
              <w:rPr>
                <w:rFonts w:ascii="CordiaUPC" w:eastAsia="Verdana" w:hAnsi="CordiaUPC" w:cs="CordiaUPC" w:hint="cs"/>
                <w:sz w:val="26"/>
                <w:szCs w:val="26"/>
                <w:lang w:eastAsia="en-US"/>
              </w:rPr>
              <w:t xml:space="preserve"> Uitgezonderd van garantie zijn:</w:t>
            </w:r>
          </w:p>
          <w:p w14:paraId="7B28C072"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Bewegende onderdelen (lagers, touwen, kettingen e.d.), hier geldt een niet-aflopende garantie van 3 jaren;</w:t>
            </w:r>
          </w:p>
          <w:p w14:paraId="656BDA69"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Normale slijtage/onderhoud/verkleuring;</w:t>
            </w:r>
          </w:p>
          <w:p w14:paraId="75A6D7DE"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Vandalisme;</w:t>
            </w:r>
          </w:p>
          <w:p w14:paraId="1CB444CE"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Onjuist onderhoud door een ander dan de inschrijver;</w:t>
            </w:r>
          </w:p>
          <w:p w14:paraId="4AC04EB4"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Onjuiste montage door een ander dan de inschrijver;</w:t>
            </w:r>
          </w:p>
          <w:p w14:paraId="4E982E40" w14:textId="77777777" w:rsidR="006D7AC6" w:rsidRDefault="006D7AC6" w:rsidP="006D7AC6">
            <w:pPr>
              <w:pStyle w:val="Lijstalinea"/>
              <w:numPr>
                <w:ilvl w:val="0"/>
                <w:numId w:val="18"/>
              </w:numPr>
              <w:tabs>
                <w:tab w:val="left" w:pos="397"/>
              </w:tabs>
              <w:spacing w:before="90" w:after="54" w:line="240" w:lineRule="auto"/>
              <w:rPr>
                <w:rFonts w:ascii="CordiaUPC" w:eastAsia="Verdana" w:hAnsi="CordiaUPC" w:cs="CordiaUPC"/>
                <w:sz w:val="26"/>
                <w:szCs w:val="26"/>
                <w:lang w:eastAsia="en-US"/>
              </w:rPr>
            </w:pPr>
            <w:r>
              <w:rPr>
                <w:rFonts w:ascii="CordiaUPC" w:eastAsia="Verdana" w:hAnsi="CordiaUPC" w:cs="CordiaUPC" w:hint="cs"/>
                <w:sz w:val="26"/>
                <w:szCs w:val="26"/>
                <w:lang w:eastAsia="en-US"/>
              </w:rPr>
              <w:t>Extreme weersinvloeden.</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3F332571" w14:textId="4E5FE275"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4A1CE872"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42060E06" w14:textId="77777777" w:rsidR="006D7AC6" w:rsidRDefault="006D7AC6">
            <w:pPr>
              <w:spacing w:before="90" w:after="54" w:line="240" w:lineRule="auto"/>
              <w:ind w:left="57"/>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7D54C262" w14:textId="067FE873" w:rsidR="006D7AC6" w:rsidRDefault="006D7AC6">
            <w:pPr>
              <w:tabs>
                <w:tab w:val="left" w:pos="397"/>
              </w:tabs>
              <w:spacing w:before="90" w:after="54" w:line="240" w:lineRule="auto"/>
              <w:ind w:left="57"/>
              <w:rPr>
                <w:rFonts w:ascii="CordiaUPC" w:eastAsia="Verdana" w:hAnsi="CordiaUPC" w:cs="CordiaUPC"/>
                <w:b/>
                <w:bCs/>
                <w:sz w:val="26"/>
                <w:szCs w:val="26"/>
                <w:lang w:eastAsia="en-US"/>
              </w:rPr>
            </w:pPr>
            <w:r>
              <w:rPr>
                <w:rFonts w:ascii="CordiaUPC" w:eastAsia="Verdana" w:hAnsi="CordiaUPC" w:cs="CordiaUPC" w:hint="cs"/>
                <w:b/>
                <w:bCs/>
                <w:sz w:val="26"/>
                <w:szCs w:val="26"/>
                <w:lang w:eastAsia="en-US"/>
              </w:rPr>
              <w:t>Duurzaamheid</w:t>
            </w:r>
          </w:p>
        </w:tc>
        <w:tc>
          <w:tcPr>
            <w:tcW w:w="2371" w:type="dxa"/>
            <w:gridSpan w:val="2"/>
            <w:tcBorders>
              <w:top w:val="single" w:sz="8" w:space="0" w:color="C0C0C0"/>
              <w:left w:val="single" w:sz="8" w:space="0" w:color="C0C0C0"/>
              <w:bottom w:val="single" w:sz="8" w:space="0" w:color="C0C0C0"/>
              <w:right w:val="single" w:sz="8" w:space="0" w:color="C0C0C0"/>
            </w:tcBorders>
          </w:tcPr>
          <w:p w14:paraId="37B2315F" w14:textId="77777777"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14:paraId="4D664CF6"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520E3C92" w14:textId="77777777" w:rsidR="006D7AC6" w:rsidRDefault="006D7AC6" w:rsidP="00E344AC">
            <w:pPr>
              <w:numPr>
                <w:ilvl w:val="0"/>
                <w:numId w:val="4"/>
              </w:numPr>
              <w:spacing w:before="90" w:after="54" w:line="240" w:lineRule="auto"/>
              <w:rPr>
                <w:rFonts w:ascii="CordiaUPC" w:hAnsi="CordiaUPC" w:cs="CordiaUPC"/>
                <w:sz w:val="26"/>
                <w:szCs w:val="26"/>
                <w:lang w:eastAsia="en-US"/>
              </w:rPr>
            </w:pPr>
            <w:bookmarkStart w:id="0" w:name="_Hlk96003516"/>
          </w:p>
        </w:tc>
        <w:tc>
          <w:tcPr>
            <w:tcW w:w="4251" w:type="dxa"/>
            <w:tcBorders>
              <w:top w:val="single" w:sz="8" w:space="0" w:color="C0C0C0"/>
              <w:left w:val="single" w:sz="8" w:space="0" w:color="C0C0C0"/>
              <w:bottom w:val="single" w:sz="8" w:space="0" w:color="C0C0C0"/>
              <w:right w:val="single" w:sz="8" w:space="0" w:color="C0C0C0"/>
            </w:tcBorders>
            <w:hideMark/>
          </w:tcPr>
          <w:p w14:paraId="2AF7C486" w14:textId="77777777" w:rsidR="007046FE" w:rsidRPr="007046FE" w:rsidRDefault="007046FE" w:rsidP="007046FE">
            <w:pPr>
              <w:tabs>
                <w:tab w:val="left" w:pos="397"/>
              </w:tabs>
              <w:spacing w:before="90" w:after="54" w:line="240" w:lineRule="auto"/>
              <w:ind w:left="57"/>
              <w:rPr>
                <w:rFonts w:ascii="CordiaUPC" w:eastAsia="Verdana" w:hAnsi="CordiaUPC" w:cs="CordiaUPC"/>
                <w:sz w:val="26"/>
                <w:szCs w:val="26"/>
                <w:lang w:eastAsia="en-US"/>
              </w:rPr>
            </w:pPr>
            <w:r w:rsidRPr="007046FE">
              <w:rPr>
                <w:rFonts w:ascii="CordiaUPC" w:eastAsia="Verdana" w:hAnsi="CordiaUPC" w:cs="CordiaUPC"/>
                <w:sz w:val="26"/>
                <w:szCs w:val="26"/>
                <w:lang w:eastAsia="en-US"/>
              </w:rPr>
              <w:t xml:space="preserve">Het VOS gehalte (excl. water) voor verven met een spreidend vermogen van ten minste 15 m2/l en voor vernissen die worden toegepast op hout, bedraagt maximaal 250 g/l (met een </w:t>
            </w:r>
            <w:proofErr w:type="spellStart"/>
            <w:r w:rsidRPr="007046FE">
              <w:rPr>
                <w:rFonts w:ascii="CordiaUPC" w:eastAsia="Verdana" w:hAnsi="CordiaUPC" w:cs="CordiaUPC"/>
                <w:sz w:val="26"/>
                <w:szCs w:val="26"/>
                <w:lang w:eastAsia="en-US"/>
              </w:rPr>
              <w:t>dekkracht</w:t>
            </w:r>
            <w:proofErr w:type="spellEnd"/>
            <w:r w:rsidRPr="007046FE">
              <w:rPr>
                <w:rFonts w:ascii="CordiaUPC" w:eastAsia="Verdana" w:hAnsi="CordiaUPC" w:cs="CordiaUPC"/>
                <w:sz w:val="26"/>
                <w:szCs w:val="26"/>
                <w:lang w:eastAsia="en-US"/>
              </w:rPr>
              <w:t xml:space="preserve"> van 98%). Voor de overige verfproducten (vernissen, houtbeitsen, vloercoatings, vloerverven en verwante producten) is dat maximaal 180 g/l.</w:t>
            </w:r>
          </w:p>
          <w:p w14:paraId="55CF4A25" w14:textId="0DD4E983" w:rsidR="006D7AC6" w:rsidRDefault="007046FE" w:rsidP="007046FE">
            <w:pPr>
              <w:tabs>
                <w:tab w:val="left" w:pos="397"/>
              </w:tabs>
              <w:spacing w:before="90" w:after="54" w:line="240" w:lineRule="auto"/>
              <w:ind w:left="57"/>
              <w:rPr>
                <w:rFonts w:ascii="CordiaUPC" w:eastAsia="Verdana" w:hAnsi="CordiaUPC" w:cs="CordiaUPC"/>
                <w:sz w:val="26"/>
                <w:szCs w:val="26"/>
                <w:lang w:eastAsia="en-US"/>
              </w:rPr>
            </w:pPr>
            <w:r w:rsidRPr="007046FE">
              <w:rPr>
                <w:rFonts w:ascii="CordiaUPC" w:eastAsia="Verdana" w:hAnsi="CordiaUPC" w:cs="CordiaUPC"/>
                <w:sz w:val="26"/>
                <w:szCs w:val="26"/>
                <w:lang w:eastAsia="en-US"/>
              </w:rPr>
              <w:t>Een vluchtige organische verbinding (VOS) is een organische verbinding die, onder normale druk, een kookpunt (of beginkookpunt) heeft dat lager is dan of gelijk aan 250 °C.</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0C5C5645" w14:textId="78F745A5" w:rsidR="006D7AC6" w:rsidRDefault="006D7AC6">
            <w:pPr>
              <w:tabs>
                <w:tab w:val="left" w:pos="397"/>
              </w:tabs>
              <w:spacing w:before="90" w:after="54" w:line="240" w:lineRule="auto"/>
              <w:ind w:left="57"/>
              <w:rPr>
                <w:rFonts w:ascii="CordiaUPC" w:hAnsi="CordiaUPC" w:cs="CordiaUPC"/>
                <w:sz w:val="26"/>
                <w:szCs w:val="26"/>
                <w:lang w:eastAsia="en-US"/>
              </w:rPr>
            </w:pPr>
          </w:p>
        </w:tc>
      </w:tr>
      <w:tr w:rsidR="006D7AC6" w:rsidRPr="007046FE" w14:paraId="5DF717F3" w14:textId="77777777" w:rsidTr="00E344AC">
        <w:tblPrEx>
          <w:tblLook w:val="04A0" w:firstRow="1" w:lastRow="0" w:firstColumn="1" w:lastColumn="0" w:noHBand="0" w:noVBand="1"/>
        </w:tblPrEx>
        <w:trPr>
          <w:cantSplit/>
        </w:trPr>
        <w:tc>
          <w:tcPr>
            <w:tcW w:w="117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8A36689" w14:textId="77777777" w:rsidR="006D7AC6" w:rsidRDefault="006D7AC6" w:rsidP="00E344AC">
            <w:pPr>
              <w:numPr>
                <w:ilvl w:val="0"/>
                <w:numId w:val="4"/>
              </w:numPr>
              <w:spacing w:before="90" w:after="54" w:line="240" w:lineRule="auto"/>
              <w:rPr>
                <w:rFonts w:ascii="CordiaUPC" w:hAnsi="CordiaUPC" w:cs="CordiaUPC"/>
                <w:sz w:val="26"/>
                <w:szCs w:val="26"/>
                <w:lang w:eastAsia="en-US"/>
              </w:rPr>
            </w:pPr>
          </w:p>
        </w:tc>
        <w:tc>
          <w:tcPr>
            <w:tcW w:w="4251" w:type="dxa"/>
            <w:tcBorders>
              <w:top w:val="single" w:sz="8" w:space="0" w:color="C0C0C0"/>
              <w:left w:val="single" w:sz="8" w:space="0" w:color="C0C0C0"/>
              <w:bottom w:val="single" w:sz="8" w:space="0" w:color="C0C0C0"/>
              <w:right w:val="single" w:sz="8" w:space="0" w:color="C0C0C0"/>
            </w:tcBorders>
            <w:hideMark/>
          </w:tcPr>
          <w:p w14:paraId="5FA1888F" w14:textId="7C6C9AF6" w:rsidR="006D7AC6" w:rsidRPr="00AE2A73" w:rsidRDefault="00AE2A73" w:rsidP="00AE2A73">
            <w:pPr>
              <w:tabs>
                <w:tab w:val="left" w:pos="397"/>
              </w:tabs>
              <w:spacing w:before="90" w:after="54" w:line="240" w:lineRule="auto"/>
              <w:ind w:left="57"/>
              <w:rPr>
                <w:rFonts w:ascii="CordiaUPC" w:eastAsia="Verdana" w:hAnsi="CordiaUPC" w:cs="CordiaUPC"/>
                <w:sz w:val="26"/>
                <w:szCs w:val="26"/>
                <w:lang w:eastAsia="en-US"/>
              </w:rPr>
            </w:pPr>
            <w:r w:rsidRPr="00AE2A73">
              <w:rPr>
                <w:rFonts w:ascii="CordiaUPC" w:eastAsia="Verdana" w:hAnsi="CordiaUPC" w:cs="CordiaUPC"/>
                <w:sz w:val="26"/>
                <w:szCs w:val="26"/>
              </w:rPr>
              <w:t xml:space="preserve">Toegepast hout is afkomstig uit duurzaam beheerde bossen en is gecertificeerd volgens een door TPAC als duurzaam beoordeelde bosbeheersysteem:  </w:t>
            </w:r>
            <w:hyperlink r:id="rId7" w:history="1">
              <w:r w:rsidRPr="00AE2A73">
                <w:rPr>
                  <w:rStyle w:val="Hyperlink"/>
                  <w:rFonts w:ascii="CordiaUPC" w:eastAsia="Verdana" w:hAnsi="CordiaUPC" w:cs="CordiaUPC"/>
                  <w:sz w:val="26"/>
                  <w:szCs w:val="26"/>
                </w:rPr>
                <w:t>http://www.tpac.smk.nl/</w:t>
              </w:r>
            </w:hyperlink>
            <w:r w:rsidRPr="00AE2A73">
              <w:rPr>
                <w:rFonts w:ascii="CordiaUPC" w:eastAsia="Verdana" w:hAnsi="CordiaUPC" w:cs="CordiaUPC"/>
                <w:sz w:val="26"/>
                <w:szCs w:val="26"/>
              </w:rPr>
              <w:t xml:space="preserve">  of gelijkwaardig.</w:t>
            </w:r>
          </w:p>
        </w:tc>
        <w:tc>
          <w:tcPr>
            <w:tcW w:w="2371" w:type="dxa"/>
            <w:gridSpan w:val="2"/>
            <w:tcBorders>
              <w:top w:val="single" w:sz="8" w:space="0" w:color="C0C0C0"/>
              <w:left w:val="single" w:sz="8" w:space="0" w:color="C0C0C0"/>
              <w:bottom w:val="single" w:sz="8" w:space="0" w:color="C0C0C0"/>
              <w:right w:val="single" w:sz="8" w:space="0" w:color="C0C0C0"/>
            </w:tcBorders>
            <w:hideMark/>
          </w:tcPr>
          <w:p w14:paraId="5300BA47" w14:textId="62C59706" w:rsidR="00AE2A73" w:rsidRPr="00A67CFA" w:rsidRDefault="00AE2A73" w:rsidP="00AE2A73">
            <w:pPr>
              <w:tabs>
                <w:tab w:val="left" w:pos="397"/>
              </w:tabs>
              <w:spacing w:before="90" w:after="54" w:line="240" w:lineRule="auto"/>
              <w:ind w:left="57"/>
              <w:rPr>
                <w:rFonts w:ascii="CordiaUPC" w:hAnsi="CordiaUPC" w:cs="CordiaUPC"/>
                <w:sz w:val="26"/>
                <w:szCs w:val="26"/>
                <w:lang w:eastAsia="en-US"/>
              </w:rPr>
            </w:pPr>
          </w:p>
        </w:tc>
      </w:tr>
      <w:bookmarkEnd w:id="0"/>
    </w:tbl>
    <w:p w14:paraId="18B43260" w14:textId="77777777" w:rsidR="00FE484E" w:rsidRPr="00A67CFA" w:rsidRDefault="00FE484E">
      <w:pPr>
        <w:rPr>
          <w:rFonts w:ascii="CordiaUPC" w:hAnsi="CordiaUPC" w:cs="CordiaUPC"/>
          <w:sz w:val="26"/>
          <w:szCs w:val="26"/>
        </w:rPr>
      </w:pPr>
    </w:p>
    <w:sectPr w:rsidR="00FE484E" w:rsidRPr="00A67C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36B8" w14:textId="77777777" w:rsidR="006D787A" w:rsidRDefault="006D787A" w:rsidP="00F72000">
      <w:pPr>
        <w:spacing w:line="240" w:lineRule="auto"/>
      </w:pPr>
      <w:r>
        <w:separator/>
      </w:r>
    </w:p>
  </w:endnote>
  <w:endnote w:type="continuationSeparator" w:id="0">
    <w:p w14:paraId="64055A40" w14:textId="77777777" w:rsidR="006D787A" w:rsidRDefault="006D787A" w:rsidP="00F72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altName w:val="CordiaUPC"/>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7918" w14:textId="77777777" w:rsidR="00F72000" w:rsidRPr="00A079B7" w:rsidRDefault="00F72000" w:rsidP="00F72000">
    <w:pPr>
      <w:pBdr>
        <w:top w:val="single" w:sz="4" w:space="1" w:color="808080"/>
      </w:pBdr>
      <w:tabs>
        <w:tab w:val="right" w:pos="9072"/>
      </w:tabs>
      <w:spacing w:line="312" w:lineRule="auto"/>
      <w:jc w:val="both"/>
      <w:rPr>
        <w:rFonts w:ascii="CordiaUPC" w:hAnsi="CordiaUPC" w:cs="CordiaUPC"/>
        <w:szCs w:val="20"/>
      </w:rPr>
    </w:pPr>
    <w:r w:rsidRPr="00A079B7">
      <w:rPr>
        <w:rFonts w:ascii="CordiaUPC" w:hAnsi="CordiaUPC" w:cs="CordiaUPC" w:hint="cs"/>
        <w:szCs w:val="20"/>
      </w:rPr>
      <w:t>© Inkoopcentrum Zuid – Programma van eisen</w:t>
    </w:r>
    <w:r w:rsidRPr="00A079B7">
      <w:rPr>
        <w:rFonts w:ascii="CordiaUPC" w:hAnsi="CordiaUPC" w:cs="CordiaUPC" w:hint="cs"/>
        <w:szCs w:val="20"/>
      </w:rPr>
      <w:tab/>
    </w:r>
  </w:p>
  <w:p w14:paraId="6EE4385A" w14:textId="77777777" w:rsidR="00F72000" w:rsidRDefault="00F72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6F9C" w14:textId="77777777" w:rsidR="006D787A" w:rsidRDefault="006D787A" w:rsidP="00F72000">
      <w:pPr>
        <w:spacing w:line="240" w:lineRule="auto"/>
      </w:pPr>
      <w:r>
        <w:separator/>
      </w:r>
    </w:p>
  </w:footnote>
  <w:footnote w:type="continuationSeparator" w:id="0">
    <w:p w14:paraId="196FC0F5" w14:textId="77777777" w:rsidR="006D787A" w:rsidRDefault="006D787A" w:rsidP="00F72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CC16" w14:textId="77777777" w:rsidR="00A5209F" w:rsidRPr="00A079B7" w:rsidRDefault="00A5209F">
    <w:pPr>
      <w:pStyle w:val="Koptekst"/>
      <w:rPr>
        <w:rFonts w:ascii="CordiaUPC" w:hAnsi="CordiaUPC" w:cs="CordiaUPC"/>
        <w:szCs w:val="20"/>
      </w:rPr>
    </w:pPr>
    <w:r w:rsidRPr="00A079B7">
      <w:rPr>
        <w:rFonts w:ascii="CordiaUPC" w:hAnsi="CordiaUPC" w:cs="CordiaUPC"/>
        <w:szCs w:val="20"/>
      </w:rPr>
      <w:t xml:space="preserve">Pagina </w:t>
    </w:r>
    <w:r w:rsidRPr="00A079B7">
      <w:rPr>
        <w:rFonts w:ascii="CordiaUPC" w:hAnsi="CordiaUPC" w:cs="CordiaUPC"/>
        <w:b/>
        <w:bCs/>
        <w:szCs w:val="20"/>
      </w:rPr>
      <w:fldChar w:fldCharType="begin"/>
    </w:r>
    <w:r w:rsidRPr="00A079B7">
      <w:rPr>
        <w:rFonts w:ascii="CordiaUPC" w:hAnsi="CordiaUPC" w:cs="CordiaUPC"/>
        <w:b/>
        <w:bCs/>
        <w:szCs w:val="20"/>
      </w:rPr>
      <w:instrText>PAGE</w:instrText>
    </w:r>
    <w:r w:rsidRPr="00A079B7">
      <w:rPr>
        <w:rFonts w:ascii="CordiaUPC" w:hAnsi="CordiaUPC" w:cs="CordiaUPC"/>
        <w:b/>
        <w:bCs/>
        <w:szCs w:val="20"/>
      </w:rPr>
      <w:fldChar w:fldCharType="separate"/>
    </w:r>
    <w:r w:rsidRPr="00A079B7">
      <w:rPr>
        <w:rFonts w:ascii="CordiaUPC" w:hAnsi="CordiaUPC" w:cs="CordiaUPC"/>
        <w:b/>
        <w:bCs/>
        <w:szCs w:val="20"/>
      </w:rPr>
      <w:t>1</w:t>
    </w:r>
    <w:r w:rsidRPr="00A079B7">
      <w:rPr>
        <w:rFonts w:ascii="CordiaUPC" w:hAnsi="CordiaUPC" w:cs="CordiaUPC"/>
        <w:b/>
        <w:bCs/>
        <w:szCs w:val="20"/>
      </w:rPr>
      <w:fldChar w:fldCharType="end"/>
    </w:r>
    <w:r w:rsidRPr="00A079B7">
      <w:rPr>
        <w:rFonts w:ascii="CordiaUPC" w:hAnsi="CordiaUPC" w:cs="CordiaUPC"/>
        <w:szCs w:val="20"/>
      </w:rPr>
      <w:t xml:space="preserve"> van </w:t>
    </w:r>
    <w:r w:rsidRPr="00A079B7">
      <w:rPr>
        <w:rFonts w:ascii="CordiaUPC" w:hAnsi="CordiaUPC" w:cs="CordiaUPC"/>
        <w:b/>
        <w:bCs/>
        <w:szCs w:val="20"/>
      </w:rPr>
      <w:fldChar w:fldCharType="begin"/>
    </w:r>
    <w:r w:rsidRPr="00A079B7">
      <w:rPr>
        <w:rFonts w:ascii="CordiaUPC" w:hAnsi="CordiaUPC" w:cs="CordiaUPC"/>
        <w:b/>
        <w:bCs/>
        <w:szCs w:val="20"/>
      </w:rPr>
      <w:instrText>NUMPAGES</w:instrText>
    </w:r>
    <w:r w:rsidRPr="00A079B7">
      <w:rPr>
        <w:rFonts w:ascii="CordiaUPC" w:hAnsi="CordiaUPC" w:cs="CordiaUPC"/>
        <w:b/>
        <w:bCs/>
        <w:szCs w:val="20"/>
      </w:rPr>
      <w:fldChar w:fldCharType="separate"/>
    </w:r>
    <w:r w:rsidRPr="00A079B7">
      <w:rPr>
        <w:rFonts w:ascii="CordiaUPC" w:hAnsi="CordiaUPC" w:cs="CordiaUPC"/>
        <w:b/>
        <w:bCs/>
        <w:szCs w:val="20"/>
      </w:rPr>
      <w:t>4</w:t>
    </w:r>
    <w:r w:rsidRPr="00A079B7">
      <w:rPr>
        <w:rFonts w:ascii="CordiaUPC" w:hAnsi="CordiaUPC" w:cs="CordiaUPC"/>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09D"/>
    <w:multiLevelType w:val="hybridMultilevel"/>
    <w:tmpl w:val="83303E7E"/>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 w15:restartNumberingAfterBreak="0">
    <w:nsid w:val="0FCB1C00"/>
    <w:multiLevelType w:val="hybridMultilevel"/>
    <w:tmpl w:val="FC3E9F68"/>
    <w:lvl w:ilvl="0" w:tplc="2BCA4CDC">
      <w:start w:val="29"/>
      <w:numFmt w:val="bullet"/>
      <w:lvlText w:val="-"/>
      <w:lvlJc w:val="left"/>
      <w:pPr>
        <w:ind w:left="777" w:hanging="360"/>
      </w:pPr>
      <w:rPr>
        <w:rFonts w:ascii="CordiaUPC" w:eastAsia="Times New Roman" w:hAnsi="CordiaUPC" w:cs="CordiaUPC" w:hint="cs"/>
      </w:rPr>
    </w:lvl>
    <w:lvl w:ilvl="1" w:tplc="8640CE26">
      <w:numFmt w:val="bullet"/>
      <w:lvlText w:val=""/>
      <w:lvlJc w:val="left"/>
      <w:pPr>
        <w:ind w:left="1497" w:hanging="360"/>
      </w:pPr>
      <w:rPr>
        <w:rFonts w:ascii="Symbol" w:eastAsia="Verdana" w:hAnsi="Symbol" w:cs="CordiaUPC" w:hint="default"/>
      </w:rPr>
    </w:lvl>
    <w:lvl w:ilvl="2" w:tplc="F73C7658">
      <w:numFmt w:val="bullet"/>
      <w:lvlText w:val="•"/>
      <w:lvlJc w:val="left"/>
      <w:pPr>
        <w:ind w:left="2217" w:hanging="360"/>
      </w:pPr>
      <w:rPr>
        <w:rFonts w:ascii="CordiaUPC" w:eastAsia="Verdana" w:hAnsi="CordiaUPC" w:cs="CordiaUPC"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2" w15:restartNumberingAfterBreak="0">
    <w:nsid w:val="12405C7A"/>
    <w:multiLevelType w:val="hybridMultilevel"/>
    <w:tmpl w:val="F196C1FC"/>
    <w:lvl w:ilvl="0" w:tplc="2BCA4CDC">
      <w:start w:val="29"/>
      <w:numFmt w:val="bullet"/>
      <w:lvlText w:val="-"/>
      <w:lvlJc w:val="left"/>
      <w:pPr>
        <w:ind w:left="777" w:hanging="360"/>
      </w:pPr>
      <w:rPr>
        <w:rFonts w:ascii="CordiaUPC" w:eastAsia="Times New Roman" w:hAnsi="CordiaUPC" w:cs="CordiaUPC" w:hint="cs"/>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 w15:restartNumberingAfterBreak="0">
    <w:nsid w:val="1EF303FD"/>
    <w:multiLevelType w:val="hybridMultilevel"/>
    <w:tmpl w:val="7E88C276"/>
    <w:lvl w:ilvl="0" w:tplc="2BCA4CDC">
      <w:start w:val="29"/>
      <w:numFmt w:val="bullet"/>
      <w:lvlText w:val="-"/>
      <w:lvlJc w:val="left"/>
      <w:pPr>
        <w:ind w:left="720" w:hanging="360"/>
      </w:pPr>
      <w:rPr>
        <w:rFonts w:ascii="CordiaUPC" w:eastAsia="Times New Roman" w:hAnsi="CordiaUPC" w:cs="CordiaUPC" w:hint="c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5D7EDF"/>
    <w:multiLevelType w:val="hybridMultilevel"/>
    <w:tmpl w:val="BC54612A"/>
    <w:lvl w:ilvl="0" w:tplc="434C2CD4">
      <w:start w:val="1"/>
      <w:numFmt w:val="decimal"/>
      <w:lvlText w:val="%1."/>
      <w:lvlJc w:val="left"/>
      <w:pPr>
        <w:tabs>
          <w:tab w:val="num" w:pos="227"/>
        </w:tabs>
        <w:ind w:left="227" w:hanging="227"/>
      </w:pPr>
      <w:rPr>
        <w:rFonts w:hint="default"/>
        <w:strike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B4B5CF7"/>
    <w:multiLevelType w:val="hybridMultilevel"/>
    <w:tmpl w:val="842027F2"/>
    <w:lvl w:ilvl="0" w:tplc="2BCA4CDC">
      <w:start w:val="29"/>
      <w:numFmt w:val="bullet"/>
      <w:lvlText w:val="-"/>
      <w:lvlJc w:val="left"/>
      <w:pPr>
        <w:ind w:left="777" w:hanging="360"/>
      </w:pPr>
      <w:rPr>
        <w:rFonts w:ascii="CordiaUPC" w:eastAsia="Times New Roman" w:hAnsi="CordiaUPC" w:cs="CordiaUPC" w:hint="cs"/>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6" w15:restartNumberingAfterBreak="0">
    <w:nsid w:val="3DD37E4A"/>
    <w:multiLevelType w:val="hybridMultilevel"/>
    <w:tmpl w:val="4CD603E0"/>
    <w:lvl w:ilvl="0" w:tplc="2BCA4CDC">
      <w:start w:val="29"/>
      <w:numFmt w:val="bullet"/>
      <w:lvlText w:val="-"/>
      <w:lvlJc w:val="left"/>
      <w:pPr>
        <w:ind w:left="777" w:hanging="360"/>
      </w:pPr>
      <w:rPr>
        <w:rFonts w:ascii="CordiaUPC" w:eastAsia="Times New Roman" w:hAnsi="CordiaUPC" w:cs="CordiaUPC" w:hint="cs"/>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7" w15:restartNumberingAfterBreak="0">
    <w:nsid w:val="52D15BDD"/>
    <w:multiLevelType w:val="hybridMultilevel"/>
    <w:tmpl w:val="ECC6E838"/>
    <w:lvl w:ilvl="0" w:tplc="2BCA4CDC">
      <w:start w:val="29"/>
      <w:numFmt w:val="bullet"/>
      <w:lvlText w:val="-"/>
      <w:lvlJc w:val="left"/>
      <w:pPr>
        <w:ind w:left="777" w:hanging="360"/>
      </w:pPr>
      <w:rPr>
        <w:rFonts w:ascii="CordiaUPC" w:eastAsia="Times New Roman" w:hAnsi="CordiaUPC" w:cs="CordiaUPC" w:hint="cs"/>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0">
    <w:nsid w:val="5A830D05"/>
    <w:multiLevelType w:val="multilevel"/>
    <w:tmpl w:val="471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3795F"/>
    <w:multiLevelType w:val="multilevel"/>
    <w:tmpl w:val="E5A69B1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2736BC"/>
    <w:multiLevelType w:val="multilevel"/>
    <w:tmpl w:val="11009E3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 w15:restartNumberingAfterBreak="0">
    <w:nsid w:val="67544EE6"/>
    <w:multiLevelType w:val="hybridMultilevel"/>
    <w:tmpl w:val="3F10AC00"/>
    <w:lvl w:ilvl="0" w:tplc="B5806A74">
      <w:start w:val="1"/>
      <w:numFmt w:val="bullet"/>
      <w:lvlText w:val="-"/>
      <w:lvlJc w:val="left"/>
      <w:pPr>
        <w:ind w:left="417" w:hanging="360"/>
      </w:pPr>
      <w:rPr>
        <w:rFonts w:ascii="CordiaUPC" w:eastAsia="Verdana" w:hAnsi="CordiaUPC" w:cs="CordiaUPC"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12" w15:restartNumberingAfterBreak="0">
    <w:nsid w:val="7B6D544D"/>
    <w:multiLevelType w:val="hybridMultilevel"/>
    <w:tmpl w:val="AF1C7462"/>
    <w:lvl w:ilvl="0" w:tplc="2BCA4CDC">
      <w:start w:val="29"/>
      <w:numFmt w:val="bullet"/>
      <w:lvlText w:val="-"/>
      <w:lvlJc w:val="left"/>
      <w:pPr>
        <w:ind w:left="777" w:hanging="360"/>
      </w:pPr>
      <w:rPr>
        <w:rFonts w:ascii="CordiaUPC" w:eastAsia="Times New Roman" w:hAnsi="CordiaUPC" w:cs="CordiaUPC" w:hint="cs"/>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3" w15:restartNumberingAfterBreak="0">
    <w:nsid w:val="7E304F4D"/>
    <w:multiLevelType w:val="multilevel"/>
    <w:tmpl w:val="3CAE60BA"/>
    <w:lvl w:ilvl="0">
      <w:start w:val="1"/>
      <w:numFmt w:val="decimal"/>
      <w:pStyle w:val="Kop1"/>
      <w:lvlText w:val="%1."/>
      <w:lvlJc w:val="left"/>
      <w:pPr>
        <w:tabs>
          <w:tab w:val="num" w:pos="567"/>
        </w:tabs>
        <w:ind w:left="567" w:hanging="567"/>
      </w:pPr>
      <w:rPr>
        <w:rFonts w:ascii="Verdana" w:hAnsi="Verdana" w:cs="CordiaUPC" w:hint="default"/>
        <w:b/>
        <w:i w:val="0"/>
        <w:sz w:val="20"/>
        <w:szCs w:val="20"/>
      </w:rPr>
    </w:lvl>
    <w:lvl w:ilvl="1">
      <w:start w:val="1"/>
      <w:numFmt w:val="decimal"/>
      <w:pStyle w:val="Kop2"/>
      <w:lvlText w:val="%1.%2"/>
      <w:lvlJc w:val="left"/>
      <w:pPr>
        <w:tabs>
          <w:tab w:val="num" w:pos="567"/>
        </w:tabs>
        <w:ind w:left="567" w:hanging="567"/>
      </w:pPr>
      <w:rPr>
        <w:rFonts w:ascii="Verdana" w:hAnsi="Verdana" w:cs="CordiaUPC" w:hint="default"/>
        <w:b/>
        <w:i w:val="0"/>
        <w:sz w:val="20"/>
        <w:szCs w:val="20"/>
      </w:rPr>
    </w:lvl>
    <w:lvl w:ilvl="2">
      <w:start w:val="1"/>
      <w:numFmt w:val="decimal"/>
      <w:pStyle w:val="Kop3"/>
      <w:lvlText w:val="%1.%2.%3"/>
      <w:lvlJc w:val="left"/>
      <w:pPr>
        <w:tabs>
          <w:tab w:val="num" w:pos="567"/>
        </w:tabs>
        <w:ind w:left="567" w:hanging="567"/>
      </w:pPr>
      <w:rPr>
        <w:rFonts w:ascii="CordiaUPC" w:hAnsi="CordiaUPC" w:cs="CordiaUPC" w:hint="default"/>
        <w:b/>
        <w:i/>
        <w:sz w:val="26"/>
        <w:szCs w:val="26"/>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10"/>
  </w:num>
  <w:num w:numId="3">
    <w:abstractNumId w:val="9"/>
  </w:num>
  <w:num w:numId="4">
    <w:abstractNumId w:val="4"/>
  </w:num>
  <w:num w:numId="5">
    <w:abstractNumId w:val="1"/>
  </w:num>
  <w:num w:numId="6">
    <w:abstractNumId w:val="5"/>
  </w:num>
  <w:num w:numId="7">
    <w:abstractNumId w:val="3"/>
  </w:num>
  <w:num w:numId="8">
    <w:abstractNumId w:val="7"/>
  </w:num>
  <w:num w:numId="9">
    <w:abstractNumId w:val="6"/>
  </w:num>
  <w:num w:numId="10">
    <w:abstractNumId w:val="12"/>
  </w:num>
  <w:num w:numId="11">
    <w:abstractNumId w:val="2"/>
  </w:num>
  <w:num w:numId="12">
    <w:abstractNumId w:val="11"/>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6"/>
  </w:num>
  <w:num w:numId="18">
    <w:abstractNumId w:val="1"/>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20"/>
    <w:rsid w:val="00004F3E"/>
    <w:rsid w:val="00005434"/>
    <w:rsid w:val="00010893"/>
    <w:rsid w:val="00012DD1"/>
    <w:rsid w:val="0003681D"/>
    <w:rsid w:val="00050495"/>
    <w:rsid w:val="000C041C"/>
    <w:rsid w:val="000C2F8E"/>
    <w:rsid w:val="000C635B"/>
    <w:rsid w:val="000D2553"/>
    <w:rsid w:val="000F258E"/>
    <w:rsid w:val="001252A9"/>
    <w:rsid w:val="001523A3"/>
    <w:rsid w:val="001728C5"/>
    <w:rsid w:val="00184D26"/>
    <w:rsid w:val="001A5F46"/>
    <w:rsid w:val="001C5E6C"/>
    <w:rsid w:val="00216968"/>
    <w:rsid w:val="00241141"/>
    <w:rsid w:val="00276AA1"/>
    <w:rsid w:val="00284CA5"/>
    <w:rsid w:val="0028721F"/>
    <w:rsid w:val="00295DCC"/>
    <w:rsid w:val="003264E4"/>
    <w:rsid w:val="00343704"/>
    <w:rsid w:val="0034415D"/>
    <w:rsid w:val="0034776F"/>
    <w:rsid w:val="0037712E"/>
    <w:rsid w:val="003777D2"/>
    <w:rsid w:val="00383523"/>
    <w:rsid w:val="003C00E3"/>
    <w:rsid w:val="003C1DF2"/>
    <w:rsid w:val="003C20B7"/>
    <w:rsid w:val="003C7601"/>
    <w:rsid w:val="003C7670"/>
    <w:rsid w:val="003D63D8"/>
    <w:rsid w:val="00452DD5"/>
    <w:rsid w:val="00497653"/>
    <w:rsid w:val="004A3B99"/>
    <w:rsid w:val="004C2E29"/>
    <w:rsid w:val="004C5510"/>
    <w:rsid w:val="00504B89"/>
    <w:rsid w:val="00523F00"/>
    <w:rsid w:val="005645E6"/>
    <w:rsid w:val="00564DD0"/>
    <w:rsid w:val="00572A58"/>
    <w:rsid w:val="005939E6"/>
    <w:rsid w:val="005B27E1"/>
    <w:rsid w:val="005C0F19"/>
    <w:rsid w:val="005C6187"/>
    <w:rsid w:val="005E6296"/>
    <w:rsid w:val="005F0C54"/>
    <w:rsid w:val="005F5C68"/>
    <w:rsid w:val="00621A9C"/>
    <w:rsid w:val="00625F79"/>
    <w:rsid w:val="00632B2F"/>
    <w:rsid w:val="006406A4"/>
    <w:rsid w:val="006515BD"/>
    <w:rsid w:val="0065632B"/>
    <w:rsid w:val="00676DBC"/>
    <w:rsid w:val="00682E49"/>
    <w:rsid w:val="006B62D7"/>
    <w:rsid w:val="006D65F6"/>
    <w:rsid w:val="006D787A"/>
    <w:rsid w:val="006D7AC6"/>
    <w:rsid w:val="006E6766"/>
    <w:rsid w:val="006E7231"/>
    <w:rsid w:val="006F4244"/>
    <w:rsid w:val="006F6441"/>
    <w:rsid w:val="007046FE"/>
    <w:rsid w:val="00727C83"/>
    <w:rsid w:val="00746713"/>
    <w:rsid w:val="007A1EDD"/>
    <w:rsid w:val="007B30B9"/>
    <w:rsid w:val="007D5669"/>
    <w:rsid w:val="00804168"/>
    <w:rsid w:val="0080721F"/>
    <w:rsid w:val="00837B37"/>
    <w:rsid w:val="0085028B"/>
    <w:rsid w:val="0086110B"/>
    <w:rsid w:val="008672A4"/>
    <w:rsid w:val="00871765"/>
    <w:rsid w:val="00876232"/>
    <w:rsid w:val="008F32BF"/>
    <w:rsid w:val="00920C61"/>
    <w:rsid w:val="00921DE8"/>
    <w:rsid w:val="00922346"/>
    <w:rsid w:val="00923D20"/>
    <w:rsid w:val="0093384F"/>
    <w:rsid w:val="00940B7F"/>
    <w:rsid w:val="00963D2E"/>
    <w:rsid w:val="009A3D8A"/>
    <w:rsid w:val="009F364C"/>
    <w:rsid w:val="009F699D"/>
    <w:rsid w:val="00A079B7"/>
    <w:rsid w:val="00A5209F"/>
    <w:rsid w:val="00A67CFA"/>
    <w:rsid w:val="00A873F8"/>
    <w:rsid w:val="00A92EAD"/>
    <w:rsid w:val="00AE2A73"/>
    <w:rsid w:val="00AE58A1"/>
    <w:rsid w:val="00AF2129"/>
    <w:rsid w:val="00AF4C63"/>
    <w:rsid w:val="00B0561D"/>
    <w:rsid w:val="00B05D6A"/>
    <w:rsid w:val="00B66D00"/>
    <w:rsid w:val="00B714F9"/>
    <w:rsid w:val="00B82123"/>
    <w:rsid w:val="00C123AB"/>
    <w:rsid w:val="00C37291"/>
    <w:rsid w:val="00C5649D"/>
    <w:rsid w:val="00C83369"/>
    <w:rsid w:val="00CC6DA1"/>
    <w:rsid w:val="00CF348B"/>
    <w:rsid w:val="00D01D76"/>
    <w:rsid w:val="00D123DE"/>
    <w:rsid w:val="00D1669F"/>
    <w:rsid w:val="00D64384"/>
    <w:rsid w:val="00D71F18"/>
    <w:rsid w:val="00D720B4"/>
    <w:rsid w:val="00D74943"/>
    <w:rsid w:val="00DB25D9"/>
    <w:rsid w:val="00DC71BC"/>
    <w:rsid w:val="00DD0B6E"/>
    <w:rsid w:val="00DD6EFF"/>
    <w:rsid w:val="00E305DA"/>
    <w:rsid w:val="00E344AC"/>
    <w:rsid w:val="00E62BBD"/>
    <w:rsid w:val="00EA58D3"/>
    <w:rsid w:val="00EA7AC0"/>
    <w:rsid w:val="00EC0AA2"/>
    <w:rsid w:val="00EC432E"/>
    <w:rsid w:val="00F306DA"/>
    <w:rsid w:val="00F72000"/>
    <w:rsid w:val="00F9386A"/>
    <w:rsid w:val="00FB2D47"/>
    <w:rsid w:val="00FD5957"/>
    <w:rsid w:val="00FE484E"/>
    <w:rsid w:val="00FF7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60FA"/>
  <w15:chartTrackingRefBased/>
  <w15:docId w15:val="{C03902BD-6B3F-A346-82A1-6C11BD1F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346"/>
    <w:pPr>
      <w:spacing w:after="0" w:line="288" w:lineRule="auto"/>
    </w:pPr>
    <w:rPr>
      <w:rFonts w:ascii="Tahoma" w:eastAsia="Times New Roman" w:hAnsi="Tahoma" w:cs="Times New Roman"/>
      <w:sz w:val="20"/>
      <w:szCs w:val="24"/>
      <w:lang w:eastAsia="nl-NL"/>
    </w:rPr>
  </w:style>
  <w:style w:type="paragraph" w:styleId="Kop1">
    <w:name w:val="heading 1"/>
    <w:basedOn w:val="Standaard"/>
    <w:next w:val="Standaard"/>
    <w:link w:val="Kop1Char"/>
    <w:qFormat/>
    <w:rsid w:val="00FE484E"/>
    <w:pPr>
      <w:keepNext/>
      <w:numPr>
        <w:numId w:val="1"/>
      </w:numPr>
      <w:spacing w:line="312" w:lineRule="auto"/>
      <w:outlineLvl w:val="0"/>
    </w:pPr>
    <w:rPr>
      <w:b/>
      <w:bCs/>
      <w:caps/>
      <w:noProof/>
      <w:szCs w:val="20"/>
      <w:lang w:eastAsia="en-US"/>
    </w:rPr>
  </w:style>
  <w:style w:type="paragraph" w:styleId="Kop2">
    <w:name w:val="heading 2"/>
    <w:aliases w:val="2scr"/>
    <w:basedOn w:val="Standaard"/>
    <w:next w:val="Standaard"/>
    <w:link w:val="Kop2Char"/>
    <w:qFormat/>
    <w:rsid w:val="00FE484E"/>
    <w:pPr>
      <w:keepNext/>
      <w:numPr>
        <w:ilvl w:val="1"/>
        <w:numId w:val="1"/>
      </w:numPr>
      <w:spacing w:line="312" w:lineRule="auto"/>
      <w:outlineLvl w:val="1"/>
    </w:pPr>
    <w:rPr>
      <w:b/>
      <w:szCs w:val="20"/>
      <w:lang w:eastAsia="en-US"/>
    </w:rPr>
  </w:style>
  <w:style w:type="paragraph" w:styleId="Kop3">
    <w:name w:val="heading 3"/>
    <w:aliases w:val="3scr"/>
    <w:basedOn w:val="Standaard"/>
    <w:next w:val="Standaard"/>
    <w:link w:val="Kop3Char"/>
    <w:qFormat/>
    <w:rsid w:val="00FE484E"/>
    <w:pPr>
      <w:keepNext/>
      <w:numPr>
        <w:ilvl w:val="2"/>
        <w:numId w:val="1"/>
      </w:numPr>
      <w:outlineLvl w:val="2"/>
    </w:pPr>
    <w:rPr>
      <w:bCs/>
      <w:i/>
      <w:iCs/>
      <w:szCs w:val="20"/>
      <w:lang w:eastAsia="en-US"/>
    </w:rPr>
  </w:style>
  <w:style w:type="paragraph" w:styleId="Kop4">
    <w:name w:val="heading 4"/>
    <w:basedOn w:val="Standaard"/>
    <w:next w:val="Standaard"/>
    <w:link w:val="Kop4Char"/>
    <w:qFormat/>
    <w:rsid w:val="00FE484E"/>
    <w:pPr>
      <w:keepNext/>
      <w:numPr>
        <w:ilvl w:val="3"/>
        <w:numId w:val="1"/>
      </w:numPr>
      <w:spacing w:before="240" w:after="60"/>
      <w:outlineLvl w:val="3"/>
    </w:pPr>
    <w:rPr>
      <w:b/>
      <w:sz w:val="28"/>
      <w:szCs w:val="20"/>
      <w:lang w:eastAsia="en-US"/>
    </w:rPr>
  </w:style>
  <w:style w:type="paragraph" w:styleId="Kop5">
    <w:name w:val="heading 5"/>
    <w:basedOn w:val="Standaard"/>
    <w:next w:val="Standaard"/>
    <w:link w:val="Kop5Char"/>
    <w:qFormat/>
    <w:rsid w:val="00FE484E"/>
    <w:pPr>
      <w:numPr>
        <w:ilvl w:val="4"/>
        <w:numId w:val="1"/>
      </w:numPr>
      <w:spacing w:before="240" w:after="60"/>
      <w:outlineLvl w:val="4"/>
    </w:pPr>
    <w:rPr>
      <w:rFonts w:ascii="Arial" w:hAnsi="Arial"/>
      <w:b/>
      <w:i/>
      <w:sz w:val="26"/>
      <w:szCs w:val="20"/>
      <w:lang w:eastAsia="en-US"/>
    </w:rPr>
  </w:style>
  <w:style w:type="paragraph" w:styleId="Kop6">
    <w:name w:val="heading 6"/>
    <w:basedOn w:val="Standaard"/>
    <w:next w:val="Standaard"/>
    <w:link w:val="Kop6Char"/>
    <w:qFormat/>
    <w:rsid w:val="00FE484E"/>
    <w:pPr>
      <w:numPr>
        <w:ilvl w:val="5"/>
        <w:numId w:val="1"/>
      </w:numPr>
      <w:spacing w:before="240" w:after="60"/>
      <w:outlineLvl w:val="5"/>
    </w:pPr>
    <w:rPr>
      <w:rFonts w:ascii="Arial" w:hAnsi="Arial"/>
      <w:b/>
      <w:sz w:val="22"/>
      <w:szCs w:val="20"/>
      <w:lang w:eastAsia="en-US"/>
    </w:rPr>
  </w:style>
  <w:style w:type="paragraph" w:styleId="Kop7">
    <w:name w:val="heading 7"/>
    <w:basedOn w:val="Standaard"/>
    <w:next w:val="Standaard"/>
    <w:link w:val="Kop7Char"/>
    <w:qFormat/>
    <w:rsid w:val="00FE484E"/>
    <w:pPr>
      <w:numPr>
        <w:ilvl w:val="6"/>
        <w:numId w:val="1"/>
      </w:numPr>
      <w:spacing w:before="240" w:after="60"/>
      <w:outlineLvl w:val="6"/>
    </w:pPr>
    <w:rPr>
      <w:rFonts w:ascii="Arial" w:hAnsi="Arial"/>
      <w:szCs w:val="20"/>
      <w:lang w:eastAsia="en-US"/>
    </w:rPr>
  </w:style>
  <w:style w:type="paragraph" w:styleId="Kop8">
    <w:name w:val="heading 8"/>
    <w:basedOn w:val="Standaard"/>
    <w:next w:val="Standaard"/>
    <w:link w:val="Kop8Char"/>
    <w:qFormat/>
    <w:rsid w:val="00FE484E"/>
    <w:pPr>
      <w:numPr>
        <w:ilvl w:val="7"/>
        <w:numId w:val="1"/>
      </w:numPr>
      <w:spacing w:before="240" w:after="60"/>
      <w:outlineLvl w:val="7"/>
    </w:pPr>
    <w:rPr>
      <w:rFonts w:ascii="Arial" w:hAnsi="Arial"/>
      <w:i/>
      <w:szCs w:val="20"/>
      <w:lang w:eastAsia="en-US"/>
    </w:rPr>
  </w:style>
  <w:style w:type="paragraph" w:styleId="Kop9">
    <w:name w:val="heading 9"/>
    <w:basedOn w:val="Standaard"/>
    <w:next w:val="Standaard"/>
    <w:link w:val="Kop9Char"/>
    <w:qFormat/>
    <w:rsid w:val="00FE484E"/>
    <w:pPr>
      <w:numPr>
        <w:ilvl w:val="8"/>
        <w:numId w:val="1"/>
      </w:numPr>
      <w:spacing w:before="240" w:after="60"/>
      <w:outlineLvl w:val="8"/>
    </w:pPr>
    <w:rPr>
      <w:rFonts w:ascii="Arial" w:hAnsi="Arial"/>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E484E"/>
    <w:rPr>
      <w:rFonts w:ascii="Tahoma" w:eastAsia="Times New Roman" w:hAnsi="Tahoma" w:cs="Times New Roman"/>
      <w:b/>
      <w:bCs/>
      <w:caps/>
      <w:noProof/>
      <w:sz w:val="20"/>
      <w:szCs w:val="20"/>
    </w:rPr>
  </w:style>
  <w:style w:type="character" w:customStyle="1" w:styleId="Kop2Char">
    <w:name w:val="Kop 2 Char"/>
    <w:aliases w:val="2scr Char"/>
    <w:basedOn w:val="Standaardalinea-lettertype"/>
    <w:link w:val="Kop2"/>
    <w:rsid w:val="00FE484E"/>
    <w:rPr>
      <w:rFonts w:ascii="Tahoma" w:eastAsia="Times New Roman" w:hAnsi="Tahoma" w:cs="Times New Roman"/>
      <w:b/>
      <w:sz w:val="20"/>
      <w:szCs w:val="20"/>
    </w:rPr>
  </w:style>
  <w:style w:type="character" w:customStyle="1" w:styleId="Kop3Char">
    <w:name w:val="Kop 3 Char"/>
    <w:aliases w:val="3scr Char"/>
    <w:basedOn w:val="Standaardalinea-lettertype"/>
    <w:link w:val="Kop3"/>
    <w:rsid w:val="00FE484E"/>
    <w:rPr>
      <w:rFonts w:ascii="Tahoma" w:eastAsia="Times New Roman" w:hAnsi="Tahoma" w:cs="Times New Roman"/>
      <w:bCs/>
      <w:i/>
      <w:iCs/>
      <w:sz w:val="20"/>
      <w:szCs w:val="20"/>
    </w:rPr>
  </w:style>
  <w:style w:type="character" w:customStyle="1" w:styleId="Kop4Char">
    <w:name w:val="Kop 4 Char"/>
    <w:basedOn w:val="Standaardalinea-lettertype"/>
    <w:link w:val="Kop4"/>
    <w:rsid w:val="00FE484E"/>
    <w:rPr>
      <w:rFonts w:ascii="Tahoma" w:eastAsia="Times New Roman" w:hAnsi="Tahoma" w:cs="Times New Roman"/>
      <w:b/>
      <w:sz w:val="28"/>
      <w:szCs w:val="20"/>
    </w:rPr>
  </w:style>
  <w:style w:type="character" w:customStyle="1" w:styleId="Kop5Char">
    <w:name w:val="Kop 5 Char"/>
    <w:basedOn w:val="Standaardalinea-lettertype"/>
    <w:link w:val="Kop5"/>
    <w:rsid w:val="00FE484E"/>
    <w:rPr>
      <w:rFonts w:ascii="Arial" w:eastAsia="Times New Roman" w:hAnsi="Arial" w:cs="Times New Roman"/>
      <w:b/>
      <w:i/>
      <w:sz w:val="26"/>
      <w:szCs w:val="20"/>
    </w:rPr>
  </w:style>
  <w:style w:type="character" w:customStyle="1" w:styleId="Kop6Char">
    <w:name w:val="Kop 6 Char"/>
    <w:basedOn w:val="Standaardalinea-lettertype"/>
    <w:link w:val="Kop6"/>
    <w:rsid w:val="00FE484E"/>
    <w:rPr>
      <w:rFonts w:ascii="Arial" w:eastAsia="Times New Roman" w:hAnsi="Arial" w:cs="Times New Roman"/>
      <w:b/>
      <w:szCs w:val="20"/>
    </w:rPr>
  </w:style>
  <w:style w:type="character" w:customStyle="1" w:styleId="Kop7Char">
    <w:name w:val="Kop 7 Char"/>
    <w:basedOn w:val="Standaardalinea-lettertype"/>
    <w:link w:val="Kop7"/>
    <w:rsid w:val="00FE484E"/>
    <w:rPr>
      <w:rFonts w:ascii="Arial" w:eastAsia="Times New Roman" w:hAnsi="Arial" w:cs="Times New Roman"/>
      <w:sz w:val="20"/>
      <w:szCs w:val="20"/>
    </w:rPr>
  </w:style>
  <w:style w:type="character" w:customStyle="1" w:styleId="Kop8Char">
    <w:name w:val="Kop 8 Char"/>
    <w:basedOn w:val="Standaardalinea-lettertype"/>
    <w:link w:val="Kop8"/>
    <w:rsid w:val="00FE484E"/>
    <w:rPr>
      <w:rFonts w:ascii="Arial" w:eastAsia="Times New Roman" w:hAnsi="Arial" w:cs="Times New Roman"/>
      <w:i/>
      <w:sz w:val="20"/>
      <w:szCs w:val="20"/>
    </w:rPr>
  </w:style>
  <w:style w:type="character" w:customStyle="1" w:styleId="Kop9Char">
    <w:name w:val="Kop 9 Char"/>
    <w:basedOn w:val="Standaardalinea-lettertype"/>
    <w:link w:val="Kop9"/>
    <w:rsid w:val="00FE484E"/>
    <w:rPr>
      <w:rFonts w:ascii="Arial" w:eastAsia="Times New Roman" w:hAnsi="Arial" w:cs="Times New Roman"/>
      <w:szCs w:val="20"/>
    </w:rPr>
  </w:style>
  <w:style w:type="paragraph" w:styleId="Ballontekst">
    <w:name w:val="Balloon Text"/>
    <w:basedOn w:val="Standaard"/>
    <w:link w:val="BallontekstChar"/>
    <w:uiPriority w:val="99"/>
    <w:semiHidden/>
    <w:unhideWhenUsed/>
    <w:rsid w:val="00F9386A"/>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F9386A"/>
    <w:rPr>
      <w:rFonts w:ascii="Times New Roman" w:eastAsia="Times New Roman" w:hAnsi="Times New Roman" w:cs="Times New Roman"/>
      <w:sz w:val="18"/>
      <w:szCs w:val="18"/>
      <w:lang w:eastAsia="nl-NL"/>
    </w:rPr>
  </w:style>
  <w:style w:type="character" w:styleId="Verwijzingopmerking">
    <w:name w:val="annotation reference"/>
    <w:basedOn w:val="Standaardalinea-lettertype"/>
    <w:uiPriority w:val="99"/>
    <w:semiHidden/>
    <w:unhideWhenUsed/>
    <w:rsid w:val="001A5F46"/>
    <w:rPr>
      <w:sz w:val="16"/>
      <w:szCs w:val="16"/>
    </w:rPr>
  </w:style>
  <w:style w:type="paragraph" w:styleId="Tekstopmerking">
    <w:name w:val="annotation text"/>
    <w:basedOn w:val="Standaard"/>
    <w:link w:val="TekstopmerkingChar"/>
    <w:uiPriority w:val="99"/>
    <w:semiHidden/>
    <w:unhideWhenUsed/>
    <w:rsid w:val="001A5F46"/>
    <w:pPr>
      <w:spacing w:after="160" w:line="240" w:lineRule="auto"/>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semiHidden/>
    <w:rsid w:val="001A5F46"/>
    <w:rPr>
      <w:sz w:val="20"/>
      <w:szCs w:val="20"/>
    </w:rPr>
  </w:style>
  <w:style w:type="paragraph" w:styleId="Normaalweb">
    <w:name w:val="Normal (Web)"/>
    <w:basedOn w:val="Standaard"/>
    <w:uiPriority w:val="99"/>
    <w:unhideWhenUsed/>
    <w:rsid w:val="001252A9"/>
    <w:pPr>
      <w:spacing w:before="100" w:beforeAutospacing="1" w:after="100" w:afterAutospacing="1" w:line="240" w:lineRule="auto"/>
    </w:pPr>
    <w:rPr>
      <w:rFonts w:ascii="Times New Roman" w:hAnsi="Times New Roman"/>
      <w:sz w:val="24"/>
    </w:rPr>
  </w:style>
  <w:style w:type="paragraph" w:styleId="Koptekst">
    <w:name w:val="header"/>
    <w:basedOn w:val="Standaard"/>
    <w:link w:val="KoptekstChar"/>
    <w:uiPriority w:val="99"/>
    <w:unhideWhenUsed/>
    <w:rsid w:val="00F72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2000"/>
    <w:rPr>
      <w:rFonts w:ascii="Tahoma" w:eastAsia="Times New Roman" w:hAnsi="Tahoma" w:cs="Times New Roman"/>
      <w:sz w:val="20"/>
      <w:szCs w:val="24"/>
      <w:lang w:eastAsia="nl-NL"/>
    </w:rPr>
  </w:style>
  <w:style w:type="paragraph" w:styleId="Voettekst">
    <w:name w:val="footer"/>
    <w:basedOn w:val="Standaard"/>
    <w:link w:val="VoettekstChar"/>
    <w:uiPriority w:val="99"/>
    <w:unhideWhenUsed/>
    <w:rsid w:val="00F720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2000"/>
    <w:rPr>
      <w:rFonts w:ascii="Tahoma" w:eastAsia="Times New Roman" w:hAnsi="Tahoma" w:cs="Times New Roman"/>
      <w:sz w:val="20"/>
      <w:szCs w:val="24"/>
      <w:lang w:eastAsia="nl-NL"/>
    </w:rPr>
  </w:style>
  <w:style w:type="paragraph" w:styleId="Lijstalinea">
    <w:name w:val="List Paragraph"/>
    <w:basedOn w:val="Standaard"/>
    <w:uiPriority w:val="34"/>
    <w:qFormat/>
    <w:rsid w:val="00940B7F"/>
    <w:pPr>
      <w:ind w:left="720"/>
      <w:contextualSpacing/>
    </w:pPr>
  </w:style>
  <w:style w:type="character" w:styleId="Hyperlink">
    <w:name w:val="Hyperlink"/>
    <w:basedOn w:val="Standaardalinea-lettertype"/>
    <w:uiPriority w:val="99"/>
    <w:unhideWhenUsed/>
    <w:rsid w:val="00676DBC"/>
    <w:rPr>
      <w:color w:val="0563C1" w:themeColor="hyperlink"/>
      <w:u w:val="single"/>
    </w:rPr>
  </w:style>
  <w:style w:type="character" w:styleId="Onopgelostemelding">
    <w:name w:val="Unresolved Mention"/>
    <w:basedOn w:val="Standaardalinea-lettertype"/>
    <w:uiPriority w:val="99"/>
    <w:semiHidden/>
    <w:unhideWhenUsed/>
    <w:rsid w:val="00676DBC"/>
    <w:rPr>
      <w:color w:val="605E5C"/>
      <w:shd w:val="clear" w:color="auto" w:fill="E1DFDD"/>
    </w:rPr>
  </w:style>
  <w:style w:type="character" w:styleId="GevolgdeHyperlink">
    <w:name w:val="FollowedHyperlink"/>
    <w:basedOn w:val="Standaardalinea-lettertype"/>
    <w:uiPriority w:val="99"/>
    <w:semiHidden/>
    <w:unhideWhenUsed/>
    <w:rsid w:val="00AE58A1"/>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5E6296"/>
    <w:pPr>
      <w:spacing w:after="0"/>
    </w:pPr>
    <w:rPr>
      <w:rFonts w:ascii="Tahoma" w:eastAsia="Times New Roman" w:hAnsi="Tahoma" w:cs="Times New Roman"/>
      <w:b/>
      <w:bCs/>
      <w:lang w:eastAsia="nl-NL"/>
    </w:rPr>
  </w:style>
  <w:style w:type="character" w:customStyle="1" w:styleId="OnderwerpvanopmerkingChar">
    <w:name w:val="Onderwerp van opmerking Char"/>
    <w:basedOn w:val="TekstopmerkingChar"/>
    <w:link w:val="Onderwerpvanopmerking"/>
    <w:uiPriority w:val="99"/>
    <w:semiHidden/>
    <w:rsid w:val="005E6296"/>
    <w:rPr>
      <w:rFonts w:ascii="Tahoma" w:eastAsia="Times New Roman" w:hAnsi="Tahoma" w:cs="Times New Roman"/>
      <w:b/>
      <w:bCs/>
      <w:sz w:val="20"/>
      <w:szCs w:val="20"/>
      <w:lang w:eastAsia="nl-NL"/>
    </w:rPr>
  </w:style>
  <w:style w:type="paragraph" w:styleId="Revisie">
    <w:name w:val="Revision"/>
    <w:hidden/>
    <w:uiPriority w:val="99"/>
    <w:semiHidden/>
    <w:rsid w:val="00D123DE"/>
    <w:pPr>
      <w:spacing w:after="0" w:line="240" w:lineRule="auto"/>
    </w:pPr>
    <w:rPr>
      <w:rFonts w:ascii="Tahoma" w:eastAsia="Times New Roman" w:hAnsi="Tahoma"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6294">
      <w:bodyDiv w:val="1"/>
      <w:marLeft w:val="0"/>
      <w:marRight w:val="0"/>
      <w:marTop w:val="0"/>
      <w:marBottom w:val="0"/>
      <w:divBdr>
        <w:top w:val="none" w:sz="0" w:space="0" w:color="auto"/>
        <w:left w:val="none" w:sz="0" w:space="0" w:color="auto"/>
        <w:bottom w:val="none" w:sz="0" w:space="0" w:color="auto"/>
        <w:right w:val="none" w:sz="0" w:space="0" w:color="auto"/>
      </w:divBdr>
    </w:div>
    <w:div w:id="165751033">
      <w:bodyDiv w:val="1"/>
      <w:marLeft w:val="0"/>
      <w:marRight w:val="0"/>
      <w:marTop w:val="0"/>
      <w:marBottom w:val="0"/>
      <w:divBdr>
        <w:top w:val="none" w:sz="0" w:space="0" w:color="auto"/>
        <w:left w:val="none" w:sz="0" w:space="0" w:color="auto"/>
        <w:bottom w:val="none" w:sz="0" w:space="0" w:color="auto"/>
        <w:right w:val="none" w:sz="0" w:space="0" w:color="auto"/>
      </w:divBdr>
      <w:divsChild>
        <w:div w:id="636571127">
          <w:marLeft w:val="0"/>
          <w:marRight w:val="0"/>
          <w:marTop w:val="0"/>
          <w:marBottom w:val="0"/>
          <w:divBdr>
            <w:top w:val="none" w:sz="0" w:space="0" w:color="auto"/>
            <w:left w:val="none" w:sz="0" w:space="0" w:color="auto"/>
            <w:bottom w:val="none" w:sz="0" w:space="0" w:color="auto"/>
            <w:right w:val="none" w:sz="0" w:space="0" w:color="auto"/>
          </w:divBdr>
          <w:divsChild>
            <w:div w:id="1466855806">
              <w:marLeft w:val="0"/>
              <w:marRight w:val="0"/>
              <w:marTop w:val="0"/>
              <w:marBottom w:val="0"/>
              <w:divBdr>
                <w:top w:val="none" w:sz="0" w:space="0" w:color="auto"/>
                <w:left w:val="none" w:sz="0" w:space="0" w:color="auto"/>
                <w:bottom w:val="none" w:sz="0" w:space="0" w:color="auto"/>
                <w:right w:val="none" w:sz="0" w:space="0" w:color="auto"/>
              </w:divBdr>
              <w:divsChild>
                <w:div w:id="633100910">
                  <w:marLeft w:val="0"/>
                  <w:marRight w:val="0"/>
                  <w:marTop w:val="0"/>
                  <w:marBottom w:val="0"/>
                  <w:divBdr>
                    <w:top w:val="none" w:sz="0" w:space="0" w:color="auto"/>
                    <w:left w:val="none" w:sz="0" w:space="0" w:color="auto"/>
                    <w:bottom w:val="none" w:sz="0" w:space="0" w:color="auto"/>
                    <w:right w:val="none" w:sz="0" w:space="0" w:color="auto"/>
                  </w:divBdr>
                  <w:divsChild>
                    <w:div w:id="16544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4354">
      <w:bodyDiv w:val="1"/>
      <w:marLeft w:val="0"/>
      <w:marRight w:val="0"/>
      <w:marTop w:val="0"/>
      <w:marBottom w:val="0"/>
      <w:divBdr>
        <w:top w:val="none" w:sz="0" w:space="0" w:color="auto"/>
        <w:left w:val="none" w:sz="0" w:space="0" w:color="auto"/>
        <w:bottom w:val="none" w:sz="0" w:space="0" w:color="auto"/>
        <w:right w:val="none" w:sz="0" w:space="0" w:color="auto"/>
      </w:divBdr>
      <w:divsChild>
        <w:div w:id="939872939">
          <w:marLeft w:val="0"/>
          <w:marRight w:val="0"/>
          <w:marTop w:val="0"/>
          <w:marBottom w:val="0"/>
          <w:divBdr>
            <w:top w:val="none" w:sz="0" w:space="0" w:color="auto"/>
            <w:left w:val="none" w:sz="0" w:space="0" w:color="auto"/>
            <w:bottom w:val="none" w:sz="0" w:space="0" w:color="auto"/>
            <w:right w:val="none" w:sz="0" w:space="0" w:color="auto"/>
          </w:divBdr>
          <w:divsChild>
            <w:div w:id="2022317159">
              <w:marLeft w:val="0"/>
              <w:marRight w:val="0"/>
              <w:marTop w:val="0"/>
              <w:marBottom w:val="0"/>
              <w:divBdr>
                <w:top w:val="none" w:sz="0" w:space="0" w:color="auto"/>
                <w:left w:val="none" w:sz="0" w:space="0" w:color="auto"/>
                <w:bottom w:val="none" w:sz="0" w:space="0" w:color="auto"/>
                <w:right w:val="none" w:sz="0" w:space="0" w:color="auto"/>
              </w:divBdr>
              <w:divsChild>
                <w:div w:id="1132794821">
                  <w:marLeft w:val="0"/>
                  <w:marRight w:val="0"/>
                  <w:marTop w:val="0"/>
                  <w:marBottom w:val="0"/>
                  <w:divBdr>
                    <w:top w:val="none" w:sz="0" w:space="0" w:color="auto"/>
                    <w:left w:val="none" w:sz="0" w:space="0" w:color="auto"/>
                    <w:bottom w:val="none" w:sz="0" w:space="0" w:color="auto"/>
                    <w:right w:val="none" w:sz="0" w:space="0" w:color="auto"/>
                  </w:divBdr>
                  <w:divsChild>
                    <w:div w:id="20662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743419">
      <w:bodyDiv w:val="1"/>
      <w:marLeft w:val="0"/>
      <w:marRight w:val="0"/>
      <w:marTop w:val="0"/>
      <w:marBottom w:val="0"/>
      <w:divBdr>
        <w:top w:val="none" w:sz="0" w:space="0" w:color="auto"/>
        <w:left w:val="none" w:sz="0" w:space="0" w:color="auto"/>
        <w:bottom w:val="none" w:sz="0" w:space="0" w:color="auto"/>
        <w:right w:val="none" w:sz="0" w:space="0" w:color="auto"/>
      </w:divBdr>
      <w:divsChild>
        <w:div w:id="703755423">
          <w:marLeft w:val="0"/>
          <w:marRight w:val="0"/>
          <w:marTop w:val="0"/>
          <w:marBottom w:val="0"/>
          <w:divBdr>
            <w:top w:val="none" w:sz="0" w:space="0" w:color="auto"/>
            <w:left w:val="none" w:sz="0" w:space="0" w:color="auto"/>
            <w:bottom w:val="none" w:sz="0" w:space="0" w:color="auto"/>
            <w:right w:val="none" w:sz="0" w:space="0" w:color="auto"/>
          </w:divBdr>
          <w:divsChild>
            <w:div w:id="591202272">
              <w:marLeft w:val="0"/>
              <w:marRight w:val="0"/>
              <w:marTop w:val="0"/>
              <w:marBottom w:val="0"/>
              <w:divBdr>
                <w:top w:val="none" w:sz="0" w:space="0" w:color="auto"/>
                <w:left w:val="none" w:sz="0" w:space="0" w:color="auto"/>
                <w:bottom w:val="none" w:sz="0" w:space="0" w:color="auto"/>
                <w:right w:val="none" w:sz="0" w:space="0" w:color="auto"/>
              </w:divBdr>
              <w:divsChild>
                <w:div w:id="262882213">
                  <w:marLeft w:val="0"/>
                  <w:marRight w:val="0"/>
                  <w:marTop w:val="0"/>
                  <w:marBottom w:val="0"/>
                  <w:divBdr>
                    <w:top w:val="none" w:sz="0" w:space="0" w:color="auto"/>
                    <w:left w:val="none" w:sz="0" w:space="0" w:color="auto"/>
                    <w:bottom w:val="none" w:sz="0" w:space="0" w:color="auto"/>
                    <w:right w:val="none" w:sz="0" w:space="0" w:color="auto"/>
                  </w:divBdr>
                  <w:divsChild>
                    <w:div w:id="6973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53620">
      <w:bodyDiv w:val="1"/>
      <w:marLeft w:val="0"/>
      <w:marRight w:val="0"/>
      <w:marTop w:val="0"/>
      <w:marBottom w:val="0"/>
      <w:divBdr>
        <w:top w:val="none" w:sz="0" w:space="0" w:color="auto"/>
        <w:left w:val="none" w:sz="0" w:space="0" w:color="auto"/>
        <w:bottom w:val="none" w:sz="0" w:space="0" w:color="auto"/>
        <w:right w:val="none" w:sz="0" w:space="0" w:color="auto"/>
      </w:divBdr>
    </w:div>
    <w:div w:id="734745960">
      <w:bodyDiv w:val="1"/>
      <w:marLeft w:val="0"/>
      <w:marRight w:val="0"/>
      <w:marTop w:val="0"/>
      <w:marBottom w:val="0"/>
      <w:divBdr>
        <w:top w:val="none" w:sz="0" w:space="0" w:color="auto"/>
        <w:left w:val="none" w:sz="0" w:space="0" w:color="auto"/>
        <w:bottom w:val="none" w:sz="0" w:space="0" w:color="auto"/>
        <w:right w:val="none" w:sz="0" w:space="0" w:color="auto"/>
      </w:divBdr>
    </w:div>
    <w:div w:id="816725902">
      <w:bodyDiv w:val="1"/>
      <w:marLeft w:val="0"/>
      <w:marRight w:val="0"/>
      <w:marTop w:val="0"/>
      <w:marBottom w:val="0"/>
      <w:divBdr>
        <w:top w:val="none" w:sz="0" w:space="0" w:color="auto"/>
        <w:left w:val="none" w:sz="0" w:space="0" w:color="auto"/>
        <w:bottom w:val="none" w:sz="0" w:space="0" w:color="auto"/>
        <w:right w:val="none" w:sz="0" w:space="0" w:color="auto"/>
      </w:divBdr>
      <w:divsChild>
        <w:div w:id="1380517216">
          <w:marLeft w:val="0"/>
          <w:marRight w:val="0"/>
          <w:marTop w:val="0"/>
          <w:marBottom w:val="0"/>
          <w:divBdr>
            <w:top w:val="none" w:sz="0" w:space="0" w:color="auto"/>
            <w:left w:val="none" w:sz="0" w:space="0" w:color="auto"/>
            <w:bottom w:val="none" w:sz="0" w:space="0" w:color="auto"/>
            <w:right w:val="none" w:sz="0" w:space="0" w:color="auto"/>
          </w:divBdr>
          <w:divsChild>
            <w:div w:id="1552692627">
              <w:marLeft w:val="0"/>
              <w:marRight w:val="0"/>
              <w:marTop w:val="0"/>
              <w:marBottom w:val="0"/>
              <w:divBdr>
                <w:top w:val="none" w:sz="0" w:space="0" w:color="auto"/>
                <w:left w:val="none" w:sz="0" w:space="0" w:color="auto"/>
                <w:bottom w:val="none" w:sz="0" w:space="0" w:color="auto"/>
                <w:right w:val="none" w:sz="0" w:space="0" w:color="auto"/>
              </w:divBdr>
              <w:divsChild>
                <w:div w:id="1171333391">
                  <w:marLeft w:val="0"/>
                  <w:marRight w:val="0"/>
                  <w:marTop w:val="0"/>
                  <w:marBottom w:val="0"/>
                  <w:divBdr>
                    <w:top w:val="none" w:sz="0" w:space="0" w:color="auto"/>
                    <w:left w:val="none" w:sz="0" w:space="0" w:color="auto"/>
                    <w:bottom w:val="none" w:sz="0" w:space="0" w:color="auto"/>
                    <w:right w:val="none" w:sz="0" w:space="0" w:color="auto"/>
                  </w:divBdr>
                  <w:divsChild>
                    <w:div w:id="1868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7256">
      <w:bodyDiv w:val="1"/>
      <w:marLeft w:val="0"/>
      <w:marRight w:val="0"/>
      <w:marTop w:val="0"/>
      <w:marBottom w:val="0"/>
      <w:divBdr>
        <w:top w:val="none" w:sz="0" w:space="0" w:color="auto"/>
        <w:left w:val="none" w:sz="0" w:space="0" w:color="auto"/>
        <w:bottom w:val="none" w:sz="0" w:space="0" w:color="auto"/>
        <w:right w:val="none" w:sz="0" w:space="0" w:color="auto"/>
      </w:divBdr>
    </w:div>
    <w:div w:id="1008799831">
      <w:bodyDiv w:val="1"/>
      <w:marLeft w:val="0"/>
      <w:marRight w:val="0"/>
      <w:marTop w:val="0"/>
      <w:marBottom w:val="0"/>
      <w:divBdr>
        <w:top w:val="none" w:sz="0" w:space="0" w:color="auto"/>
        <w:left w:val="none" w:sz="0" w:space="0" w:color="auto"/>
        <w:bottom w:val="none" w:sz="0" w:space="0" w:color="auto"/>
        <w:right w:val="none" w:sz="0" w:space="0" w:color="auto"/>
      </w:divBdr>
      <w:divsChild>
        <w:div w:id="1673024923">
          <w:marLeft w:val="0"/>
          <w:marRight w:val="0"/>
          <w:marTop w:val="0"/>
          <w:marBottom w:val="0"/>
          <w:divBdr>
            <w:top w:val="none" w:sz="0" w:space="0" w:color="auto"/>
            <w:left w:val="none" w:sz="0" w:space="0" w:color="auto"/>
            <w:bottom w:val="none" w:sz="0" w:space="0" w:color="auto"/>
            <w:right w:val="none" w:sz="0" w:space="0" w:color="auto"/>
          </w:divBdr>
          <w:divsChild>
            <w:div w:id="696345716">
              <w:marLeft w:val="0"/>
              <w:marRight w:val="0"/>
              <w:marTop w:val="0"/>
              <w:marBottom w:val="0"/>
              <w:divBdr>
                <w:top w:val="none" w:sz="0" w:space="0" w:color="auto"/>
                <w:left w:val="none" w:sz="0" w:space="0" w:color="auto"/>
                <w:bottom w:val="none" w:sz="0" w:space="0" w:color="auto"/>
                <w:right w:val="none" w:sz="0" w:space="0" w:color="auto"/>
              </w:divBdr>
              <w:divsChild>
                <w:div w:id="13273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9489">
      <w:bodyDiv w:val="1"/>
      <w:marLeft w:val="0"/>
      <w:marRight w:val="0"/>
      <w:marTop w:val="0"/>
      <w:marBottom w:val="0"/>
      <w:divBdr>
        <w:top w:val="none" w:sz="0" w:space="0" w:color="auto"/>
        <w:left w:val="none" w:sz="0" w:space="0" w:color="auto"/>
        <w:bottom w:val="none" w:sz="0" w:space="0" w:color="auto"/>
        <w:right w:val="none" w:sz="0" w:space="0" w:color="auto"/>
      </w:divBdr>
      <w:divsChild>
        <w:div w:id="1042751639">
          <w:marLeft w:val="0"/>
          <w:marRight w:val="0"/>
          <w:marTop w:val="0"/>
          <w:marBottom w:val="0"/>
          <w:divBdr>
            <w:top w:val="none" w:sz="0" w:space="0" w:color="auto"/>
            <w:left w:val="none" w:sz="0" w:space="0" w:color="auto"/>
            <w:bottom w:val="none" w:sz="0" w:space="0" w:color="auto"/>
            <w:right w:val="none" w:sz="0" w:space="0" w:color="auto"/>
          </w:divBdr>
          <w:divsChild>
            <w:div w:id="1134329713">
              <w:marLeft w:val="0"/>
              <w:marRight w:val="0"/>
              <w:marTop w:val="0"/>
              <w:marBottom w:val="0"/>
              <w:divBdr>
                <w:top w:val="none" w:sz="0" w:space="0" w:color="auto"/>
                <w:left w:val="none" w:sz="0" w:space="0" w:color="auto"/>
                <w:bottom w:val="none" w:sz="0" w:space="0" w:color="auto"/>
                <w:right w:val="none" w:sz="0" w:space="0" w:color="auto"/>
              </w:divBdr>
              <w:divsChild>
                <w:div w:id="781846066">
                  <w:marLeft w:val="0"/>
                  <w:marRight w:val="0"/>
                  <w:marTop w:val="0"/>
                  <w:marBottom w:val="0"/>
                  <w:divBdr>
                    <w:top w:val="none" w:sz="0" w:space="0" w:color="auto"/>
                    <w:left w:val="none" w:sz="0" w:space="0" w:color="auto"/>
                    <w:bottom w:val="none" w:sz="0" w:space="0" w:color="auto"/>
                    <w:right w:val="none" w:sz="0" w:space="0" w:color="auto"/>
                  </w:divBdr>
                  <w:divsChild>
                    <w:div w:id="21450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59616">
      <w:bodyDiv w:val="1"/>
      <w:marLeft w:val="0"/>
      <w:marRight w:val="0"/>
      <w:marTop w:val="0"/>
      <w:marBottom w:val="0"/>
      <w:divBdr>
        <w:top w:val="none" w:sz="0" w:space="0" w:color="auto"/>
        <w:left w:val="none" w:sz="0" w:space="0" w:color="auto"/>
        <w:bottom w:val="none" w:sz="0" w:space="0" w:color="auto"/>
        <w:right w:val="none" w:sz="0" w:space="0" w:color="auto"/>
      </w:divBdr>
      <w:divsChild>
        <w:div w:id="2081441622">
          <w:marLeft w:val="0"/>
          <w:marRight w:val="0"/>
          <w:marTop w:val="0"/>
          <w:marBottom w:val="0"/>
          <w:divBdr>
            <w:top w:val="none" w:sz="0" w:space="0" w:color="auto"/>
            <w:left w:val="none" w:sz="0" w:space="0" w:color="auto"/>
            <w:bottom w:val="none" w:sz="0" w:space="0" w:color="auto"/>
            <w:right w:val="none" w:sz="0" w:space="0" w:color="auto"/>
          </w:divBdr>
          <w:divsChild>
            <w:div w:id="752749495">
              <w:marLeft w:val="0"/>
              <w:marRight w:val="0"/>
              <w:marTop w:val="0"/>
              <w:marBottom w:val="0"/>
              <w:divBdr>
                <w:top w:val="none" w:sz="0" w:space="0" w:color="auto"/>
                <w:left w:val="none" w:sz="0" w:space="0" w:color="auto"/>
                <w:bottom w:val="none" w:sz="0" w:space="0" w:color="auto"/>
                <w:right w:val="none" w:sz="0" w:space="0" w:color="auto"/>
              </w:divBdr>
              <w:divsChild>
                <w:div w:id="679161934">
                  <w:marLeft w:val="0"/>
                  <w:marRight w:val="0"/>
                  <w:marTop w:val="0"/>
                  <w:marBottom w:val="0"/>
                  <w:divBdr>
                    <w:top w:val="none" w:sz="0" w:space="0" w:color="auto"/>
                    <w:left w:val="none" w:sz="0" w:space="0" w:color="auto"/>
                    <w:bottom w:val="none" w:sz="0" w:space="0" w:color="auto"/>
                    <w:right w:val="none" w:sz="0" w:space="0" w:color="auto"/>
                  </w:divBdr>
                  <w:divsChild>
                    <w:div w:id="18734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8879">
      <w:bodyDiv w:val="1"/>
      <w:marLeft w:val="0"/>
      <w:marRight w:val="0"/>
      <w:marTop w:val="0"/>
      <w:marBottom w:val="0"/>
      <w:divBdr>
        <w:top w:val="none" w:sz="0" w:space="0" w:color="auto"/>
        <w:left w:val="none" w:sz="0" w:space="0" w:color="auto"/>
        <w:bottom w:val="none" w:sz="0" w:space="0" w:color="auto"/>
        <w:right w:val="none" w:sz="0" w:space="0" w:color="auto"/>
      </w:divBdr>
    </w:div>
    <w:div w:id="1564832841">
      <w:bodyDiv w:val="1"/>
      <w:marLeft w:val="0"/>
      <w:marRight w:val="0"/>
      <w:marTop w:val="0"/>
      <w:marBottom w:val="0"/>
      <w:divBdr>
        <w:top w:val="none" w:sz="0" w:space="0" w:color="auto"/>
        <w:left w:val="none" w:sz="0" w:space="0" w:color="auto"/>
        <w:bottom w:val="none" w:sz="0" w:space="0" w:color="auto"/>
        <w:right w:val="none" w:sz="0" w:space="0" w:color="auto"/>
      </w:divBdr>
    </w:div>
    <w:div w:id="1901208324">
      <w:bodyDiv w:val="1"/>
      <w:marLeft w:val="0"/>
      <w:marRight w:val="0"/>
      <w:marTop w:val="0"/>
      <w:marBottom w:val="0"/>
      <w:divBdr>
        <w:top w:val="none" w:sz="0" w:space="0" w:color="auto"/>
        <w:left w:val="none" w:sz="0" w:space="0" w:color="auto"/>
        <w:bottom w:val="none" w:sz="0" w:space="0" w:color="auto"/>
        <w:right w:val="none" w:sz="0" w:space="0" w:color="auto"/>
      </w:divBdr>
      <w:divsChild>
        <w:div w:id="1445925732">
          <w:marLeft w:val="0"/>
          <w:marRight w:val="0"/>
          <w:marTop w:val="0"/>
          <w:marBottom w:val="0"/>
          <w:divBdr>
            <w:top w:val="none" w:sz="0" w:space="0" w:color="auto"/>
            <w:left w:val="none" w:sz="0" w:space="0" w:color="auto"/>
            <w:bottom w:val="none" w:sz="0" w:space="0" w:color="auto"/>
            <w:right w:val="none" w:sz="0" w:space="0" w:color="auto"/>
          </w:divBdr>
          <w:divsChild>
            <w:div w:id="394159083">
              <w:marLeft w:val="0"/>
              <w:marRight w:val="0"/>
              <w:marTop w:val="0"/>
              <w:marBottom w:val="0"/>
              <w:divBdr>
                <w:top w:val="none" w:sz="0" w:space="0" w:color="auto"/>
                <w:left w:val="none" w:sz="0" w:space="0" w:color="auto"/>
                <w:bottom w:val="none" w:sz="0" w:space="0" w:color="auto"/>
                <w:right w:val="none" w:sz="0" w:space="0" w:color="auto"/>
              </w:divBdr>
              <w:divsChild>
                <w:div w:id="16954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648">
      <w:bodyDiv w:val="1"/>
      <w:marLeft w:val="0"/>
      <w:marRight w:val="0"/>
      <w:marTop w:val="0"/>
      <w:marBottom w:val="0"/>
      <w:divBdr>
        <w:top w:val="none" w:sz="0" w:space="0" w:color="auto"/>
        <w:left w:val="none" w:sz="0" w:space="0" w:color="auto"/>
        <w:bottom w:val="none" w:sz="0" w:space="0" w:color="auto"/>
        <w:right w:val="none" w:sz="0" w:space="0" w:color="auto"/>
      </w:divBdr>
    </w:div>
    <w:div w:id="2057928680">
      <w:bodyDiv w:val="1"/>
      <w:marLeft w:val="0"/>
      <w:marRight w:val="0"/>
      <w:marTop w:val="0"/>
      <w:marBottom w:val="0"/>
      <w:divBdr>
        <w:top w:val="none" w:sz="0" w:space="0" w:color="auto"/>
        <w:left w:val="none" w:sz="0" w:space="0" w:color="auto"/>
        <w:bottom w:val="none" w:sz="0" w:space="0" w:color="auto"/>
        <w:right w:val="none" w:sz="0" w:space="0" w:color="auto"/>
      </w:divBdr>
      <w:divsChild>
        <w:div w:id="1164247083">
          <w:marLeft w:val="0"/>
          <w:marRight w:val="0"/>
          <w:marTop w:val="0"/>
          <w:marBottom w:val="0"/>
          <w:divBdr>
            <w:top w:val="none" w:sz="0" w:space="0" w:color="auto"/>
            <w:left w:val="none" w:sz="0" w:space="0" w:color="auto"/>
            <w:bottom w:val="none" w:sz="0" w:space="0" w:color="auto"/>
            <w:right w:val="none" w:sz="0" w:space="0" w:color="auto"/>
          </w:divBdr>
          <w:divsChild>
            <w:div w:id="1568419685">
              <w:marLeft w:val="0"/>
              <w:marRight w:val="0"/>
              <w:marTop w:val="0"/>
              <w:marBottom w:val="0"/>
              <w:divBdr>
                <w:top w:val="none" w:sz="0" w:space="0" w:color="auto"/>
                <w:left w:val="none" w:sz="0" w:space="0" w:color="auto"/>
                <w:bottom w:val="none" w:sz="0" w:space="0" w:color="auto"/>
                <w:right w:val="none" w:sz="0" w:space="0" w:color="auto"/>
              </w:divBdr>
              <w:divsChild>
                <w:div w:id="14601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pac.sm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1208</Words>
  <Characters>6650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Bijlage C Programma van eisen</vt:lpstr>
    </vt:vector>
  </TitlesOfParts>
  <Manager/>
  <Company>Inkoopcentrum Zuid</Company>
  <LinksUpToDate>false</LinksUpToDate>
  <CharactersWithSpaces>7843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Programma van eisen</dc:title>
  <dc:subject/>
  <dc:creator>Jac Wijnands</dc:creator>
  <cp:keywords/>
  <dc:description>22-01-03</dc:description>
  <cp:lastModifiedBy>Jac Wijnands</cp:lastModifiedBy>
  <cp:revision>15</cp:revision>
  <dcterms:created xsi:type="dcterms:W3CDTF">2022-02-17T13:58:00Z</dcterms:created>
  <dcterms:modified xsi:type="dcterms:W3CDTF">2022-02-25T10:12:00Z</dcterms:modified>
  <cp:category/>
</cp:coreProperties>
</file>