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89084" w14:textId="26075C46" w:rsidR="00F1235F" w:rsidRPr="00A31973" w:rsidRDefault="00F1235F" w:rsidP="00EF0099">
      <w:pPr>
        <w:pStyle w:val="Bijlageaangepast"/>
        <w:numPr>
          <w:ilvl w:val="0"/>
          <w:numId w:val="0"/>
        </w:numPr>
        <w:ind w:firstLine="720"/>
      </w:pPr>
      <w:bookmarkStart w:id="0" w:name="_Toc96511788"/>
      <w:r>
        <w:t>Nota van Inlichtingen</w:t>
      </w:r>
      <w:bookmarkEnd w:id="0"/>
      <w:r>
        <w:t xml:space="preserve"> 2</w:t>
      </w:r>
    </w:p>
    <w:tbl>
      <w:tblPr>
        <w:tblW w:w="13495" w:type="dxa"/>
        <w:tblInd w:w="1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1718"/>
        <w:gridCol w:w="4761"/>
        <w:gridCol w:w="6520"/>
      </w:tblGrid>
      <w:tr w:rsidR="00F1235F" w:rsidRPr="00731A6E" w14:paraId="79CFC632" w14:textId="77777777" w:rsidTr="00B53A02">
        <w:tc>
          <w:tcPr>
            <w:tcW w:w="496" w:type="dxa"/>
            <w:tcBorders>
              <w:left w:val="single" w:sz="4" w:space="0" w:color="auto"/>
            </w:tcBorders>
            <w:shd w:val="clear" w:color="auto" w:fill="44546A" w:themeFill="text2"/>
          </w:tcPr>
          <w:p w14:paraId="5D3F5EEB" w14:textId="77777777" w:rsidR="00F1235F" w:rsidRPr="00B443C7" w:rsidRDefault="00F1235F" w:rsidP="00D551FF">
            <w:pPr>
              <w:pStyle w:val="gemeentewageningen"/>
              <w:rPr>
                <w:b/>
                <w:color w:val="FFFFFF" w:themeColor="background1"/>
                <w:sz w:val="18"/>
                <w:szCs w:val="18"/>
              </w:rPr>
            </w:pPr>
            <w:proofErr w:type="spellStart"/>
            <w:r w:rsidRPr="00B443C7">
              <w:rPr>
                <w:b/>
                <w:color w:val="FFFFFF" w:themeColor="background1"/>
                <w:sz w:val="18"/>
                <w:szCs w:val="18"/>
              </w:rPr>
              <w:t>Nr</w:t>
            </w:r>
            <w:proofErr w:type="spellEnd"/>
          </w:p>
        </w:tc>
        <w:tc>
          <w:tcPr>
            <w:tcW w:w="1718" w:type="dxa"/>
            <w:shd w:val="clear" w:color="auto" w:fill="44546A" w:themeFill="text2"/>
          </w:tcPr>
          <w:p w14:paraId="63294B5D" w14:textId="77777777" w:rsidR="00F1235F" w:rsidRPr="00B443C7" w:rsidRDefault="00F1235F" w:rsidP="00D551FF">
            <w:pPr>
              <w:pStyle w:val="gemeentewageningen"/>
              <w:rPr>
                <w:b/>
                <w:color w:val="FFFFFF" w:themeColor="background1"/>
                <w:sz w:val="18"/>
                <w:szCs w:val="18"/>
              </w:rPr>
            </w:pPr>
            <w:r w:rsidRPr="00B443C7">
              <w:rPr>
                <w:b/>
                <w:color w:val="FFFFFF" w:themeColor="background1"/>
                <w:sz w:val="18"/>
                <w:szCs w:val="18"/>
              </w:rPr>
              <w:t>Verwijzing (document/ tekst/paragraaf)</w:t>
            </w:r>
          </w:p>
        </w:tc>
        <w:tc>
          <w:tcPr>
            <w:tcW w:w="4761" w:type="dxa"/>
            <w:shd w:val="clear" w:color="auto" w:fill="44546A" w:themeFill="text2"/>
          </w:tcPr>
          <w:p w14:paraId="423D2180" w14:textId="77777777" w:rsidR="00F1235F" w:rsidRPr="00B443C7" w:rsidRDefault="00F1235F" w:rsidP="00D551FF">
            <w:pPr>
              <w:pStyle w:val="gemeentewageningen"/>
              <w:rPr>
                <w:rFonts w:cs="Arial"/>
                <w:b/>
                <w:color w:val="FFFFFF" w:themeColor="background1"/>
                <w:sz w:val="18"/>
                <w:szCs w:val="18"/>
              </w:rPr>
            </w:pPr>
            <w:r w:rsidRPr="00B443C7">
              <w:rPr>
                <w:rFonts w:cs="Arial"/>
                <w:b/>
                <w:color w:val="FFFFFF" w:themeColor="background1"/>
                <w:sz w:val="18"/>
                <w:szCs w:val="18"/>
              </w:rPr>
              <w:t>Vraag</w:t>
            </w:r>
          </w:p>
        </w:tc>
        <w:tc>
          <w:tcPr>
            <w:tcW w:w="6520" w:type="dxa"/>
            <w:tcBorders>
              <w:right w:val="single" w:sz="4" w:space="0" w:color="auto"/>
            </w:tcBorders>
            <w:shd w:val="clear" w:color="auto" w:fill="44546A" w:themeFill="text2"/>
          </w:tcPr>
          <w:p w14:paraId="3E3B08DC" w14:textId="77777777" w:rsidR="00F1235F" w:rsidRPr="00B443C7" w:rsidRDefault="00F1235F" w:rsidP="00D551FF">
            <w:pPr>
              <w:pStyle w:val="gemeentewageningen"/>
              <w:rPr>
                <w:rFonts w:cs="Arial"/>
                <w:b/>
                <w:color w:val="FFFFFF" w:themeColor="background1"/>
                <w:sz w:val="18"/>
                <w:szCs w:val="18"/>
              </w:rPr>
            </w:pPr>
            <w:r w:rsidRPr="00B443C7">
              <w:rPr>
                <w:rFonts w:cs="Arial"/>
                <w:b/>
                <w:color w:val="FFFFFF" w:themeColor="background1"/>
                <w:sz w:val="18"/>
                <w:szCs w:val="18"/>
              </w:rPr>
              <w:t>Antwoord</w:t>
            </w:r>
          </w:p>
        </w:tc>
      </w:tr>
      <w:tr w:rsidR="00F1235F" w:rsidRPr="00731A6E" w14:paraId="0DCE35EF" w14:textId="77777777" w:rsidTr="00B53A02">
        <w:tc>
          <w:tcPr>
            <w:tcW w:w="496" w:type="dxa"/>
            <w:tcBorders>
              <w:left w:val="single" w:sz="4" w:space="0" w:color="auto"/>
            </w:tcBorders>
          </w:tcPr>
          <w:p w14:paraId="32F36A0B" w14:textId="77777777" w:rsidR="00F1235F" w:rsidRPr="00731A6E" w:rsidRDefault="00F1235F" w:rsidP="00D551FF">
            <w:pPr>
              <w:pStyle w:val="gemeentewageningen"/>
              <w:rPr>
                <w:sz w:val="18"/>
                <w:szCs w:val="18"/>
              </w:rPr>
            </w:pPr>
            <w:r w:rsidRPr="00731A6E">
              <w:rPr>
                <w:sz w:val="18"/>
                <w:szCs w:val="18"/>
              </w:rPr>
              <w:t>1</w:t>
            </w:r>
          </w:p>
        </w:tc>
        <w:tc>
          <w:tcPr>
            <w:tcW w:w="1718" w:type="dxa"/>
          </w:tcPr>
          <w:p w14:paraId="3F3807D4" w14:textId="77777777" w:rsidR="00F1235F" w:rsidRPr="00731A6E" w:rsidRDefault="003F525F" w:rsidP="00D551FF">
            <w:pPr>
              <w:pStyle w:val="gemeentewageningen"/>
              <w:rPr>
                <w:sz w:val="18"/>
                <w:szCs w:val="18"/>
              </w:rPr>
            </w:pPr>
            <w:r>
              <w:rPr>
                <w:sz w:val="18"/>
                <w:szCs w:val="18"/>
              </w:rPr>
              <w:t>Nota van inlichtingen, vraag 1</w:t>
            </w:r>
          </w:p>
        </w:tc>
        <w:tc>
          <w:tcPr>
            <w:tcW w:w="4761" w:type="dxa"/>
          </w:tcPr>
          <w:p w14:paraId="63913611" w14:textId="77777777" w:rsidR="003F525F" w:rsidRDefault="003F525F" w:rsidP="00F1235F">
            <w:pPr>
              <w:pStyle w:val="gemeentewageningen"/>
              <w:rPr>
                <w:rFonts w:cs="Arial"/>
                <w:sz w:val="18"/>
                <w:szCs w:val="18"/>
              </w:rPr>
            </w:pPr>
            <w:r>
              <w:rPr>
                <w:rFonts w:cs="Arial"/>
                <w:sz w:val="18"/>
                <w:szCs w:val="18"/>
              </w:rPr>
              <w:t>“</w:t>
            </w:r>
            <w:r w:rsidRPr="003F525F">
              <w:rPr>
                <w:rFonts w:cs="Arial"/>
                <w:i/>
                <w:sz w:val="18"/>
                <w:szCs w:val="18"/>
              </w:rPr>
              <w:t>Opdrachtgever besluit eenzijdig, na overleg met Opdrachtnemer, om door middel van een addendum tot verlenging over te gaan</w:t>
            </w:r>
            <w:r w:rsidRPr="003F525F">
              <w:rPr>
                <w:rFonts w:cs="Arial"/>
                <w:sz w:val="18"/>
                <w:szCs w:val="18"/>
              </w:rPr>
              <w:t>.</w:t>
            </w:r>
            <w:r>
              <w:rPr>
                <w:rFonts w:cs="Arial"/>
                <w:sz w:val="18"/>
                <w:szCs w:val="18"/>
              </w:rPr>
              <w:t>”</w:t>
            </w:r>
          </w:p>
          <w:p w14:paraId="54D41326" w14:textId="77777777" w:rsidR="00F1235F" w:rsidRPr="00731A6E" w:rsidRDefault="003F525F" w:rsidP="001014A4">
            <w:pPr>
              <w:pStyle w:val="gemeentewageningen"/>
              <w:rPr>
                <w:rFonts w:cs="Arial"/>
                <w:sz w:val="18"/>
                <w:szCs w:val="18"/>
              </w:rPr>
            </w:pPr>
            <w:r w:rsidRPr="003F525F">
              <w:rPr>
                <w:rFonts w:cs="Arial"/>
                <w:sz w:val="18"/>
                <w:szCs w:val="18"/>
              </w:rPr>
              <w:t xml:space="preserve">Verlenging </w:t>
            </w:r>
            <w:r>
              <w:rPr>
                <w:rFonts w:cs="Arial"/>
                <w:sz w:val="18"/>
                <w:szCs w:val="18"/>
              </w:rPr>
              <w:t xml:space="preserve">kan </w:t>
            </w:r>
            <w:r w:rsidRPr="003F525F">
              <w:rPr>
                <w:rFonts w:cs="Arial"/>
                <w:sz w:val="18"/>
                <w:szCs w:val="18"/>
              </w:rPr>
              <w:t xml:space="preserve">alleen </w:t>
            </w:r>
            <w:r>
              <w:rPr>
                <w:rFonts w:cs="Arial"/>
                <w:sz w:val="18"/>
                <w:szCs w:val="18"/>
              </w:rPr>
              <w:t>plaatsvinden op basis van</w:t>
            </w:r>
            <w:r w:rsidRPr="003F525F">
              <w:rPr>
                <w:rFonts w:cs="Arial"/>
                <w:sz w:val="18"/>
                <w:szCs w:val="18"/>
              </w:rPr>
              <w:t xml:space="preserve"> wederzijds goedvinden omdat het de continuïteit van de organisatie raakt. Eenzijdige verlengingsbeslissing levert strijd op met art 6:237 BW en is via de reflexwerking van dit artikel “kennelijk onredelijk bezwarend”.</w:t>
            </w:r>
            <w:r w:rsidR="001014A4">
              <w:rPr>
                <w:rFonts w:cs="Arial"/>
                <w:sz w:val="18"/>
                <w:szCs w:val="18"/>
              </w:rPr>
              <w:t xml:space="preserve"> Daarom verzoeken wij u opnieuw om deze bepaling te heroverwegen en verlenging af te laten hangen van gezamenlijke evaluatie en gesprek.</w:t>
            </w:r>
          </w:p>
        </w:tc>
        <w:tc>
          <w:tcPr>
            <w:tcW w:w="6520" w:type="dxa"/>
            <w:tcBorders>
              <w:right w:val="single" w:sz="4" w:space="0" w:color="auto"/>
            </w:tcBorders>
          </w:tcPr>
          <w:p w14:paraId="5442346A" w14:textId="55C83168" w:rsidR="00377317" w:rsidRPr="00377317" w:rsidRDefault="00377317" w:rsidP="00377317">
            <w:pPr>
              <w:rPr>
                <w:rFonts w:cs="Arial"/>
                <w:sz w:val="18"/>
                <w:szCs w:val="18"/>
              </w:rPr>
            </w:pPr>
            <w:r w:rsidRPr="00377317">
              <w:rPr>
                <w:rFonts w:cs="Arial"/>
                <w:sz w:val="18"/>
                <w:szCs w:val="18"/>
              </w:rPr>
              <w:t xml:space="preserve">Voorafgaand aan de verlenging zal er </w:t>
            </w:r>
            <w:r w:rsidRPr="00377317">
              <w:rPr>
                <w:rFonts w:cs="Arial"/>
                <w:sz w:val="18"/>
                <w:szCs w:val="18"/>
              </w:rPr>
              <w:t>g</w:t>
            </w:r>
            <w:r w:rsidRPr="00377317">
              <w:rPr>
                <w:rFonts w:cs="Arial"/>
                <w:sz w:val="18"/>
                <w:szCs w:val="18"/>
              </w:rPr>
              <w:t>ezamenlijk overleg plaatsvinden maar uiteindelijk ligt het besluit tot verlenging bij Opdrachtgever</w:t>
            </w:r>
            <w:r>
              <w:rPr>
                <w:rFonts w:cs="Arial"/>
                <w:sz w:val="18"/>
                <w:szCs w:val="18"/>
              </w:rPr>
              <w:t>.</w:t>
            </w:r>
          </w:p>
          <w:p w14:paraId="66EF8500" w14:textId="3D05B05E" w:rsidR="00377317" w:rsidRPr="00731A6E" w:rsidRDefault="00377317" w:rsidP="0077598C">
            <w:pPr>
              <w:pStyle w:val="gemeentewageningen"/>
              <w:rPr>
                <w:rFonts w:cs="Arial"/>
                <w:sz w:val="18"/>
                <w:szCs w:val="18"/>
              </w:rPr>
            </w:pPr>
          </w:p>
        </w:tc>
      </w:tr>
      <w:tr w:rsidR="001014A4" w:rsidRPr="00731A6E" w14:paraId="4578DDF9" w14:textId="77777777" w:rsidTr="00B53A02">
        <w:tc>
          <w:tcPr>
            <w:tcW w:w="496" w:type="dxa"/>
            <w:tcBorders>
              <w:left w:val="single" w:sz="4" w:space="0" w:color="auto"/>
            </w:tcBorders>
          </w:tcPr>
          <w:p w14:paraId="3AF7B8A3" w14:textId="00E6B034" w:rsidR="001014A4" w:rsidRPr="00731A6E" w:rsidRDefault="00E86995" w:rsidP="00D551FF">
            <w:pPr>
              <w:pStyle w:val="gemeentewageningen"/>
              <w:rPr>
                <w:sz w:val="18"/>
                <w:szCs w:val="18"/>
              </w:rPr>
            </w:pPr>
            <w:r>
              <w:rPr>
                <w:sz w:val="18"/>
                <w:szCs w:val="18"/>
              </w:rPr>
              <w:t>2</w:t>
            </w:r>
          </w:p>
        </w:tc>
        <w:tc>
          <w:tcPr>
            <w:tcW w:w="1718" w:type="dxa"/>
          </w:tcPr>
          <w:p w14:paraId="4C732280" w14:textId="77777777" w:rsidR="001014A4" w:rsidRDefault="001014A4" w:rsidP="00D551FF">
            <w:pPr>
              <w:pStyle w:val="gemeentewageningen"/>
              <w:rPr>
                <w:sz w:val="18"/>
                <w:szCs w:val="18"/>
              </w:rPr>
            </w:pPr>
            <w:r>
              <w:rPr>
                <w:sz w:val="18"/>
                <w:szCs w:val="18"/>
              </w:rPr>
              <w:t>Nota van Inlichtingen, vraag 29</w:t>
            </w:r>
          </w:p>
        </w:tc>
        <w:tc>
          <w:tcPr>
            <w:tcW w:w="4761" w:type="dxa"/>
          </w:tcPr>
          <w:p w14:paraId="77FF67CE" w14:textId="77777777" w:rsidR="001014A4" w:rsidRDefault="001014A4" w:rsidP="00F1235F">
            <w:pPr>
              <w:pStyle w:val="gemeentewageningen"/>
              <w:rPr>
                <w:rFonts w:cs="Arial"/>
                <w:sz w:val="18"/>
                <w:szCs w:val="18"/>
              </w:rPr>
            </w:pPr>
            <w:r>
              <w:rPr>
                <w:rFonts w:cs="Arial"/>
                <w:sz w:val="18"/>
                <w:szCs w:val="18"/>
              </w:rPr>
              <w:t>Wij verzoeken u vriendelijk om bij de bepaling</w:t>
            </w:r>
            <w:r w:rsidRPr="001014A4">
              <w:rPr>
                <w:rFonts w:cs="Arial"/>
                <w:sz w:val="18"/>
                <w:szCs w:val="18"/>
              </w:rPr>
              <w:t xml:space="preserve">“ Aanpassingen van het uitvoeringsplan kan alleen na gezamenlijk overleg en na goedkeuring van </w:t>
            </w:r>
            <w:proofErr w:type="spellStart"/>
            <w:r w:rsidRPr="001014A4">
              <w:rPr>
                <w:rFonts w:cs="Arial"/>
                <w:sz w:val="18"/>
                <w:szCs w:val="18"/>
              </w:rPr>
              <w:t>Opdachtgever</w:t>
            </w:r>
            <w:proofErr w:type="spellEnd"/>
            <w:r w:rsidRPr="001014A4">
              <w:rPr>
                <w:rFonts w:cs="Arial"/>
                <w:sz w:val="18"/>
                <w:szCs w:val="18"/>
              </w:rPr>
              <w:t xml:space="preserve"> </w:t>
            </w:r>
            <w:r w:rsidRPr="001014A4">
              <w:rPr>
                <w:rFonts w:cs="Arial"/>
                <w:i/>
                <w:sz w:val="18"/>
                <w:szCs w:val="18"/>
              </w:rPr>
              <w:t>en Opdrachtnemer</w:t>
            </w:r>
            <w:r w:rsidRPr="001014A4">
              <w:rPr>
                <w:rFonts w:cs="Arial"/>
                <w:sz w:val="18"/>
                <w:szCs w:val="18"/>
              </w:rPr>
              <w:t>……"</w:t>
            </w:r>
          </w:p>
          <w:p w14:paraId="1C3E4BD7" w14:textId="77777777" w:rsidR="001014A4" w:rsidRDefault="001014A4" w:rsidP="001014A4">
            <w:pPr>
              <w:pStyle w:val="gemeentewageningen"/>
              <w:rPr>
                <w:rFonts w:cs="Arial"/>
                <w:sz w:val="18"/>
                <w:szCs w:val="18"/>
              </w:rPr>
            </w:pPr>
            <w:r>
              <w:rPr>
                <w:rFonts w:cs="Arial"/>
                <w:sz w:val="18"/>
                <w:szCs w:val="18"/>
              </w:rPr>
              <w:t xml:space="preserve">toe te voegen. Ook de opdrachtnemer moet instemmen met mogelijke aanpassingen vanuit de opdrachtgever. </w:t>
            </w:r>
          </w:p>
        </w:tc>
        <w:tc>
          <w:tcPr>
            <w:tcW w:w="6520" w:type="dxa"/>
            <w:tcBorders>
              <w:right w:val="single" w:sz="4" w:space="0" w:color="auto"/>
            </w:tcBorders>
          </w:tcPr>
          <w:p w14:paraId="1CF03047" w14:textId="5CFF4648" w:rsidR="001014A4" w:rsidRPr="00731A6E" w:rsidRDefault="00783B8C" w:rsidP="00D551FF">
            <w:pPr>
              <w:pStyle w:val="gemeentewageningen"/>
              <w:rPr>
                <w:rFonts w:cs="Arial"/>
                <w:sz w:val="18"/>
                <w:szCs w:val="18"/>
              </w:rPr>
            </w:pPr>
            <w:r>
              <w:rPr>
                <w:rFonts w:cs="Arial"/>
                <w:sz w:val="18"/>
                <w:szCs w:val="18"/>
              </w:rPr>
              <w:t xml:space="preserve">De  eventuele aanpassingen worden in gezamenlijk overleg bepaald maar uiteindelijk is de </w:t>
            </w:r>
            <w:r w:rsidRPr="0000528F">
              <w:rPr>
                <w:rFonts w:cs="Arial"/>
                <w:sz w:val="18"/>
                <w:szCs w:val="18"/>
              </w:rPr>
              <w:t>Gemeente Wageningen</w:t>
            </w:r>
            <w:r>
              <w:rPr>
                <w:rFonts w:cs="Arial"/>
                <w:sz w:val="18"/>
                <w:szCs w:val="18"/>
              </w:rPr>
              <w:t xml:space="preserve"> als Opdrachtgever de partij die de aanpassingen moet goedkeuren</w:t>
            </w:r>
            <w:r w:rsidR="007604EE">
              <w:rPr>
                <w:rFonts w:cs="Arial"/>
                <w:sz w:val="18"/>
                <w:szCs w:val="18"/>
              </w:rPr>
              <w:t>.</w:t>
            </w:r>
          </w:p>
        </w:tc>
      </w:tr>
      <w:tr w:rsidR="003F525F" w:rsidRPr="00731A6E" w14:paraId="46F4BC87" w14:textId="77777777" w:rsidTr="00B53A02">
        <w:tc>
          <w:tcPr>
            <w:tcW w:w="496" w:type="dxa"/>
            <w:tcBorders>
              <w:left w:val="single" w:sz="4" w:space="0" w:color="auto"/>
            </w:tcBorders>
          </w:tcPr>
          <w:p w14:paraId="48E86C8D" w14:textId="508A86BF" w:rsidR="003F525F" w:rsidRPr="00731A6E" w:rsidRDefault="00E86995" w:rsidP="00D551FF">
            <w:pPr>
              <w:pStyle w:val="gemeentewageningen"/>
              <w:rPr>
                <w:sz w:val="18"/>
                <w:szCs w:val="18"/>
              </w:rPr>
            </w:pPr>
            <w:r>
              <w:rPr>
                <w:sz w:val="18"/>
                <w:szCs w:val="18"/>
              </w:rPr>
              <w:t>3</w:t>
            </w:r>
          </w:p>
        </w:tc>
        <w:tc>
          <w:tcPr>
            <w:tcW w:w="1718" w:type="dxa"/>
          </w:tcPr>
          <w:p w14:paraId="179947EC" w14:textId="77777777" w:rsidR="003F525F" w:rsidRDefault="003F525F" w:rsidP="00D551FF">
            <w:pPr>
              <w:pStyle w:val="gemeentewageningen"/>
              <w:rPr>
                <w:sz w:val="18"/>
                <w:szCs w:val="18"/>
              </w:rPr>
            </w:pPr>
            <w:r>
              <w:rPr>
                <w:sz w:val="18"/>
                <w:szCs w:val="18"/>
              </w:rPr>
              <w:t>Nota van inlichtingen, vraag 35</w:t>
            </w:r>
          </w:p>
        </w:tc>
        <w:tc>
          <w:tcPr>
            <w:tcW w:w="4761" w:type="dxa"/>
          </w:tcPr>
          <w:p w14:paraId="6E68F562" w14:textId="77777777" w:rsidR="003F525F" w:rsidRDefault="003F525F" w:rsidP="003F525F">
            <w:pPr>
              <w:pStyle w:val="gemeentewageningen"/>
              <w:rPr>
                <w:rFonts w:cs="Arial"/>
                <w:sz w:val="18"/>
                <w:szCs w:val="18"/>
              </w:rPr>
            </w:pPr>
            <w:r>
              <w:rPr>
                <w:rFonts w:cs="Arial"/>
                <w:sz w:val="18"/>
                <w:szCs w:val="18"/>
              </w:rPr>
              <w:t xml:space="preserve">In uw berekening komt u op een totale aanbestedingssom van  € 3.971.298. Kan het zijn dat hierin een rekenfoutje is geslopen? </w:t>
            </w:r>
          </w:p>
          <w:p w14:paraId="4B9AA9D6" w14:textId="77777777" w:rsidR="003F525F" w:rsidRDefault="003F525F" w:rsidP="003F525F">
            <w:pPr>
              <w:pStyle w:val="gemeentewageningen"/>
              <w:rPr>
                <w:rFonts w:cs="Arial"/>
                <w:sz w:val="18"/>
                <w:szCs w:val="18"/>
              </w:rPr>
            </w:pPr>
            <w:r>
              <w:rPr>
                <w:rFonts w:cs="Arial"/>
                <w:sz w:val="18"/>
                <w:szCs w:val="18"/>
              </w:rPr>
              <w:t>In onze berekening waarbij we eerst het oorspronkelijke bedrag verminderen met de indexering van 1,5% en daarna vermeerderen met 2,7 %, komen we op een totaalbedrag van €3.983.237. Hiertussen zit een verschil van €11.939.</w:t>
            </w:r>
          </w:p>
        </w:tc>
        <w:tc>
          <w:tcPr>
            <w:tcW w:w="6520" w:type="dxa"/>
            <w:tcBorders>
              <w:right w:val="single" w:sz="4" w:space="0" w:color="auto"/>
            </w:tcBorders>
          </w:tcPr>
          <w:p w14:paraId="07724CB0" w14:textId="70A7F987" w:rsidR="003F525F" w:rsidRPr="00731A6E" w:rsidRDefault="00E86995" w:rsidP="00D551FF">
            <w:pPr>
              <w:pStyle w:val="gemeentewageningen"/>
              <w:rPr>
                <w:rFonts w:cs="Arial"/>
                <w:sz w:val="18"/>
                <w:szCs w:val="18"/>
              </w:rPr>
            </w:pPr>
            <w:r>
              <w:rPr>
                <w:rFonts w:cs="Arial"/>
                <w:sz w:val="18"/>
                <w:szCs w:val="18"/>
              </w:rPr>
              <w:t>Alleen de reguliere activiteiten van de vorige opdracht preventieve hulp en ondersteuning zijn geïndexeerd met 2,7%. Voor overige componenten in de aanbesteding gelden andere percentages.</w:t>
            </w:r>
          </w:p>
        </w:tc>
      </w:tr>
      <w:tr w:rsidR="00F1235F" w:rsidRPr="00731A6E" w14:paraId="520DB2A1" w14:textId="77777777" w:rsidTr="00B53A02">
        <w:tc>
          <w:tcPr>
            <w:tcW w:w="496" w:type="dxa"/>
            <w:tcBorders>
              <w:left w:val="single" w:sz="4" w:space="0" w:color="auto"/>
            </w:tcBorders>
          </w:tcPr>
          <w:p w14:paraId="35F1508C" w14:textId="1B14718F" w:rsidR="00F1235F" w:rsidRPr="00731A6E" w:rsidRDefault="00E86995" w:rsidP="00D551FF">
            <w:pPr>
              <w:pStyle w:val="gemeentewageningen"/>
              <w:rPr>
                <w:sz w:val="18"/>
                <w:szCs w:val="18"/>
              </w:rPr>
            </w:pPr>
            <w:r>
              <w:rPr>
                <w:sz w:val="18"/>
                <w:szCs w:val="18"/>
              </w:rPr>
              <w:t>4</w:t>
            </w:r>
          </w:p>
        </w:tc>
        <w:tc>
          <w:tcPr>
            <w:tcW w:w="1718" w:type="dxa"/>
          </w:tcPr>
          <w:p w14:paraId="05ABEBF8" w14:textId="77777777" w:rsidR="00F1235F" w:rsidRPr="00731A6E" w:rsidRDefault="006E7347" w:rsidP="00D551FF">
            <w:pPr>
              <w:pStyle w:val="gemeentewageningen"/>
              <w:rPr>
                <w:sz w:val="18"/>
                <w:szCs w:val="18"/>
              </w:rPr>
            </w:pPr>
            <w:r>
              <w:rPr>
                <w:sz w:val="18"/>
                <w:szCs w:val="18"/>
              </w:rPr>
              <w:t xml:space="preserve">Nota van inlichtingen, vraag </w:t>
            </w:r>
            <w:r w:rsidR="00A46D12">
              <w:rPr>
                <w:sz w:val="18"/>
                <w:szCs w:val="18"/>
              </w:rPr>
              <w:t>46</w:t>
            </w:r>
          </w:p>
        </w:tc>
        <w:tc>
          <w:tcPr>
            <w:tcW w:w="4761" w:type="dxa"/>
          </w:tcPr>
          <w:p w14:paraId="2F884C28" w14:textId="77777777" w:rsidR="00C66FE3" w:rsidRDefault="003F525F" w:rsidP="00D551FF">
            <w:pPr>
              <w:pStyle w:val="gemeentewageningen"/>
              <w:rPr>
                <w:rFonts w:cs="Arial"/>
                <w:sz w:val="18"/>
                <w:szCs w:val="18"/>
              </w:rPr>
            </w:pPr>
            <w:r>
              <w:rPr>
                <w:rFonts w:cs="Arial"/>
                <w:sz w:val="18"/>
                <w:szCs w:val="18"/>
              </w:rPr>
              <w:t>U</w:t>
            </w:r>
            <w:r w:rsidR="00A46D12">
              <w:rPr>
                <w:rFonts w:cs="Arial"/>
                <w:sz w:val="18"/>
                <w:szCs w:val="18"/>
              </w:rPr>
              <w:t xml:space="preserve"> geeft aan dat alle taken uit de nieuwe wet inburgering 2022 zijn inbegrepen. </w:t>
            </w:r>
          </w:p>
          <w:p w14:paraId="1ADE63D0" w14:textId="77777777" w:rsidR="00C66FE3" w:rsidRDefault="00C66FE3" w:rsidP="00D551FF">
            <w:pPr>
              <w:pStyle w:val="gemeentewageningen"/>
              <w:rPr>
                <w:rFonts w:cs="Arial"/>
                <w:sz w:val="18"/>
                <w:szCs w:val="18"/>
              </w:rPr>
            </w:pPr>
            <w:r>
              <w:rPr>
                <w:rFonts w:cs="Arial"/>
                <w:sz w:val="18"/>
                <w:szCs w:val="18"/>
              </w:rPr>
              <w:t xml:space="preserve">In het Addendum voor 2022 is </w:t>
            </w:r>
            <w:r w:rsidR="003F525F">
              <w:rPr>
                <w:rFonts w:cs="Arial"/>
                <w:sz w:val="18"/>
                <w:szCs w:val="18"/>
              </w:rPr>
              <w:t xml:space="preserve">slechts </w:t>
            </w:r>
            <w:r>
              <w:rPr>
                <w:rFonts w:cs="Arial"/>
                <w:sz w:val="18"/>
                <w:szCs w:val="18"/>
              </w:rPr>
              <w:t xml:space="preserve">voor 1 kwartaal de </w:t>
            </w:r>
            <w:r w:rsidR="003F525F">
              <w:rPr>
                <w:rFonts w:cs="Arial"/>
                <w:sz w:val="18"/>
                <w:szCs w:val="18"/>
              </w:rPr>
              <w:t xml:space="preserve"> </w:t>
            </w:r>
            <w:proofErr w:type="spellStart"/>
            <w:r w:rsidR="003F525F">
              <w:rPr>
                <w:rFonts w:cs="Arial"/>
                <w:sz w:val="18"/>
                <w:szCs w:val="18"/>
              </w:rPr>
              <w:t>C</w:t>
            </w:r>
            <w:r>
              <w:rPr>
                <w:rFonts w:cs="Arial"/>
                <w:sz w:val="18"/>
                <w:szCs w:val="18"/>
              </w:rPr>
              <w:t>ultuurverbinders</w:t>
            </w:r>
            <w:proofErr w:type="spellEnd"/>
            <w:r>
              <w:rPr>
                <w:rFonts w:cs="Arial"/>
                <w:sz w:val="18"/>
                <w:szCs w:val="18"/>
              </w:rPr>
              <w:t xml:space="preserve"> opgenomen. </w:t>
            </w:r>
            <w:r w:rsidR="003F525F">
              <w:rPr>
                <w:rFonts w:cs="Arial"/>
                <w:sz w:val="18"/>
                <w:szCs w:val="18"/>
              </w:rPr>
              <w:t xml:space="preserve">Is bij de berekening voor het </w:t>
            </w:r>
            <w:r w:rsidR="003F525F">
              <w:rPr>
                <w:rFonts w:cs="Arial"/>
                <w:sz w:val="18"/>
                <w:szCs w:val="18"/>
              </w:rPr>
              <w:lastRenderedPageBreak/>
              <w:t xml:space="preserve">budget van </w:t>
            </w:r>
            <w:proofErr w:type="spellStart"/>
            <w:r w:rsidR="003F525F">
              <w:rPr>
                <w:rFonts w:cs="Arial"/>
                <w:sz w:val="18"/>
                <w:szCs w:val="18"/>
              </w:rPr>
              <w:t>Welsaam</w:t>
            </w:r>
            <w:proofErr w:type="spellEnd"/>
            <w:r w:rsidR="003F525F">
              <w:rPr>
                <w:rFonts w:cs="Arial"/>
                <w:sz w:val="18"/>
                <w:szCs w:val="18"/>
              </w:rPr>
              <w:t xml:space="preserve"> dit vermenigvuldigd met vier voor het hele jaar? </w:t>
            </w:r>
          </w:p>
          <w:p w14:paraId="60A7EEC3" w14:textId="77777777" w:rsidR="00E440F8" w:rsidRDefault="00E440F8" w:rsidP="00D551FF">
            <w:pPr>
              <w:pStyle w:val="gemeentewageningen"/>
              <w:rPr>
                <w:rFonts w:cs="Arial"/>
                <w:sz w:val="18"/>
                <w:szCs w:val="18"/>
              </w:rPr>
            </w:pPr>
          </w:p>
          <w:p w14:paraId="257FA4A1" w14:textId="77777777" w:rsidR="00F1235F" w:rsidRDefault="003F525F" w:rsidP="00D551FF">
            <w:pPr>
              <w:pStyle w:val="gemeentewageningen"/>
              <w:rPr>
                <w:rFonts w:cs="Arial"/>
                <w:sz w:val="18"/>
                <w:szCs w:val="18"/>
              </w:rPr>
            </w:pPr>
            <w:r>
              <w:rPr>
                <w:rFonts w:cs="Arial"/>
                <w:sz w:val="18"/>
                <w:szCs w:val="18"/>
              </w:rPr>
              <w:t xml:space="preserve">In </w:t>
            </w:r>
            <w:r w:rsidR="00A46D12">
              <w:rPr>
                <w:rFonts w:cs="Arial"/>
                <w:sz w:val="18"/>
                <w:szCs w:val="18"/>
              </w:rPr>
              <w:t>de huidige afspraken</w:t>
            </w:r>
            <w:r>
              <w:rPr>
                <w:rFonts w:cs="Arial"/>
                <w:sz w:val="18"/>
                <w:szCs w:val="18"/>
              </w:rPr>
              <w:t xml:space="preserve"> van het Addendum</w:t>
            </w:r>
            <w:r w:rsidR="00A46D12">
              <w:rPr>
                <w:rFonts w:cs="Arial"/>
                <w:sz w:val="18"/>
                <w:szCs w:val="18"/>
              </w:rPr>
              <w:t xml:space="preserve"> wordt onderscheid gemaakt tussen vaste afspraken en flexibele afspraken op basis van aantallen, zoals bij </w:t>
            </w:r>
            <w:r w:rsidR="00A46D12" w:rsidRPr="00A46D12">
              <w:rPr>
                <w:rFonts w:cs="Arial"/>
                <w:sz w:val="18"/>
                <w:szCs w:val="18"/>
              </w:rPr>
              <w:t xml:space="preserve">participatieaanbod voor inburgeraars in de </w:t>
            </w:r>
            <w:proofErr w:type="spellStart"/>
            <w:r w:rsidR="00A46D12" w:rsidRPr="00A46D12">
              <w:rPr>
                <w:rFonts w:cs="Arial"/>
                <w:sz w:val="18"/>
                <w:szCs w:val="18"/>
              </w:rPr>
              <w:t>z</w:t>
            </w:r>
            <w:proofErr w:type="spellEnd"/>
            <w:r w:rsidR="00A46D12" w:rsidRPr="00A46D12">
              <w:rPr>
                <w:rFonts w:cs="Arial"/>
                <w:sz w:val="18"/>
                <w:szCs w:val="18"/>
              </w:rPr>
              <w:t>-route</w:t>
            </w:r>
            <w:r w:rsidR="006E7347">
              <w:rPr>
                <w:rFonts w:cs="Arial"/>
                <w:sz w:val="18"/>
                <w:szCs w:val="18"/>
              </w:rPr>
              <w:t xml:space="preserve"> en ouderschapsondersteuning</w:t>
            </w:r>
            <w:r w:rsidR="00A46D12">
              <w:rPr>
                <w:rFonts w:cs="Arial"/>
                <w:sz w:val="18"/>
                <w:szCs w:val="18"/>
              </w:rPr>
              <w:t xml:space="preserve">. Onbekend is voor hoeveel deelnemers budget is toegevoegd. </w:t>
            </w:r>
            <w:r w:rsidR="006E7347">
              <w:rPr>
                <w:rFonts w:cs="Arial"/>
                <w:sz w:val="18"/>
                <w:szCs w:val="18"/>
              </w:rPr>
              <w:t xml:space="preserve">Daarom nogmaals de vraag of dit op basis van facturatie gaat zoals in het addendum staat opgenomen.  </w:t>
            </w:r>
          </w:p>
          <w:p w14:paraId="2CDB7CA5" w14:textId="77777777" w:rsidR="00A46D12" w:rsidRPr="00731A6E" w:rsidRDefault="00A46D12" w:rsidP="00D551FF">
            <w:pPr>
              <w:pStyle w:val="gemeentewageningen"/>
              <w:rPr>
                <w:rFonts w:cs="Arial"/>
                <w:sz w:val="18"/>
                <w:szCs w:val="18"/>
              </w:rPr>
            </w:pPr>
          </w:p>
        </w:tc>
        <w:tc>
          <w:tcPr>
            <w:tcW w:w="6520" w:type="dxa"/>
            <w:tcBorders>
              <w:right w:val="single" w:sz="4" w:space="0" w:color="auto"/>
            </w:tcBorders>
          </w:tcPr>
          <w:p w14:paraId="6F905F3B" w14:textId="77777777" w:rsidR="00F1235F" w:rsidRDefault="008C36AC" w:rsidP="00D551FF">
            <w:pPr>
              <w:pStyle w:val="gemeentewageningen"/>
              <w:rPr>
                <w:rFonts w:cs="Arial"/>
                <w:sz w:val="18"/>
                <w:szCs w:val="18"/>
              </w:rPr>
            </w:pPr>
            <w:r>
              <w:rPr>
                <w:rFonts w:cs="Arial"/>
                <w:sz w:val="18"/>
                <w:szCs w:val="18"/>
              </w:rPr>
              <w:lastRenderedPageBreak/>
              <w:t xml:space="preserve">Er zijn in de aanbesteding geen budgetten gekoppeld  aan resultaten. </w:t>
            </w:r>
          </w:p>
          <w:p w14:paraId="2AA1A368" w14:textId="7C1C4C34" w:rsidR="00475D18" w:rsidRDefault="00475D18" w:rsidP="00475D18">
            <w:pPr>
              <w:rPr>
                <w:rFonts w:cs="Arial"/>
                <w:sz w:val="18"/>
                <w:szCs w:val="18"/>
              </w:rPr>
            </w:pPr>
            <w:r w:rsidRPr="00475D18">
              <w:rPr>
                <w:rFonts w:cs="Arial"/>
                <w:sz w:val="18"/>
                <w:szCs w:val="18"/>
              </w:rPr>
              <w:t>De opdrachtwaarde van de aanbesteding is bestemd voor alle resultaten/activiteiten die met deze aanbesteding gemoeid zijn.</w:t>
            </w:r>
            <w:r>
              <w:rPr>
                <w:rFonts w:ascii="Verdana" w:hAnsi="Verdana"/>
                <w:color w:val="FF0000"/>
                <w:sz w:val="18"/>
                <w:szCs w:val="18"/>
              </w:rPr>
              <w:t xml:space="preserve"> </w:t>
            </w:r>
            <w:r w:rsidRPr="00475D18">
              <w:rPr>
                <w:rFonts w:cs="Arial"/>
                <w:sz w:val="18"/>
                <w:szCs w:val="18"/>
              </w:rPr>
              <w:t>Dat betekent dat er geen additionele facturering plaats zal vinden op basis van</w:t>
            </w:r>
            <w:r>
              <w:rPr>
                <w:rFonts w:cs="Arial"/>
                <w:sz w:val="18"/>
                <w:szCs w:val="18"/>
              </w:rPr>
              <w:t xml:space="preserve"> bijv.</w:t>
            </w:r>
            <w:r w:rsidRPr="00475D18">
              <w:rPr>
                <w:rFonts w:cs="Arial"/>
                <w:sz w:val="18"/>
                <w:szCs w:val="18"/>
              </w:rPr>
              <w:t xml:space="preserve"> trajecten</w:t>
            </w:r>
            <w:r>
              <w:rPr>
                <w:rFonts w:cs="Arial"/>
                <w:sz w:val="18"/>
                <w:szCs w:val="18"/>
              </w:rPr>
              <w:t xml:space="preserve"> en</w:t>
            </w:r>
            <w:r w:rsidRPr="00475D18">
              <w:rPr>
                <w:rFonts w:cs="Arial"/>
                <w:sz w:val="18"/>
                <w:szCs w:val="18"/>
              </w:rPr>
              <w:t xml:space="preserve"> gewerkte uren</w:t>
            </w:r>
            <w:r>
              <w:rPr>
                <w:rFonts w:cs="Arial"/>
                <w:sz w:val="18"/>
                <w:szCs w:val="18"/>
              </w:rPr>
              <w:t>.</w:t>
            </w:r>
            <w:r w:rsidRPr="00475D18">
              <w:rPr>
                <w:rFonts w:cs="Arial"/>
                <w:sz w:val="18"/>
                <w:szCs w:val="18"/>
              </w:rPr>
              <w:t xml:space="preserve"> </w:t>
            </w:r>
          </w:p>
          <w:p w14:paraId="0145A729" w14:textId="4455B73A" w:rsidR="00377317" w:rsidRPr="00377317" w:rsidRDefault="00377317" w:rsidP="00377317">
            <w:pPr>
              <w:rPr>
                <w:rFonts w:cs="Arial"/>
                <w:sz w:val="18"/>
                <w:szCs w:val="18"/>
              </w:rPr>
            </w:pPr>
            <w:r w:rsidRPr="00377317">
              <w:rPr>
                <w:rFonts w:cs="Arial"/>
                <w:sz w:val="18"/>
                <w:szCs w:val="18"/>
              </w:rPr>
              <w:t xml:space="preserve">Onderstaande bedragen </w:t>
            </w:r>
            <w:r>
              <w:rPr>
                <w:rFonts w:cs="Arial"/>
                <w:sz w:val="18"/>
                <w:szCs w:val="18"/>
              </w:rPr>
              <w:t xml:space="preserve">(berekening bij 4) </w:t>
            </w:r>
            <w:r w:rsidRPr="00377317">
              <w:rPr>
                <w:rFonts w:cs="Arial"/>
                <w:sz w:val="18"/>
                <w:szCs w:val="18"/>
              </w:rPr>
              <w:t xml:space="preserve">zijn daarmee niet juist en de bedragen in de </w:t>
            </w:r>
            <w:r>
              <w:rPr>
                <w:rFonts w:cs="Arial"/>
                <w:sz w:val="18"/>
                <w:szCs w:val="18"/>
              </w:rPr>
              <w:t>“</w:t>
            </w:r>
            <w:r w:rsidRPr="00377317">
              <w:rPr>
                <w:rFonts w:cs="Arial"/>
                <w:sz w:val="18"/>
                <w:szCs w:val="18"/>
              </w:rPr>
              <w:t>N</w:t>
            </w:r>
            <w:r>
              <w:rPr>
                <w:rFonts w:cs="Arial"/>
                <w:sz w:val="18"/>
                <w:szCs w:val="18"/>
              </w:rPr>
              <w:t xml:space="preserve">ota van Inlichtingen </w:t>
            </w:r>
            <w:r w:rsidRPr="00377317">
              <w:rPr>
                <w:rFonts w:cs="Arial"/>
                <w:sz w:val="18"/>
                <w:szCs w:val="18"/>
              </w:rPr>
              <w:t xml:space="preserve">1 </w:t>
            </w:r>
            <w:r>
              <w:rPr>
                <w:rFonts w:cs="Arial"/>
                <w:sz w:val="18"/>
                <w:szCs w:val="18"/>
              </w:rPr>
              <w:t xml:space="preserve">DEF” </w:t>
            </w:r>
            <w:r w:rsidRPr="00377317">
              <w:rPr>
                <w:rFonts w:cs="Arial"/>
                <w:sz w:val="18"/>
                <w:szCs w:val="18"/>
              </w:rPr>
              <w:t xml:space="preserve">zijn correct. </w:t>
            </w:r>
          </w:p>
          <w:p w14:paraId="64A45688" w14:textId="77777777" w:rsidR="00377317" w:rsidRPr="00475D18" w:rsidRDefault="00377317" w:rsidP="00475D18">
            <w:pPr>
              <w:rPr>
                <w:rFonts w:cs="Arial"/>
                <w:sz w:val="18"/>
                <w:szCs w:val="18"/>
              </w:rPr>
            </w:pPr>
          </w:p>
          <w:p w14:paraId="7B499CB4" w14:textId="20EE4316" w:rsidR="00475D18" w:rsidRPr="00731A6E" w:rsidRDefault="00475D18" w:rsidP="00D551FF">
            <w:pPr>
              <w:pStyle w:val="gemeentewageningen"/>
              <w:rPr>
                <w:rFonts w:cs="Arial"/>
                <w:sz w:val="18"/>
                <w:szCs w:val="18"/>
              </w:rPr>
            </w:pPr>
          </w:p>
        </w:tc>
      </w:tr>
      <w:tr w:rsidR="00F1235F" w:rsidRPr="00731A6E" w14:paraId="606406C3" w14:textId="77777777" w:rsidTr="00B53A02">
        <w:tc>
          <w:tcPr>
            <w:tcW w:w="496" w:type="dxa"/>
            <w:tcBorders>
              <w:left w:val="single" w:sz="4" w:space="0" w:color="auto"/>
            </w:tcBorders>
          </w:tcPr>
          <w:p w14:paraId="728AB376" w14:textId="3321C368" w:rsidR="00F1235F" w:rsidRPr="00731A6E" w:rsidRDefault="00E86995" w:rsidP="00D551FF">
            <w:pPr>
              <w:pStyle w:val="gemeentewageningen"/>
              <w:rPr>
                <w:sz w:val="18"/>
                <w:szCs w:val="18"/>
              </w:rPr>
            </w:pPr>
            <w:r>
              <w:rPr>
                <w:sz w:val="18"/>
                <w:szCs w:val="18"/>
              </w:rPr>
              <w:lastRenderedPageBreak/>
              <w:t>5</w:t>
            </w:r>
          </w:p>
        </w:tc>
        <w:tc>
          <w:tcPr>
            <w:tcW w:w="1718" w:type="dxa"/>
          </w:tcPr>
          <w:p w14:paraId="4E13A210" w14:textId="77777777" w:rsidR="00F1235F" w:rsidRPr="00731A6E" w:rsidRDefault="003F525F" w:rsidP="00D551FF">
            <w:pPr>
              <w:pStyle w:val="gemeentewageningen"/>
              <w:rPr>
                <w:sz w:val="18"/>
                <w:szCs w:val="18"/>
              </w:rPr>
            </w:pPr>
            <w:r>
              <w:rPr>
                <w:sz w:val="18"/>
                <w:szCs w:val="18"/>
              </w:rPr>
              <w:t>SAS hoofddocument, pagina 17,  paragraaf 5.1</w:t>
            </w:r>
          </w:p>
        </w:tc>
        <w:tc>
          <w:tcPr>
            <w:tcW w:w="4761" w:type="dxa"/>
          </w:tcPr>
          <w:p w14:paraId="623D24BD" w14:textId="77777777" w:rsidR="003F525F" w:rsidRPr="003F525F" w:rsidRDefault="003F525F" w:rsidP="003F525F">
            <w:pPr>
              <w:pStyle w:val="gemeentewageningen"/>
              <w:rPr>
                <w:rFonts w:cs="Arial"/>
                <w:sz w:val="18"/>
                <w:szCs w:val="18"/>
              </w:rPr>
            </w:pPr>
            <w:r w:rsidRPr="003F525F">
              <w:rPr>
                <w:rFonts w:cs="Arial"/>
                <w:sz w:val="18"/>
                <w:szCs w:val="18"/>
              </w:rPr>
              <w:t xml:space="preserve">Kunt u het verschil aangeven tussen het  gunningscriterium: </w:t>
            </w:r>
          </w:p>
          <w:p w14:paraId="5EB75A33" w14:textId="77777777" w:rsidR="003F525F" w:rsidRPr="003F525F" w:rsidRDefault="003F525F" w:rsidP="003F525F">
            <w:pPr>
              <w:pStyle w:val="gemeentewageningen"/>
              <w:rPr>
                <w:rFonts w:cs="Arial"/>
                <w:sz w:val="18"/>
                <w:szCs w:val="18"/>
              </w:rPr>
            </w:pPr>
            <w:r w:rsidRPr="003F525F">
              <w:rPr>
                <w:rFonts w:cs="Arial"/>
                <w:sz w:val="18"/>
                <w:szCs w:val="18"/>
              </w:rPr>
              <w:t xml:space="preserve">5.1.1.f) Beschrijf hoe u gedurende de looptijd van het contract flexibel bent bij veranderende omstandigheden waardoor er wijzigingen moeten plaatsvinden en beschrijf hoe de </w:t>
            </w:r>
            <w:proofErr w:type="spellStart"/>
            <w:r w:rsidRPr="003F525F">
              <w:rPr>
                <w:rFonts w:cs="Arial"/>
                <w:sz w:val="18"/>
                <w:szCs w:val="18"/>
              </w:rPr>
              <w:t>governance</w:t>
            </w:r>
            <w:proofErr w:type="spellEnd"/>
            <w:r w:rsidRPr="003F525F">
              <w:rPr>
                <w:rFonts w:cs="Arial"/>
                <w:sz w:val="18"/>
                <w:szCs w:val="18"/>
              </w:rPr>
              <w:t xml:space="preserve"> bij besluitvorming is geregeld. </w:t>
            </w:r>
          </w:p>
          <w:p w14:paraId="3B0C33D0" w14:textId="77777777" w:rsidR="003F525F" w:rsidRPr="003F525F" w:rsidRDefault="003F525F" w:rsidP="003F525F">
            <w:pPr>
              <w:pStyle w:val="gemeentewageningen"/>
              <w:rPr>
                <w:rFonts w:cs="Arial"/>
                <w:sz w:val="18"/>
                <w:szCs w:val="18"/>
              </w:rPr>
            </w:pPr>
            <w:r w:rsidRPr="003F525F">
              <w:rPr>
                <w:rFonts w:cs="Arial"/>
                <w:sz w:val="18"/>
                <w:szCs w:val="18"/>
              </w:rPr>
              <w:t>en</w:t>
            </w:r>
          </w:p>
          <w:p w14:paraId="5E2C91DF" w14:textId="77777777" w:rsidR="00F1235F" w:rsidRPr="00731A6E" w:rsidRDefault="003F525F" w:rsidP="003F525F">
            <w:pPr>
              <w:pStyle w:val="gemeentewageningen"/>
              <w:rPr>
                <w:rFonts w:cs="Arial"/>
                <w:sz w:val="18"/>
                <w:szCs w:val="18"/>
              </w:rPr>
            </w:pPr>
            <w:r w:rsidRPr="003F525F">
              <w:rPr>
                <w:rFonts w:cs="Arial"/>
                <w:sz w:val="18"/>
                <w:szCs w:val="18"/>
              </w:rPr>
              <w:t>5.1.2.d) Beschrijf hoe u als Samenwerkingsverband omgaat met wijzigingen waardoor budget en partners kunnen veranderen.</w:t>
            </w:r>
          </w:p>
        </w:tc>
        <w:tc>
          <w:tcPr>
            <w:tcW w:w="6520" w:type="dxa"/>
            <w:tcBorders>
              <w:right w:val="single" w:sz="4" w:space="0" w:color="auto"/>
            </w:tcBorders>
          </w:tcPr>
          <w:p w14:paraId="60B124AA" w14:textId="0D0A422E" w:rsidR="00F1235F" w:rsidRDefault="00475D18" w:rsidP="00D551FF">
            <w:pPr>
              <w:pStyle w:val="gemeentewageningen"/>
              <w:rPr>
                <w:rFonts w:cs="Arial"/>
                <w:sz w:val="18"/>
                <w:szCs w:val="18"/>
              </w:rPr>
            </w:pPr>
            <w:r>
              <w:rPr>
                <w:rFonts w:cs="Arial"/>
                <w:sz w:val="18"/>
                <w:szCs w:val="18"/>
              </w:rPr>
              <w:t xml:space="preserve">Bij </w:t>
            </w:r>
            <w:r w:rsidRPr="003F525F">
              <w:rPr>
                <w:rFonts w:cs="Arial"/>
                <w:sz w:val="18"/>
                <w:szCs w:val="18"/>
              </w:rPr>
              <w:t>5.1.1.f)</w:t>
            </w:r>
            <w:r>
              <w:rPr>
                <w:rFonts w:cs="Arial"/>
                <w:sz w:val="18"/>
                <w:szCs w:val="18"/>
              </w:rPr>
              <w:t xml:space="preserve"> </w:t>
            </w:r>
            <w:r w:rsidR="001B29D9">
              <w:rPr>
                <w:rFonts w:cs="Arial"/>
                <w:sz w:val="18"/>
                <w:szCs w:val="18"/>
              </w:rPr>
              <w:t>betreft wijzigingen van de uitvoering binnen het Samenwerkingsverband</w:t>
            </w:r>
            <w:r w:rsidR="00590CA7">
              <w:rPr>
                <w:rFonts w:cs="Arial"/>
                <w:sz w:val="18"/>
                <w:szCs w:val="18"/>
              </w:rPr>
              <w:t xml:space="preserve"> bij veranderende omstandigheden en hoe de besluitvorming hierover plaatsvindt.</w:t>
            </w:r>
          </w:p>
          <w:p w14:paraId="6EE4F3A5" w14:textId="6075952E" w:rsidR="001B29D9" w:rsidRPr="00731A6E" w:rsidRDefault="001B29D9" w:rsidP="00D551FF">
            <w:pPr>
              <w:pStyle w:val="gemeentewageningen"/>
              <w:rPr>
                <w:rFonts w:cs="Arial"/>
                <w:sz w:val="18"/>
                <w:szCs w:val="18"/>
              </w:rPr>
            </w:pPr>
            <w:r>
              <w:rPr>
                <w:rFonts w:cs="Arial"/>
                <w:sz w:val="18"/>
                <w:szCs w:val="18"/>
              </w:rPr>
              <w:t xml:space="preserve">Bij </w:t>
            </w:r>
            <w:r w:rsidRPr="003F525F">
              <w:rPr>
                <w:rFonts w:cs="Arial"/>
                <w:sz w:val="18"/>
                <w:szCs w:val="18"/>
              </w:rPr>
              <w:t>5.1.2.d)</w:t>
            </w:r>
            <w:r>
              <w:rPr>
                <w:rFonts w:cs="Arial"/>
                <w:sz w:val="18"/>
                <w:szCs w:val="18"/>
              </w:rPr>
              <w:t xml:space="preserve"> hier betreft het </w:t>
            </w:r>
            <w:r w:rsidR="00590CA7">
              <w:rPr>
                <w:rFonts w:cs="Arial"/>
                <w:sz w:val="18"/>
                <w:szCs w:val="18"/>
              </w:rPr>
              <w:t xml:space="preserve">specifiek </w:t>
            </w:r>
            <w:r>
              <w:rPr>
                <w:rFonts w:cs="Arial"/>
                <w:sz w:val="18"/>
                <w:szCs w:val="18"/>
              </w:rPr>
              <w:t>wijzigingen van budget en partners</w:t>
            </w:r>
            <w:r w:rsidR="00590CA7">
              <w:rPr>
                <w:rFonts w:cs="Arial"/>
                <w:sz w:val="18"/>
                <w:szCs w:val="18"/>
              </w:rPr>
              <w:t>.</w:t>
            </w:r>
          </w:p>
        </w:tc>
      </w:tr>
      <w:tr w:rsidR="00CA3BE6" w:rsidRPr="00731A6E" w14:paraId="5353D460" w14:textId="77777777" w:rsidTr="00B53A02">
        <w:tc>
          <w:tcPr>
            <w:tcW w:w="496" w:type="dxa"/>
            <w:tcBorders>
              <w:left w:val="single" w:sz="4" w:space="0" w:color="auto"/>
            </w:tcBorders>
          </w:tcPr>
          <w:p w14:paraId="4D335C32" w14:textId="5207449C" w:rsidR="00CA3BE6" w:rsidRDefault="00CA3BE6" w:rsidP="00D551FF">
            <w:pPr>
              <w:pStyle w:val="gemeentewageningen"/>
              <w:rPr>
                <w:sz w:val="18"/>
                <w:szCs w:val="18"/>
              </w:rPr>
            </w:pPr>
            <w:r>
              <w:rPr>
                <w:sz w:val="18"/>
                <w:szCs w:val="18"/>
              </w:rPr>
              <w:t>6</w:t>
            </w:r>
          </w:p>
        </w:tc>
        <w:tc>
          <w:tcPr>
            <w:tcW w:w="1718" w:type="dxa"/>
          </w:tcPr>
          <w:p w14:paraId="4664C2CE" w14:textId="5A23F9DF" w:rsidR="00CA3BE6" w:rsidRDefault="00CA3BE6" w:rsidP="00D551FF">
            <w:pPr>
              <w:pStyle w:val="gemeentewageningen"/>
              <w:rPr>
                <w:sz w:val="18"/>
                <w:szCs w:val="18"/>
              </w:rPr>
            </w:pPr>
            <w:r>
              <w:rPr>
                <w:sz w:val="18"/>
                <w:szCs w:val="18"/>
              </w:rPr>
              <w:t>Nota van inlichtingen, vraag  44</w:t>
            </w:r>
          </w:p>
        </w:tc>
        <w:tc>
          <w:tcPr>
            <w:tcW w:w="4761" w:type="dxa"/>
          </w:tcPr>
          <w:p w14:paraId="22922E1B" w14:textId="41D3CCA9" w:rsidR="00CA3BE6" w:rsidRPr="003F525F" w:rsidRDefault="00CA3BE6" w:rsidP="003F525F">
            <w:pPr>
              <w:pStyle w:val="gemeentewageningen"/>
              <w:rPr>
                <w:rFonts w:cs="Arial"/>
                <w:sz w:val="18"/>
                <w:szCs w:val="18"/>
              </w:rPr>
            </w:pPr>
            <w:r>
              <w:rPr>
                <w:rFonts w:cs="Arial"/>
                <w:sz w:val="18"/>
                <w:szCs w:val="18"/>
              </w:rPr>
              <w:t xml:space="preserve">Het percentage van de indexering over de komende jaren is nog niet bekend, maar uitgegaan wordt van een </w:t>
            </w:r>
            <w:r w:rsidRPr="004E1CE8">
              <w:rPr>
                <w:rFonts w:cs="Arial"/>
                <w:sz w:val="18"/>
                <w:szCs w:val="18"/>
              </w:rPr>
              <w:t>jaarlijkse indexatie conform de gehanteerde prijsindex van de materiele overheidsconsumptie (IMOC)</w:t>
            </w:r>
            <w:r>
              <w:rPr>
                <w:rFonts w:cs="Arial"/>
                <w:sz w:val="18"/>
                <w:szCs w:val="18"/>
              </w:rPr>
              <w:t>. Deze houdt geen rekening met loonkostenstijgingen als gevolg van veranderingen in de CAO voor Sociaal Werk. In de afgelopen jaren hebben we gezien dat deze meermalen fors is gestegen waardoor het beschikbare budget achterbleef en dus noopte tot bezuinigingen. Kan de gemeente garanderen dat in de komende contractperiode de loonkostenstijgingen als gevolg van de CAO wel meegenomen worden in de indexering, bovenop de gehanteerde prijsindex van de materiele overheidsconsumptie? Dit om te voorkomen dat de partijen nog verder moeten bezuinigen.</w:t>
            </w:r>
          </w:p>
        </w:tc>
        <w:tc>
          <w:tcPr>
            <w:tcW w:w="6520" w:type="dxa"/>
            <w:tcBorders>
              <w:right w:val="single" w:sz="4" w:space="0" w:color="auto"/>
            </w:tcBorders>
          </w:tcPr>
          <w:p w14:paraId="6C66C3C0" w14:textId="771DAF07" w:rsidR="00645B4B" w:rsidRPr="00783B8C" w:rsidRDefault="00645B4B" w:rsidP="00645B4B">
            <w:pPr>
              <w:rPr>
                <w:rFonts w:cs="Arial"/>
                <w:sz w:val="18"/>
                <w:szCs w:val="18"/>
              </w:rPr>
            </w:pPr>
            <w:r w:rsidRPr="00783B8C">
              <w:rPr>
                <w:rFonts w:cs="Arial"/>
                <w:sz w:val="18"/>
                <w:szCs w:val="18"/>
              </w:rPr>
              <w:t xml:space="preserve">De gemeente kan niet garanderen dat in de komende contractperiode loonkostenstijgingen als gevolg van de CAO meegenomen worden in de indexering. Vooralsnog gaan we uit </w:t>
            </w:r>
            <w:r w:rsidR="00F07BB7" w:rsidRPr="00783B8C">
              <w:rPr>
                <w:rFonts w:cs="Arial"/>
                <w:sz w:val="18"/>
                <w:szCs w:val="18"/>
              </w:rPr>
              <w:t xml:space="preserve">van </w:t>
            </w:r>
            <w:r w:rsidRPr="00783B8C">
              <w:rPr>
                <w:rFonts w:cs="Arial"/>
                <w:sz w:val="18"/>
                <w:szCs w:val="18"/>
              </w:rPr>
              <w:t>de jaarlijkse indexatie conform de gehanteerde prijsindex van de materiele overheidsconsumptie (IMOC).</w:t>
            </w:r>
          </w:p>
          <w:p w14:paraId="5CFF9068" w14:textId="46274AA0" w:rsidR="00CA3BE6" w:rsidRDefault="00CA3BE6" w:rsidP="00D551FF">
            <w:pPr>
              <w:pStyle w:val="gemeentewageningen"/>
              <w:rPr>
                <w:rFonts w:cs="Arial"/>
                <w:sz w:val="18"/>
                <w:szCs w:val="18"/>
              </w:rPr>
            </w:pPr>
          </w:p>
        </w:tc>
      </w:tr>
      <w:tr w:rsidR="00EF0099" w:rsidRPr="00731A6E" w14:paraId="718E9129" w14:textId="77777777" w:rsidTr="00B53A02">
        <w:tc>
          <w:tcPr>
            <w:tcW w:w="496" w:type="dxa"/>
            <w:tcBorders>
              <w:left w:val="single" w:sz="4" w:space="0" w:color="auto"/>
            </w:tcBorders>
          </w:tcPr>
          <w:p w14:paraId="55C2D810" w14:textId="5DA30751" w:rsidR="00EF0099" w:rsidRDefault="00EF0099" w:rsidP="00D551FF">
            <w:pPr>
              <w:pStyle w:val="gemeentewageningen"/>
              <w:rPr>
                <w:sz w:val="18"/>
                <w:szCs w:val="18"/>
              </w:rPr>
            </w:pPr>
            <w:r>
              <w:rPr>
                <w:sz w:val="18"/>
                <w:szCs w:val="18"/>
              </w:rPr>
              <w:t xml:space="preserve">7 </w:t>
            </w:r>
          </w:p>
        </w:tc>
        <w:tc>
          <w:tcPr>
            <w:tcW w:w="1718" w:type="dxa"/>
          </w:tcPr>
          <w:p w14:paraId="2EE7BA5A" w14:textId="6E573BD2" w:rsidR="00EF0099" w:rsidRDefault="00EF0099" w:rsidP="00D551FF">
            <w:pPr>
              <w:pStyle w:val="gemeentewageningen"/>
              <w:rPr>
                <w:sz w:val="18"/>
                <w:szCs w:val="18"/>
              </w:rPr>
            </w:pPr>
            <w:r>
              <w:rPr>
                <w:sz w:val="18"/>
                <w:szCs w:val="18"/>
              </w:rPr>
              <w:t>Bijlage 8</w:t>
            </w:r>
          </w:p>
        </w:tc>
        <w:tc>
          <w:tcPr>
            <w:tcW w:w="4761" w:type="dxa"/>
          </w:tcPr>
          <w:p w14:paraId="0AE4CEB0" w14:textId="77777777" w:rsidR="00EF0099" w:rsidRDefault="00EF0099" w:rsidP="003F525F">
            <w:pPr>
              <w:pStyle w:val="gemeentewageningen"/>
              <w:rPr>
                <w:rFonts w:cs="Arial"/>
                <w:sz w:val="18"/>
                <w:szCs w:val="18"/>
              </w:rPr>
            </w:pPr>
          </w:p>
        </w:tc>
        <w:tc>
          <w:tcPr>
            <w:tcW w:w="6520" w:type="dxa"/>
            <w:tcBorders>
              <w:right w:val="single" w:sz="4" w:space="0" w:color="auto"/>
            </w:tcBorders>
          </w:tcPr>
          <w:p w14:paraId="06D9EE10" w14:textId="331F014C" w:rsidR="00EF0099" w:rsidRPr="00645B4B" w:rsidRDefault="00EF0099" w:rsidP="00EF0099">
            <w:pPr>
              <w:rPr>
                <w:rFonts w:ascii="Verdana" w:eastAsia="Times New Roman" w:hAnsi="Verdana"/>
                <w:color w:val="1F497D"/>
                <w:sz w:val="18"/>
                <w:szCs w:val="18"/>
              </w:rPr>
            </w:pPr>
            <w:r w:rsidRPr="00EF0099">
              <w:rPr>
                <w:rFonts w:cs="Arial"/>
                <w:sz w:val="18"/>
                <w:szCs w:val="18"/>
              </w:rPr>
              <w:t>In Bijlage 8 1e pagina, 2e resultaat, staat bij Bemoeizorg aanbieder Compleet Mensenwerk genoemd. Dit is niet correct en moet zijn RIBW AVV en Altijd iemand in de Buurt.</w:t>
            </w:r>
          </w:p>
        </w:tc>
      </w:tr>
    </w:tbl>
    <w:p w14:paraId="50C89147" w14:textId="77777777" w:rsidR="00F1235F" w:rsidRDefault="00F1235F" w:rsidP="00F1235F">
      <w:pPr>
        <w:pStyle w:val="gemeentewageningen"/>
      </w:pPr>
    </w:p>
    <w:p w14:paraId="397A2BD5" w14:textId="77777777" w:rsidR="00F1235F" w:rsidRDefault="00F1235F" w:rsidP="00F1235F">
      <w:pPr>
        <w:pStyle w:val="gemeentewageningen"/>
      </w:pPr>
    </w:p>
    <w:p w14:paraId="1EF05875" w14:textId="77777777" w:rsidR="003F525F" w:rsidRDefault="003F525F">
      <w:pPr>
        <w:spacing w:after="160" w:line="259" w:lineRule="auto"/>
      </w:pPr>
    </w:p>
    <w:p w14:paraId="057E3E53" w14:textId="3A788364" w:rsidR="006E7347" w:rsidRDefault="006E7347" w:rsidP="00F1235F">
      <w:pPr>
        <w:pStyle w:val="gemeentewageningen"/>
      </w:pPr>
      <w:r>
        <w:t xml:space="preserve">Berekening bij </w:t>
      </w:r>
      <w:r w:rsidR="00377317">
        <w:t>4</w:t>
      </w:r>
      <w:r>
        <w:t>:</w:t>
      </w:r>
    </w:p>
    <w:tbl>
      <w:tblPr>
        <w:tblW w:w="9214" w:type="dxa"/>
        <w:tblInd w:w="-5" w:type="dxa"/>
        <w:tblCellMar>
          <w:left w:w="70" w:type="dxa"/>
          <w:right w:w="70" w:type="dxa"/>
        </w:tblCellMar>
        <w:tblLook w:val="04A0" w:firstRow="1" w:lastRow="0" w:firstColumn="1" w:lastColumn="0" w:noHBand="0" w:noVBand="1"/>
      </w:tblPr>
      <w:tblGrid>
        <w:gridCol w:w="1420"/>
        <w:gridCol w:w="2060"/>
        <w:gridCol w:w="1820"/>
        <w:gridCol w:w="2213"/>
        <w:gridCol w:w="1701"/>
      </w:tblGrid>
      <w:tr w:rsidR="00F1235F" w:rsidRPr="00F1235F" w14:paraId="7A8854CC" w14:textId="77777777" w:rsidTr="002F0B89">
        <w:trPr>
          <w:trHeight w:val="1254"/>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9A402" w14:textId="77777777" w:rsidR="00F1235F" w:rsidRPr="00F1235F" w:rsidRDefault="00F1235F" w:rsidP="00F1235F">
            <w:pPr>
              <w:spacing w:line="240" w:lineRule="auto"/>
              <w:rPr>
                <w:rFonts w:eastAsia="Times New Roman"/>
                <w:color w:val="000000"/>
                <w:sz w:val="20"/>
              </w:rPr>
            </w:pPr>
            <w:r w:rsidRPr="00F1235F">
              <w:rPr>
                <w:rFonts w:eastAsia="Times New Roman" w:cs="Arial"/>
                <w:color w:val="000000"/>
                <w:sz w:val="20"/>
              </w:rPr>
              <w:t> </w:t>
            </w:r>
          </w:p>
        </w:tc>
        <w:tc>
          <w:tcPr>
            <w:tcW w:w="2060" w:type="dxa"/>
            <w:tcBorders>
              <w:top w:val="single" w:sz="4" w:space="0" w:color="auto"/>
              <w:left w:val="nil"/>
              <w:bottom w:val="single" w:sz="4" w:space="0" w:color="auto"/>
              <w:right w:val="single" w:sz="4" w:space="0" w:color="auto"/>
            </w:tcBorders>
            <w:shd w:val="clear" w:color="auto" w:fill="auto"/>
            <w:vAlign w:val="bottom"/>
            <w:hideMark/>
          </w:tcPr>
          <w:p w14:paraId="7385C0DB" w14:textId="77777777" w:rsidR="00F1235F" w:rsidRPr="00F1235F" w:rsidRDefault="00F1235F" w:rsidP="00F1235F">
            <w:pPr>
              <w:spacing w:line="240" w:lineRule="auto"/>
              <w:rPr>
                <w:rFonts w:ascii="Calibri" w:eastAsia="Times New Roman" w:hAnsi="Calibri"/>
                <w:color w:val="000000"/>
                <w:sz w:val="20"/>
              </w:rPr>
            </w:pPr>
            <w:r w:rsidRPr="00F1235F">
              <w:rPr>
                <w:rFonts w:ascii="Calibri" w:eastAsia="Times New Roman" w:hAnsi="Calibri"/>
                <w:color w:val="000000"/>
                <w:sz w:val="20"/>
              </w:rPr>
              <w:t>WAS: Oorspronkelijk budget aanbesteding</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14:paraId="6D44937B" w14:textId="77777777" w:rsidR="00F1235F" w:rsidRPr="00F1235F" w:rsidRDefault="00F1235F" w:rsidP="00F1235F">
            <w:pPr>
              <w:spacing w:line="240" w:lineRule="auto"/>
              <w:rPr>
                <w:rFonts w:ascii="Calibri" w:eastAsia="Times New Roman" w:hAnsi="Calibri"/>
                <w:color w:val="000000"/>
                <w:sz w:val="20"/>
              </w:rPr>
            </w:pPr>
            <w:r w:rsidRPr="00F1235F">
              <w:rPr>
                <w:rFonts w:ascii="Calibri" w:eastAsia="Times New Roman" w:hAnsi="Calibri"/>
                <w:color w:val="000000"/>
                <w:sz w:val="20"/>
              </w:rPr>
              <w:t xml:space="preserve">WORDT:  Nieuw </w:t>
            </w:r>
            <w:r w:rsidR="005D32B1" w:rsidRPr="00A46D12">
              <w:rPr>
                <w:rFonts w:ascii="Calibri" w:eastAsia="Times New Roman" w:hAnsi="Calibri"/>
                <w:color w:val="000000"/>
                <w:sz w:val="20"/>
              </w:rPr>
              <w:t xml:space="preserve">genoemd </w:t>
            </w:r>
            <w:r w:rsidRPr="00F1235F">
              <w:rPr>
                <w:rFonts w:ascii="Calibri" w:eastAsia="Times New Roman" w:hAnsi="Calibri"/>
                <w:color w:val="000000"/>
                <w:sz w:val="20"/>
              </w:rPr>
              <w:t xml:space="preserve">budget </w:t>
            </w:r>
          </w:p>
        </w:tc>
        <w:tc>
          <w:tcPr>
            <w:tcW w:w="2213" w:type="dxa"/>
            <w:tcBorders>
              <w:top w:val="single" w:sz="4" w:space="0" w:color="auto"/>
              <w:left w:val="nil"/>
              <w:bottom w:val="single" w:sz="4" w:space="0" w:color="auto"/>
              <w:right w:val="single" w:sz="4" w:space="0" w:color="auto"/>
            </w:tcBorders>
            <w:shd w:val="clear" w:color="auto" w:fill="auto"/>
            <w:vAlign w:val="bottom"/>
            <w:hideMark/>
          </w:tcPr>
          <w:p w14:paraId="7ADAD4AF" w14:textId="77777777" w:rsidR="00F1235F" w:rsidRPr="00F1235F" w:rsidRDefault="00F1235F" w:rsidP="00F1235F">
            <w:pPr>
              <w:spacing w:line="240" w:lineRule="auto"/>
              <w:rPr>
                <w:rFonts w:ascii="Calibri" w:eastAsia="Times New Roman" w:hAnsi="Calibri"/>
                <w:color w:val="000000"/>
                <w:sz w:val="20"/>
              </w:rPr>
            </w:pPr>
            <w:r w:rsidRPr="00F1235F">
              <w:rPr>
                <w:rFonts w:ascii="Calibri" w:eastAsia="Times New Roman" w:hAnsi="Calibri"/>
                <w:color w:val="000000"/>
                <w:sz w:val="20"/>
              </w:rPr>
              <w:t>BEREKENING: oorspronkelijk budget - (1,5%x Oorspronkelijk budget) + (2,7% x Oorspronkelijk budget)</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381E3948" w14:textId="77777777" w:rsidR="00F1235F" w:rsidRPr="00F1235F" w:rsidRDefault="00F1235F" w:rsidP="00F1235F">
            <w:pPr>
              <w:spacing w:line="240" w:lineRule="auto"/>
              <w:rPr>
                <w:rFonts w:ascii="Calibri" w:eastAsia="Times New Roman" w:hAnsi="Calibri"/>
                <w:color w:val="000000"/>
                <w:sz w:val="20"/>
              </w:rPr>
            </w:pPr>
            <w:r w:rsidRPr="00F1235F">
              <w:rPr>
                <w:rFonts w:ascii="Calibri" w:eastAsia="Times New Roman" w:hAnsi="Calibri"/>
                <w:color w:val="000000"/>
                <w:sz w:val="20"/>
              </w:rPr>
              <w:t>VERSCHIL</w:t>
            </w:r>
          </w:p>
        </w:tc>
      </w:tr>
      <w:tr w:rsidR="00F1235F" w:rsidRPr="00F1235F" w14:paraId="5932632B" w14:textId="77777777" w:rsidTr="002F0B89">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B2A078D" w14:textId="77777777" w:rsidR="00F1235F" w:rsidRPr="00F1235F" w:rsidRDefault="00F1235F" w:rsidP="00F1235F">
            <w:pPr>
              <w:spacing w:line="240" w:lineRule="auto"/>
              <w:rPr>
                <w:rFonts w:eastAsia="Times New Roman"/>
                <w:color w:val="000000"/>
                <w:sz w:val="20"/>
              </w:rPr>
            </w:pPr>
            <w:r w:rsidRPr="00F1235F">
              <w:rPr>
                <w:rFonts w:eastAsia="Times New Roman" w:cs="Arial"/>
                <w:color w:val="000000"/>
                <w:sz w:val="20"/>
              </w:rPr>
              <w:t>Zelfredzaam     </w:t>
            </w:r>
          </w:p>
        </w:tc>
        <w:tc>
          <w:tcPr>
            <w:tcW w:w="2060" w:type="dxa"/>
            <w:tcBorders>
              <w:top w:val="nil"/>
              <w:left w:val="nil"/>
              <w:bottom w:val="single" w:sz="4" w:space="0" w:color="auto"/>
              <w:right w:val="single" w:sz="4" w:space="0" w:color="auto"/>
            </w:tcBorders>
            <w:shd w:val="clear" w:color="auto" w:fill="auto"/>
            <w:noWrap/>
            <w:vAlign w:val="bottom"/>
            <w:hideMark/>
          </w:tcPr>
          <w:p w14:paraId="7670865C" w14:textId="77777777" w:rsidR="00F1235F" w:rsidRPr="00F1235F" w:rsidRDefault="00F1235F" w:rsidP="00A46D12">
            <w:pPr>
              <w:spacing w:line="240" w:lineRule="auto"/>
              <w:jc w:val="right"/>
              <w:rPr>
                <w:rFonts w:ascii="Calibri" w:eastAsia="Times New Roman" w:hAnsi="Calibri"/>
                <w:color w:val="000000"/>
                <w:sz w:val="20"/>
              </w:rPr>
            </w:pPr>
            <w:r w:rsidRPr="00F1235F">
              <w:rPr>
                <w:rFonts w:ascii="Calibri" w:eastAsia="Times New Roman" w:hAnsi="Calibri"/>
                <w:color w:val="000000"/>
                <w:sz w:val="20"/>
              </w:rPr>
              <w:t xml:space="preserve"> €     1.589.011,00 </w:t>
            </w:r>
          </w:p>
        </w:tc>
        <w:tc>
          <w:tcPr>
            <w:tcW w:w="1820" w:type="dxa"/>
            <w:tcBorders>
              <w:top w:val="nil"/>
              <w:left w:val="nil"/>
              <w:bottom w:val="single" w:sz="4" w:space="0" w:color="auto"/>
              <w:right w:val="single" w:sz="4" w:space="0" w:color="auto"/>
            </w:tcBorders>
            <w:shd w:val="clear" w:color="auto" w:fill="auto"/>
            <w:noWrap/>
            <w:vAlign w:val="bottom"/>
            <w:hideMark/>
          </w:tcPr>
          <w:p w14:paraId="55DF64F7" w14:textId="77777777" w:rsidR="00F1235F" w:rsidRPr="00F1235F" w:rsidRDefault="00F1235F" w:rsidP="00A46D12">
            <w:pPr>
              <w:spacing w:line="240" w:lineRule="auto"/>
              <w:jc w:val="right"/>
              <w:rPr>
                <w:rFonts w:ascii="Calibri" w:eastAsia="Times New Roman" w:hAnsi="Calibri"/>
                <w:color w:val="000000"/>
                <w:sz w:val="20"/>
              </w:rPr>
            </w:pPr>
            <w:r w:rsidRPr="00F1235F">
              <w:rPr>
                <w:rFonts w:ascii="Calibri" w:eastAsia="Times New Roman" w:hAnsi="Calibri"/>
                <w:color w:val="000000"/>
                <w:sz w:val="20"/>
              </w:rPr>
              <w:t xml:space="preserve"> €     1.603.217,00 </w:t>
            </w:r>
          </w:p>
        </w:tc>
        <w:tc>
          <w:tcPr>
            <w:tcW w:w="2213" w:type="dxa"/>
            <w:tcBorders>
              <w:top w:val="nil"/>
              <w:left w:val="nil"/>
              <w:bottom w:val="single" w:sz="4" w:space="0" w:color="auto"/>
              <w:right w:val="single" w:sz="4" w:space="0" w:color="auto"/>
            </w:tcBorders>
            <w:shd w:val="clear" w:color="auto" w:fill="auto"/>
            <w:noWrap/>
            <w:vAlign w:val="bottom"/>
            <w:hideMark/>
          </w:tcPr>
          <w:p w14:paraId="76314725" w14:textId="77777777" w:rsidR="00F1235F" w:rsidRPr="00F1235F" w:rsidRDefault="00F1235F" w:rsidP="00A46D12">
            <w:pPr>
              <w:spacing w:line="240" w:lineRule="auto"/>
              <w:jc w:val="right"/>
              <w:rPr>
                <w:rFonts w:ascii="Calibri" w:eastAsia="Times New Roman" w:hAnsi="Calibri"/>
                <w:color w:val="000000"/>
                <w:sz w:val="20"/>
              </w:rPr>
            </w:pPr>
            <w:r w:rsidRPr="00F1235F">
              <w:rPr>
                <w:rFonts w:ascii="Calibri" w:eastAsia="Times New Roman" w:hAnsi="Calibri"/>
                <w:color w:val="000000"/>
                <w:sz w:val="20"/>
              </w:rPr>
              <w:t xml:space="preserve"> €      1.608.462,69 </w:t>
            </w:r>
          </w:p>
        </w:tc>
        <w:tc>
          <w:tcPr>
            <w:tcW w:w="1701" w:type="dxa"/>
            <w:tcBorders>
              <w:top w:val="nil"/>
              <w:left w:val="nil"/>
              <w:bottom w:val="single" w:sz="4" w:space="0" w:color="auto"/>
              <w:right w:val="single" w:sz="4" w:space="0" w:color="auto"/>
            </w:tcBorders>
            <w:shd w:val="clear" w:color="auto" w:fill="auto"/>
            <w:noWrap/>
            <w:vAlign w:val="bottom"/>
            <w:hideMark/>
          </w:tcPr>
          <w:p w14:paraId="5B835A77" w14:textId="77777777" w:rsidR="00F1235F" w:rsidRPr="00F1235F" w:rsidRDefault="00F1235F" w:rsidP="00F1235F">
            <w:pPr>
              <w:spacing w:line="240" w:lineRule="auto"/>
              <w:rPr>
                <w:rFonts w:ascii="Calibri" w:eastAsia="Times New Roman" w:hAnsi="Calibri"/>
                <w:color w:val="FF0000"/>
                <w:sz w:val="20"/>
              </w:rPr>
            </w:pPr>
            <w:r w:rsidRPr="00F1235F">
              <w:rPr>
                <w:rFonts w:ascii="Calibri" w:eastAsia="Times New Roman" w:hAnsi="Calibri"/>
                <w:color w:val="FF0000"/>
                <w:sz w:val="20"/>
              </w:rPr>
              <w:t xml:space="preserve"> €       -5.245,69 </w:t>
            </w:r>
          </w:p>
        </w:tc>
      </w:tr>
      <w:tr w:rsidR="00F1235F" w:rsidRPr="00F1235F" w14:paraId="10887789" w14:textId="77777777" w:rsidTr="002F0B89">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D133D96" w14:textId="77777777" w:rsidR="00F1235F" w:rsidRPr="00F1235F" w:rsidRDefault="00F1235F" w:rsidP="00F1235F">
            <w:pPr>
              <w:spacing w:line="240" w:lineRule="auto"/>
              <w:rPr>
                <w:rFonts w:eastAsia="Times New Roman"/>
                <w:color w:val="000000"/>
                <w:sz w:val="20"/>
              </w:rPr>
            </w:pPr>
            <w:r w:rsidRPr="00F1235F">
              <w:rPr>
                <w:rFonts w:eastAsia="Times New Roman" w:cs="Arial"/>
                <w:color w:val="000000"/>
                <w:sz w:val="20"/>
              </w:rPr>
              <w:t xml:space="preserve">Samen redzaam </w:t>
            </w:r>
          </w:p>
        </w:tc>
        <w:tc>
          <w:tcPr>
            <w:tcW w:w="2060" w:type="dxa"/>
            <w:tcBorders>
              <w:top w:val="nil"/>
              <w:left w:val="nil"/>
              <w:bottom w:val="single" w:sz="4" w:space="0" w:color="auto"/>
              <w:right w:val="single" w:sz="4" w:space="0" w:color="auto"/>
            </w:tcBorders>
            <w:shd w:val="clear" w:color="auto" w:fill="auto"/>
            <w:noWrap/>
            <w:vAlign w:val="bottom"/>
            <w:hideMark/>
          </w:tcPr>
          <w:p w14:paraId="662EA2F1" w14:textId="77777777" w:rsidR="00F1235F" w:rsidRPr="00F1235F" w:rsidRDefault="00F1235F" w:rsidP="00A46D12">
            <w:pPr>
              <w:spacing w:line="240" w:lineRule="auto"/>
              <w:jc w:val="right"/>
              <w:rPr>
                <w:rFonts w:ascii="Calibri" w:eastAsia="Times New Roman" w:hAnsi="Calibri"/>
                <w:color w:val="000000"/>
                <w:sz w:val="20"/>
              </w:rPr>
            </w:pPr>
            <w:r w:rsidRPr="00F1235F">
              <w:rPr>
                <w:rFonts w:ascii="Calibri" w:eastAsia="Times New Roman" w:hAnsi="Calibri"/>
                <w:color w:val="000000"/>
                <w:sz w:val="20"/>
              </w:rPr>
              <w:t xml:space="preserve"> €   1.456.562,00 </w:t>
            </w:r>
          </w:p>
        </w:tc>
        <w:tc>
          <w:tcPr>
            <w:tcW w:w="1820" w:type="dxa"/>
            <w:tcBorders>
              <w:top w:val="nil"/>
              <w:left w:val="nil"/>
              <w:bottom w:val="single" w:sz="4" w:space="0" w:color="auto"/>
              <w:right w:val="single" w:sz="4" w:space="0" w:color="auto"/>
            </w:tcBorders>
            <w:shd w:val="clear" w:color="auto" w:fill="auto"/>
            <w:noWrap/>
            <w:vAlign w:val="bottom"/>
            <w:hideMark/>
          </w:tcPr>
          <w:p w14:paraId="262DF6B5" w14:textId="77777777" w:rsidR="00F1235F" w:rsidRPr="00F1235F" w:rsidRDefault="00F1235F" w:rsidP="00A46D12">
            <w:pPr>
              <w:spacing w:line="240" w:lineRule="auto"/>
              <w:jc w:val="right"/>
              <w:rPr>
                <w:rFonts w:ascii="Calibri" w:eastAsia="Times New Roman" w:hAnsi="Calibri"/>
                <w:color w:val="000000"/>
                <w:sz w:val="20"/>
              </w:rPr>
            </w:pPr>
            <w:r w:rsidRPr="00F1235F">
              <w:rPr>
                <w:rFonts w:ascii="Calibri" w:eastAsia="Times New Roman" w:hAnsi="Calibri"/>
                <w:color w:val="000000"/>
                <w:sz w:val="20"/>
              </w:rPr>
              <w:t xml:space="preserve"> €    1.472.489,00 </w:t>
            </w:r>
          </w:p>
        </w:tc>
        <w:tc>
          <w:tcPr>
            <w:tcW w:w="2213" w:type="dxa"/>
            <w:tcBorders>
              <w:top w:val="nil"/>
              <w:left w:val="nil"/>
              <w:bottom w:val="single" w:sz="4" w:space="0" w:color="auto"/>
              <w:right w:val="single" w:sz="4" w:space="0" w:color="auto"/>
            </w:tcBorders>
            <w:shd w:val="clear" w:color="auto" w:fill="auto"/>
            <w:noWrap/>
            <w:vAlign w:val="bottom"/>
            <w:hideMark/>
          </w:tcPr>
          <w:p w14:paraId="4C5E3A98" w14:textId="77777777" w:rsidR="00F1235F" w:rsidRPr="00F1235F" w:rsidRDefault="00F1235F" w:rsidP="00A46D12">
            <w:pPr>
              <w:spacing w:line="240" w:lineRule="auto"/>
              <w:jc w:val="right"/>
              <w:rPr>
                <w:rFonts w:ascii="Calibri" w:eastAsia="Times New Roman" w:hAnsi="Calibri"/>
                <w:color w:val="000000"/>
                <w:sz w:val="20"/>
              </w:rPr>
            </w:pPr>
            <w:r w:rsidRPr="00F1235F">
              <w:rPr>
                <w:rFonts w:ascii="Calibri" w:eastAsia="Times New Roman" w:hAnsi="Calibri"/>
                <w:color w:val="000000"/>
                <w:sz w:val="20"/>
              </w:rPr>
              <w:t xml:space="preserve"> €     1.474.470,77 </w:t>
            </w:r>
          </w:p>
        </w:tc>
        <w:tc>
          <w:tcPr>
            <w:tcW w:w="1701" w:type="dxa"/>
            <w:tcBorders>
              <w:top w:val="nil"/>
              <w:left w:val="nil"/>
              <w:bottom w:val="single" w:sz="4" w:space="0" w:color="auto"/>
              <w:right w:val="single" w:sz="4" w:space="0" w:color="auto"/>
            </w:tcBorders>
            <w:shd w:val="clear" w:color="auto" w:fill="auto"/>
            <w:noWrap/>
            <w:vAlign w:val="bottom"/>
            <w:hideMark/>
          </w:tcPr>
          <w:p w14:paraId="55FAC5F0" w14:textId="77777777" w:rsidR="00F1235F" w:rsidRPr="00F1235F" w:rsidRDefault="00F1235F" w:rsidP="00F1235F">
            <w:pPr>
              <w:spacing w:line="240" w:lineRule="auto"/>
              <w:rPr>
                <w:rFonts w:ascii="Calibri" w:eastAsia="Times New Roman" w:hAnsi="Calibri"/>
                <w:color w:val="FF0000"/>
                <w:sz w:val="20"/>
              </w:rPr>
            </w:pPr>
            <w:r w:rsidRPr="00F1235F">
              <w:rPr>
                <w:rFonts w:ascii="Calibri" w:eastAsia="Times New Roman" w:hAnsi="Calibri"/>
                <w:color w:val="FF0000"/>
                <w:sz w:val="20"/>
              </w:rPr>
              <w:t xml:space="preserve"> €       -1.981,77 </w:t>
            </w:r>
          </w:p>
        </w:tc>
      </w:tr>
      <w:tr w:rsidR="00F1235F" w:rsidRPr="00F1235F" w14:paraId="16B0B743" w14:textId="77777777" w:rsidTr="002F0B89">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E5E7319" w14:textId="77777777" w:rsidR="00F1235F" w:rsidRPr="00F1235F" w:rsidRDefault="00F1235F" w:rsidP="00F1235F">
            <w:pPr>
              <w:spacing w:line="240" w:lineRule="auto"/>
              <w:rPr>
                <w:rFonts w:eastAsia="Times New Roman"/>
                <w:color w:val="000000"/>
                <w:sz w:val="20"/>
              </w:rPr>
            </w:pPr>
            <w:r w:rsidRPr="00F1235F">
              <w:rPr>
                <w:rFonts w:eastAsia="Times New Roman" w:cs="Arial"/>
                <w:color w:val="000000"/>
                <w:sz w:val="20"/>
              </w:rPr>
              <w:t xml:space="preserve">Opgroeien           </w:t>
            </w:r>
          </w:p>
        </w:tc>
        <w:tc>
          <w:tcPr>
            <w:tcW w:w="2060" w:type="dxa"/>
            <w:tcBorders>
              <w:top w:val="nil"/>
              <w:left w:val="nil"/>
              <w:bottom w:val="single" w:sz="4" w:space="0" w:color="auto"/>
              <w:right w:val="single" w:sz="4" w:space="0" w:color="auto"/>
            </w:tcBorders>
            <w:shd w:val="clear" w:color="auto" w:fill="auto"/>
            <w:noWrap/>
            <w:vAlign w:val="bottom"/>
            <w:hideMark/>
          </w:tcPr>
          <w:p w14:paraId="687265FD" w14:textId="77777777" w:rsidR="00F1235F" w:rsidRPr="00F1235F" w:rsidRDefault="00F1235F" w:rsidP="00A46D12">
            <w:pPr>
              <w:spacing w:line="240" w:lineRule="auto"/>
              <w:jc w:val="right"/>
              <w:rPr>
                <w:rFonts w:ascii="Calibri" w:eastAsia="Times New Roman" w:hAnsi="Calibri"/>
                <w:color w:val="000000"/>
                <w:sz w:val="20"/>
              </w:rPr>
            </w:pPr>
            <w:r w:rsidRPr="00F1235F">
              <w:rPr>
                <w:rFonts w:ascii="Calibri" w:eastAsia="Times New Roman" w:hAnsi="Calibri"/>
                <w:color w:val="000000"/>
                <w:sz w:val="20"/>
              </w:rPr>
              <w:t xml:space="preserve"> €     889.465,00 </w:t>
            </w:r>
          </w:p>
        </w:tc>
        <w:tc>
          <w:tcPr>
            <w:tcW w:w="1820" w:type="dxa"/>
            <w:tcBorders>
              <w:top w:val="nil"/>
              <w:left w:val="nil"/>
              <w:bottom w:val="single" w:sz="4" w:space="0" w:color="auto"/>
              <w:right w:val="single" w:sz="4" w:space="0" w:color="auto"/>
            </w:tcBorders>
            <w:shd w:val="clear" w:color="auto" w:fill="auto"/>
            <w:noWrap/>
            <w:vAlign w:val="bottom"/>
            <w:hideMark/>
          </w:tcPr>
          <w:p w14:paraId="07BF87EF" w14:textId="77777777" w:rsidR="00F1235F" w:rsidRPr="00F1235F" w:rsidRDefault="00F1235F" w:rsidP="00A46D12">
            <w:pPr>
              <w:spacing w:line="240" w:lineRule="auto"/>
              <w:jc w:val="right"/>
              <w:rPr>
                <w:rFonts w:ascii="Calibri" w:eastAsia="Times New Roman" w:hAnsi="Calibri"/>
                <w:color w:val="000000"/>
                <w:sz w:val="20"/>
              </w:rPr>
            </w:pPr>
            <w:r w:rsidRPr="00F1235F">
              <w:rPr>
                <w:rFonts w:ascii="Calibri" w:eastAsia="Times New Roman" w:hAnsi="Calibri"/>
                <w:color w:val="000000"/>
                <w:sz w:val="20"/>
              </w:rPr>
              <w:t xml:space="preserve"> €    895.592,00 </w:t>
            </w:r>
          </w:p>
        </w:tc>
        <w:tc>
          <w:tcPr>
            <w:tcW w:w="2213" w:type="dxa"/>
            <w:tcBorders>
              <w:top w:val="nil"/>
              <w:left w:val="nil"/>
              <w:bottom w:val="single" w:sz="4" w:space="0" w:color="auto"/>
              <w:right w:val="single" w:sz="4" w:space="0" w:color="auto"/>
            </w:tcBorders>
            <w:shd w:val="clear" w:color="auto" w:fill="auto"/>
            <w:noWrap/>
            <w:vAlign w:val="bottom"/>
            <w:hideMark/>
          </w:tcPr>
          <w:p w14:paraId="59CE9A50" w14:textId="77777777" w:rsidR="00F1235F" w:rsidRPr="00F1235F" w:rsidRDefault="00F1235F" w:rsidP="00A46D12">
            <w:pPr>
              <w:spacing w:line="240" w:lineRule="auto"/>
              <w:jc w:val="right"/>
              <w:rPr>
                <w:rFonts w:ascii="Calibri" w:eastAsia="Times New Roman" w:hAnsi="Calibri"/>
                <w:color w:val="000000"/>
                <w:sz w:val="20"/>
              </w:rPr>
            </w:pPr>
            <w:r w:rsidRPr="00F1235F">
              <w:rPr>
                <w:rFonts w:ascii="Calibri" w:eastAsia="Times New Roman" w:hAnsi="Calibri"/>
                <w:color w:val="000000"/>
                <w:sz w:val="20"/>
              </w:rPr>
              <w:t xml:space="preserve"> €     900.304,01 </w:t>
            </w:r>
          </w:p>
        </w:tc>
        <w:tc>
          <w:tcPr>
            <w:tcW w:w="1701" w:type="dxa"/>
            <w:tcBorders>
              <w:top w:val="nil"/>
              <w:left w:val="nil"/>
              <w:bottom w:val="single" w:sz="4" w:space="0" w:color="auto"/>
              <w:right w:val="single" w:sz="4" w:space="0" w:color="auto"/>
            </w:tcBorders>
            <w:shd w:val="clear" w:color="auto" w:fill="auto"/>
            <w:noWrap/>
            <w:vAlign w:val="bottom"/>
            <w:hideMark/>
          </w:tcPr>
          <w:p w14:paraId="6602DBA2" w14:textId="77777777" w:rsidR="00F1235F" w:rsidRPr="00F1235F" w:rsidRDefault="00F1235F" w:rsidP="00F1235F">
            <w:pPr>
              <w:spacing w:line="240" w:lineRule="auto"/>
              <w:rPr>
                <w:rFonts w:ascii="Calibri" w:eastAsia="Times New Roman" w:hAnsi="Calibri"/>
                <w:color w:val="FF0000"/>
                <w:sz w:val="20"/>
              </w:rPr>
            </w:pPr>
            <w:r w:rsidRPr="00F1235F">
              <w:rPr>
                <w:rFonts w:ascii="Calibri" w:eastAsia="Times New Roman" w:hAnsi="Calibri"/>
                <w:color w:val="FF0000"/>
                <w:sz w:val="20"/>
              </w:rPr>
              <w:t xml:space="preserve"> €       -4.712,01 </w:t>
            </w:r>
          </w:p>
        </w:tc>
      </w:tr>
      <w:tr w:rsidR="00F1235F" w:rsidRPr="00F1235F" w14:paraId="53F8D021" w14:textId="77777777" w:rsidTr="002F0B89">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4733DEA" w14:textId="77777777" w:rsidR="00F1235F" w:rsidRPr="00F1235F" w:rsidRDefault="00F1235F" w:rsidP="00F1235F">
            <w:pPr>
              <w:spacing w:line="240" w:lineRule="auto"/>
              <w:rPr>
                <w:rFonts w:ascii="Verdana" w:eastAsia="Times New Roman" w:hAnsi="Verdana"/>
                <w:b/>
                <w:bCs/>
                <w:color w:val="000000"/>
                <w:sz w:val="20"/>
              </w:rPr>
            </w:pPr>
            <w:r w:rsidRPr="00F1235F">
              <w:rPr>
                <w:rFonts w:ascii="Verdana" w:eastAsia="Times New Roman" w:hAnsi="Verdana"/>
                <w:b/>
                <w:bCs/>
                <w:color w:val="000000"/>
                <w:sz w:val="20"/>
              </w:rPr>
              <w:t>Totaal</w:t>
            </w:r>
          </w:p>
        </w:tc>
        <w:tc>
          <w:tcPr>
            <w:tcW w:w="2060" w:type="dxa"/>
            <w:tcBorders>
              <w:top w:val="nil"/>
              <w:left w:val="nil"/>
              <w:bottom w:val="single" w:sz="4" w:space="0" w:color="auto"/>
              <w:right w:val="single" w:sz="4" w:space="0" w:color="auto"/>
            </w:tcBorders>
            <w:shd w:val="clear" w:color="auto" w:fill="auto"/>
            <w:noWrap/>
            <w:vAlign w:val="bottom"/>
            <w:hideMark/>
          </w:tcPr>
          <w:p w14:paraId="241AF2CE" w14:textId="77777777" w:rsidR="00F1235F" w:rsidRPr="00F1235F" w:rsidRDefault="00F1235F" w:rsidP="00A46D12">
            <w:pPr>
              <w:spacing w:line="240" w:lineRule="auto"/>
              <w:jc w:val="right"/>
              <w:rPr>
                <w:rFonts w:ascii="Calibri" w:eastAsia="Times New Roman" w:hAnsi="Calibri"/>
                <w:b/>
                <w:bCs/>
                <w:color w:val="000000"/>
                <w:sz w:val="20"/>
              </w:rPr>
            </w:pPr>
            <w:r w:rsidRPr="00F1235F">
              <w:rPr>
                <w:rFonts w:ascii="Calibri" w:eastAsia="Times New Roman" w:hAnsi="Calibri"/>
                <w:b/>
                <w:bCs/>
                <w:color w:val="000000"/>
                <w:sz w:val="20"/>
              </w:rPr>
              <w:t xml:space="preserve"> €    3.935.038,00 </w:t>
            </w:r>
          </w:p>
        </w:tc>
        <w:tc>
          <w:tcPr>
            <w:tcW w:w="1820" w:type="dxa"/>
            <w:tcBorders>
              <w:top w:val="nil"/>
              <w:left w:val="nil"/>
              <w:bottom w:val="single" w:sz="4" w:space="0" w:color="auto"/>
              <w:right w:val="single" w:sz="4" w:space="0" w:color="auto"/>
            </w:tcBorders>
            <w:shd w:val="clear" w:color="auto" w:fill="auto"/>
            <w:noWrap/>
            <w:vAlign w:val="bottom"/>
            <w:hideMark/>
          </w:tcPr>
          <w:p w14:paraId="38E1968A" w14:textId="77777777" w:rsidR="00F1235F" w:rsidRPr="00F1235F" w:rsidRDefault="00F1235F" w:rsidP="00A46D12">
            <w:pPr>
              <w:spacing w:line="240" w:lineRule="auto"/>
              <w:jc w:val="right"/>
              <w:rPr>
                <w:rFonts w:ascii="Calibri" w:eastAsia="Times New Roman" w:hAnsi="Calibri"/>
                <w:b/>
                <w:bCs/>
                <w:color w:val="000000"/>
                <w:sz w:val="20"/>
              </w:rPr>
            </w:pPr>
            <w:r w:rsidRPr="00F1235F">
              <w:rPr>
                <w:rFonts w:ascii="Calibri" w:eastAsia="Times New Roman" w:hAnsi="Calibri"/>
                <w:b/>
                <w:bCs/>
                <w:color w:val="000000"/>
                <w:sz w:val="20"/>
              </w:rPr>
              <w:t xml:space="preserve"> €     3.971.298,00 </w:t>
            </w:r>
          </w:p>
        </w:tc>
        <w:tc>
          <w:tcPr>
            <w:tcW w:w="2213" w:type="dxa"/>
            <w:tcBorders>
              <w:top w:val="nil"/>
              <w:left w:val="nil"/>
              <w:bottom w:val="single" w:sz="4" w:space="0" w:color="auto"/>
              <w:right w:val="single" w:sz="4" w:space="0" w:color="auto"/>
            </w:tcBorders>
            <w:shd w:val="clear" w:color="auto" w:fill="auto"/>
            <w:noWrap/>
            <w:vAlign w:val="bottom"/>
            <w:hideMark/>
          </w:tcPr>
          <w:p w14:paraId="4158ED78" w14:textId="77777777" w:rsidR="00F1235F" w:rsidRPr="00F1235F" w:rsidRDefault="00F1235F" w:rsidP="00A46D12">
            <w:pPr>
              <w:spacing w:line="240" w:lineRule="auto"/>
              <w:jc w:val="right"/>
              <w:rPr>
                <w:rFonts w:ascii="Calibri" w:eastAsia="Times New Roman" w:hAnsi="Calibri"/>
                <w:b/>
                <w:bCs/>
                <w:color w:val="000000"/>
                <w:sz w:val="20"/>
              </w:rPr>
            </w:pPr>
            <w:r w:rsidRPr="00F1235F">
              <w:rPr>
                <w:rFonts w:ascii="Calibri" w:eastAsia="Times New Roman" w:hAnsi="Calibri"/>
                <w:b/>
                <w:bCs/>
                <w:color w:val="000000"/>
                <w:sz w:val="20"/>
              </w:rPr>
              <w:t xml:space="preserve"> €    3.983.237,48 </w:t>
            </w:r>
          </w:p>
        </w:tc>
        <w:tc>
          <w:tcPr>
            <w:tcW w:w="1701" w:type="dxa"/>
            <w:tcBorders>
              <w:top w:val="nil"/>
              <w:left w:val="nil"/>
              <w:bottom w:val="single" w:sz="4" w:space="0" w:color="auto"/>
              <w:right w:val="single" w:sz="4" w:space="0" w:color="auto"/>
            </w:tcBorders>
            <w:shd w:val="clear" w:color="auto" w:fill="auto"/>
            <w:noWrap/>
            <w:vAlign w:val="bottom"/>
            <w:hideMark/>
          </w:tcPr>
          <w:p w14:paraId="0B9AFD6C" w14:textId="77777777" w:rsidR="00F1235F" w:rsidRPr="00F1235F" w:rsidRDefault="00F1235F" w:rsidP="00F1235F">
            <w:pPr>
              <w:spacing w:line="240" w:lineRule="auto"/>
              <w:rPr>
                <w:rFonts w:ascii="Calibri" w:eastAsia="Times New Roman" w:hAnsi="Calibri"/>
                <w:b/>
                <w:bCs/>
                <w:color w:val="FF0000"/>
                <w:sz w:val="20"/>
              </w:rPr>
            </w:pPr>
            <w:r w:rsidRPr="00F1235F">
              <w:rPr>
                <w:rFonts w:ascii="Calibri" w:eastAsia="Times New Roman" w:hAnsi="Calibri"/>
                <w:b/>
                <w:bCs/>
                <w:color w:val="FF0000"/>
                <w:sz w:val="20"/>
              </w:rPr>
              <w:t xml:space="preserve"> €     -11.939,48 </w:t>
            </w:r>
          </w:p>
        </w:tc>
      </w:tr>
    </w:tbl>
    <w:p w14:paraId="0B556F2A" w14:textId="77777777" w:rsidR="005E3E05" w:rsidRDefault="005E3E05"/>
    <w:sectPr w:rsidR="005E3E05" w:rsidSect="00B53A02">
      <w:headerReference w:type="default" r:id="rId7"/>
      <w:footerReference w:type="default" r:id="rId8"/>
      <w:pgSz w:w="16840" w:h="11907" w:orient="landscape" w:code="9"/>
      <w:pgMar w:top="1418" w:right="1276" w:bottom="1418" w:left="1985"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99921" w14:textId="77777777" w:rsidR="00CF7AEB" w:rsidRDefault="00CF7AEB">
      <w:pPr>
        <w:spacing w:line="240" w:lineRule="auto"/>
      </w:pPr>
      <w:r>
        <w:separator/>
      </w:r>
    </w:p>
  </w:endnote>
  <w:endnote w:type="continuationSeparator" w:id="0">
    <w:p w14:paraId="64A3E469" w14:textId="77777777" w:rsidR="00CF7AEB" w:rsidRDefault="00CF7A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QuadraatSans-Regular">
    <w:altName w:val="Calibri"/>
    <w:panose1 w:val="02010504050101020103"/>
    <w:charset w:val="00"/>
    <w:family w:val="auto"/>
    <w:pitch w:val="variable"/>
    <w:sig w:usb0="8000002F" w:usb1="4000004A"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QuadraatSans-Bold">
    <w:altName w:val="Calibri"/>
    <w:panose1 w:val="02010504060101020103"/>
    <w:charset w:val="00"/>
    <w:family w:val="auto"/>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985"/>
      <w:gridCol w:w="2868"/>
      <w:gridCol w:w="4962"/>
      <w:gridCol w:w="236"/>
    </w:tblGrid>
    <w:tr w:rsidR="00677D76" w:rsidRPr="00FB4A32" w14:paraId="5FFD2DE3" w14:textId="77777777" w:rsidTr="00B53A02">
      <w:trPr>
        <w:trHeight w:val="567"/>
      </w:trPr>
      <w:tc>
        <w:tcPr>
          <w:tcW w:w="3652" w:type="dxa"/>
          <w:tcBorders>
            <w:top w:val="single" w:sz="4" w:space="0" w:color="auto"/>
            <w:left w:val="nil"/>
            <w:bottom w:val="nil"/>
            <w:right w:val="nil"/>
          </w:tcBorders>
          <w:shd w:val="clear" w:color="auto" w:fill="auto"/>
        </w:tcPr>
        <w:p w14:paraId="4301590A" w14:textId="206306ED" w:rsidR="00677D76" w:rsidRPr="006B1B4F" w:rsidRDefault="00B53A02" w:rsidP="00527333">
          <w:pPr>
            <w:pStyle w:val="Voettekst"/>
            <w:jc w:val="left"/>
            <w:rPr>
              <w:szCs w:val="16"/>
            </w:rPr>
          </w:pPr>
          <w:r>
            <w:rPr>
              <w:szCs w:val="16"/>
            </w:rPr>
            <w:t>Nota van Inlichtingen 2</w:t>
          </w:r>
        </w:p>
        <w:p w14:paraId="25C1A1E3" w14:textId="77777777" w:rsidR="00677D76" w:rsidRDefault="007648BA" w:rsidP="00455F2B">
          <w:pPr>
            <w:pStyle w:val="Voettekst"/>
            <w:jc w:val="left"/>
          </w:pPr>
          <w:r w:rsidRPr="006B1B4F">
            <w:rPr>
              <w:szCs w:val="16"/>
            </w:rPr>
            <w:t xml:space="preserve">Onderwerp: </w:t>
          </w:r>
          <w:r w:rsidRPr="006B1B4F">
            <w:t xml:space="preserve">preventieve hulp en ondersteuning </w:t>
          </w:r>
        </w:p>
        <w:p w14:paraId="106C3F5C" w14:textId="77777777" w:rsidR="00677D76" w:rsidRPr="006B1B4F" w:rsidRDefault="007648BA" w:rsidP="00455F2B">
          <w:pPr>
            <w:pStyle w:val="Voettekst"/>
            <w:jc w:val="left"/>
            <w:rPr>
              <w:szCs w:val="16"/>
            </w:rPr>
          </w:pPr>
          <w:r>
            <w:t>Samen Wageningen</w:t>
          </w:r>
        </w:p>
        <w:p w14:paraId="23C76140" w14:textId="77777777" w:rsidR="00677D76" w:rsidRPr="006B1B4F" w:rsidRDefault="004F2139" w:rsidP="00455F2B">
          <w:pPr>
            <w:pStyle w:val="Voettekst"/>
            <w:jc w:val="left"/>
            <w:rPr>
              <w:szCs w:val="16"/>
            </w:rPr>
          </w:pPr>
        </w:p>
      </w:tc>
      <w:tc>
        <w:tcPr>
          <w:tcW w:w="1985" w:type="dxa"/>
          <w:tcBorders>
            <w:top w:val="single" w:sz="4" w:space="0" w:color="auto"/>
            <w:left w:val="nil"/>
            <w:bottom w:val="nil"/>
            <w:right w:val="nil"/>
          </w:tcBorders>
          <w:shd w:val="clear" w:color="auto" w:fill="auto"/>
          <w:vAlign w:val="center"/>
        </w:tcPr>
        <w:p w14:paraId="32EA89E6" w14:textId="77777777" w:rsidR="00677D76" w:rsidRPr="008F6042" w:rsidRDefault="004F2139" w:rsidP="007943C8">
          <w:pPr>
            <w:pStyle w:val="Voettekst"/>
            <w:jc w:val="left"/>
            <w:rPr>
              <w:szCs w:val="16"/>
            </w:rPr>
          </w:pPr>
        </w:p>
      </w:tc>
      <w:tc>
        <w:tcPr>
          <w:tcW w:w="2868" w:type="dxa"/>
          <w:tcBorders>
            <w:top w:val="single" w:sz="4" w:space="0" w:color="auto"/>
            <w:left w:val="nil"/>
            <w:bottom w:val="nil"/>
            <w:right w:val="nil"/>
          </w:tcBorders>
        </w:tcPr>
        <w:p w14:paraId="6AB9187D" w14:textId="77777777" w:rsidR="00677D76" w:rsidRPr="00FB4A32" w:rsidRDefault="004F2139" w:rsidP="00E47ECD">
          <w:pPr>
            <w:pStyle w:val="Voettekst"/>
            <w:jc w:val="right"/>
            <w:rPr>
              <w:szCs w:val="16"/>
            </w:rPr>
          </w:pPr>
        </w:p>
      </w:tc>
      <w:tc>
        <w:tcPr>
          <w:tcW w:w="4962" w:type="dxa"/>
          <w:tcBorders>
            <w:top w:val="single" w:sz="4" w:space="0" w:color="auto"/>
            <w:left w:val="nil"/>
            <w:bottom w:val="nil"/>
            <w:right w:val="nil"/>
          </w:tcBorders>
        </w:tcPr>
        <w:p w14:paraId="59ED6EBE" w14:textId="77777777" w:rsidR="00677D76" w:rsidRPr="00FB4A32" w:rsidRDefault="007648BA" w:rsidP="00B53A02">
          <w:pPr>
            <w:pStyle w:val="Voettekst"/>
            <w:ind w:right="39"/>
            <w:jc w:val="right"/>
            <w:rPr>
              <w:szCs w:val="16"/>
            </w:rPr>
          </w:pPr>
          <w:r w:rsidRPr="00FB4A32">
            <w:rPr>
              <w:szCs w:val="16"/>
            </w:rPr>
            <w:t xml:space="preserve">Versie: </w:t>
          </w:r>
          <w:r>
            <w:rPr>
              <w:szCs w:val="16"/>
            </w:rPr>
            <w:t>DEF</w:t>
          </w:r>
        </w:p>
        <w:p w14:paraId="04BE481E" w14:textId="6BFCD126" w:rsidR="00677D76" w:rsidRPr="00FB4A32" w:rsidRDefault="007648BA" w:rsidP="00E47ECD">
          <w:pPr>
            <w:pStyle w:val="Voettekst"/>
            <w:jc w:val="right"/>
            <w:rPr>
              <w:szCs w:val="16"/>
            </w:rPr>
          </w:pPr>
          <w:r w:rsidRPr="00FB4A32">
            <w:rPr>
              <w:szCs w:val="16"/>
            </w:rPr>
            <w:t>Datum:</w:t>
          </w:r>
          <w:r>
            <w:rPr>
              <w:szCs w:val="16"/>
            </w:rPr>
            <w:t xml:space="preserve"> 2</w:t>
          </w:r>
          <w:r w:rsidR="00B53A02">
            <w:rPr>
              <w:szCs w:val="16"/>
            </w:rPr>
            <w:t>0</w:t>
          </w:r>
          <w:r>
            <w:rPr>
              <w:szCs w:val="16"/>
            </w:rPr>
            <w:t>-</w:t>
          </w:r>
          <w:r w:rsidR="00B53A02">
            <w:rPr>
              <w:szCs w:val="16"/>
            </w:rPr>
            <w:t>4</w:t>
          </w:r>
          <w:r>
            <w:rPr>
              <w:szCs w:val="16"/>
            </w:rPr>
            <w:t>-2022</w:t>
          </w:r>
          <w:r w:rsidRPr="00FB4A32">
            <w:rPr>
              <w:szCs w:val="16"/>
            </w:rPr>
            <w:t xml:space="preserve"> </w:t>
          </w:r>
        </w:p>
        <w:p w14:paraId="12E15941" w14:textId="77777777" w:rsidR="00677D76" w:rsidRPr="00FB4A32" w:rsidRDefault="007648BA" w:rsidP="00455F2B">
          <w:pPr>
            <w:pStyle w:val="Voettekst"/>
            <w:jc w:val="right"/>
            <w:rPr>
              <w:szCs w:val="16"/>
            </w:rPr>
          </w:pPr>
          <w:r w:rsidRPr="00FB4A32">
            <w:rPr>
              <w:szCs w:val="16"/>
            </w:rPr>
            <w:t>Referentie</w:t>
          </w:r>
          <w:r>
            <w:rPr>
              <w:szCs w:val="16"/>
            </w:rPr>
            <w:t>: OF2022-02</w:t>
          </w:r>
        </w:p>
      </w:tc>
      <w:tc>
        <w:tcPr>
          <w:tcW w:w="236" w:type="dxa"/>
          <w:tcBorders>
            <w:top w:val="single" w:sz="4" w:space="0" w:color="auto"/>
            <w:left w:val="nil"/>
            <w:bottom w:val="nil"/>
            <w:right w:val="nil"/>
          </w:tcBorders>
        </w:tcPr>
        <w:p w14:paraId="6A29C87C" w14:textId="77777777" w:rsidR="00677D76" w:rsidRPr="00FB4A32" w:rsidRDefault="004F2139" w:rsidP="00677D76">
          <w:pPr>
            <w:pStyle w:val="Voettekst"/>
            <w:ind w:right="2335" w:firstLine="172"/>
            <w:jc w:val="right"/>
            <w:rPr>
              <w:szCs w:val="16"/>
            </w:rPr>
          </w:pPr>
        </w:p>
      </w:tc>
    </w:tr>
  </w:tbl>
  <w:p w14:paraId="0ED64C70" w14:textId="77777777" w:rsidR="00546B0E" w:rsidRPr="00272681" w:rsidRDefault="004F2139" w:rsidP="008550CA">
    <w:pPr>
      <w:pStyle w:val="Voetteks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D6A26" w14:textId="77777777" w:rsidR="00CF7AEB" w:rsidRDefault="00CF7AEB">
      <w:pPr>
        <w:spacing w:line="240" w:lineRule="auto"/>
      </w:pPr>
      <w:r>
        <w:separator/>
      </w:r>
    </w:p>
  </w:footnote>
  <w:footnote w:type="continuationSeparator" w:id="0">
    <w:p w14:paraId="3AA842BC" w14:textId="77777777" w:rsidR="00CF7AEB" w:rsidRDefault="00CF7A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908DA" w14:textId="77777777" w:rsidR="00546B0E" w:rsidRPr="004C6627" w:rsidRDefault="007648BA" w:rsidP="004C6627">
    <w:pPr>
      <w:pStyle w:val="Koptekst"/>
      <w:jc w:val="right"/>
      <w:rPr>
        <w:lang w:val="en-US"/>
      </w:rPr>
    </w:pPr>
    <w:proofErr w:type="spellStart"/>
    <w:r>
      <w:rPr>
        <w:lang w:val="en-US"/>
      </w:rPr>
      <w:t>Pagina</w:t>
    </w:r>
    <w:proofErr w:type="spellEnd"/>
    <w:r>
      <w:rPr>
        <w:lang w:val="en-US"/>
      </w:rPr>
      <w:t xml:space="preserve"> </w:t>
    </w: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31B75"/>
    <w:multiLevelType w:val="hybridMultilevel"/>
    <w:tmpl w:val="71C6525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4CC5631B"/>
    <w:multiLevelType w:val="hybridMultilevel"/>
    <w:tmpl w:val="8F32E10A"/>
    <w:lvl w:ilvl="0" w:tplc="67CED10E">
      <w:start w:val="1"/>
      <w:numFmt w:val="decimal"/>
      <w:pStyle w:val="Bijlageaangepast"/>
      <w:lvlText w:val="Bijlage %1."/>
      <w:lvlJc w:val="left"/>
      <w:pPr>
        <w:ind w:left="149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35F"/>
    <w:rsid w:val="000037F4"/>
    <w:rsid w:val="0000528F"/>
    <w:rsid w:val="00020347"/>
    <w:rsid w:val="00022FF0"/>
    <w:rsid w:val="00055B01"/>
    <w:rsid w:val="0007630E"/>
    <w:rsid w:val="0009535A"/>
    <w:rsid w:val="000A1A16"/>
    <w:rsid w:val="000C5650"/>
    <w:rsid w:val="000C7975"/>
    <w:rsid w:val="001014A4"/>
    <w:rsid w:val="00127C8C"/>
    <w:rsid w:val="00152436"/>
    <w:rsid w:val="001550FC"/>
    <w:rsid w:val="00183DCF"/>
    <w:rsid w:val="0018439E"/>
    <w:rsid w:val="001879AE"/>
    <w:rsid w:val="001B29D9"/>
    <w:rsid w:val="001B5832"/>
    <w:rsid w:val="001D55D3"/>
    <w:rsid w:val="001F10A8"/>
    <w:rsid w:val="00203E48"/>
    <w:rsid w:val="00216DDD"/>
    <w:rsid w:val="00221853"/>
    <w:rsid w:val="00231D17"/>
    <w:rsid w:val="00235D6A"/>
    <w:rsid w:val="00237B80"/>
    <w:rsid w:val="0024677D"/>
    <w:rsid w:val="00266D4B"/>
    <w:rsid w:val="0026756A"/>
    <w:rsid w:val="002863F2"/>
    <w:rsid w:val="00291760"/>
    <w:rsid w:val="0029339F"/>
    <w:rsid w:val="002946CF"/>
    <w:rsid w:val="00296792"/>
    <w:rsid w:val="002C42D4"/>
    <w:rsid w:val="002C75E4"/>
    <w:rsid w:val="002F0B89"/>
    <w:rsid w:val="0030447D"/>
    <w:rsid w:val="0030546E"/>
    <w:rsid w:val="00311890"/>
    <w:rsid w:val="00314AE0"/>
    <w:rsid w:val="00316234"/>
    <w:rsid w:val="00342E6D"/>
    <w:rsid w:val="00345F0B"/>
    <w:rsid w:val="00354D9E"/>
    <w:rsid w:val="0035548E"/>
    <w:rsid w:val="00357BE0"/>
    <w:rsid w:val="00362456"/>
    <w:rsid w:val="00377317"/>
    <w:rsid w:val="003909C0"/>
    <w:rsid w:val="003A0D4A"/>
    <w:rsid w:val="003A4957"/>
    <w:rsid w:val="003E3EB8"/>
    <w:rsid w:val="003F525F"/>
    <w:rsid w:val="003F7642"/>
    <w:rsid w:val="00405E1F"/>
    <w:rsid w:val="0041087A"/>
    <w:rsid w:val="00417765"/>
    <w:rsid w:val="00421DB5"/>
    <w:rsid w:val="004301BF"/>
    <w:rsid w:val="00441606"/>
    <w:rsid w:val="0047286E"/>
    <w:rsid w:val="00475D18"/>
    <w:rsid w:val="00487E9E"/>
    <w:rsid w:val="004A145B"/>
    <w:rsid w:val="004A548B"/>
    <w:rsid w:val="004B35CA"/>
    <w:rsid w:val="004C5152"/>
    <w:rsid w:val="004D464F"/>
    <w:rsid w:val="004D5873"/>
    <w:rsid w:val="004E025A"/>
    <w:rsid w:val="004F5152"/>
    <w:rsid w:val="00514E3A"/>
    <w:rsid w:val="0052277C"/>
    <w:rsid w:val="0054194A"/>
    <w:rsid w:val="00590CA7"/>
    <w:rsid w:val="0059424B"/>
    <w:rsid w:val="0059617A"/>
    <w:rsid w:val="005B175F"/>
    <w:rsid w:val="005C18E2"/>
    <w:rsid w:val="005C5059"/>
    <w:rsid w:val="005D1265"/>
    <w:rsid w:val="005D32B1"/>
    <w:rsid w:val="005E3E05"/>
    <w:rsid w:val="005F173F"/>
    <w:rsid w:val="005F1D46"/>
    <w:rsid w:val="006062FD"/>
    <w:rsid w:val="00610BF8"/>
    <w:rsid w:val="00611AAF"/>
    <w:rsid w:val="0061357A"/>
    <w:rsid w:val="00617C62"/>
    <w:rsid w:val="00625DF6"/>
    <w:rsid w:val="00633F01"/>
    <w:rsid w:val="006366C6"/>
    <w:rsid w:val="00641A4D"/>
    <w:rsid w:val="00645B4B"/>
    <w:rsid w:val="00665763"/>
    <w:rsid w:val="00670EFC"/>
    <w:rsid w:val="006749D2"/>
    <w:rsid w:val="00676EA0"/>
    <w:rsid w:val="00686F6F"/>
    <w:rsid w:val="006A08C1"/>
    <w:rsid w:val="006C2F9E"/>
    <w:rsid w:val="006C6BE2"/>
    <w:rsid w:val="006D204C"/>
    <w:rsid w:val="006E7347"/>
    <w:rsid w:val="0070053A"/>
    <w:rsid w:val="00722DFB"/>
    <w:rsid w:val="007604EE"/>
    <w:rsid w:val="007648BA"/>
    <w:rsid w:val="0077598C"/>
    <w:rsid w:val="00783B8C"/>
    <w:rsid w:val="007A0160"/>
    <w:rsid w:val="007B3BE2"/>
    <w:rsid w:val="007E1B2C"/>
    <w:rsid w:val="007F6ADF"/>
    <w:rsid w:val="00805131"/>
    <w:rsid w:val="00807783"/>
    <w:rsid w:val="00822E14"/>
    <w:rsid w:val="00831496"/>
    <w:rsid w:val="00836DDE"/>
    <w:rsid w:val="00850250"/>
    <w:rsid w:val="008642B2"/>
    <w:rsid w:val="008A1558"/>
    <w:rsid w:val="008B48CF"/>
    <w:rsid w:val="008B4BEC"/>
    <w:rsid w:val="008C36AC"/>
    <w:rsid w:val="008C4E54"/>
    <w:rsid w:val="008F7D76"/>
    <w:rsid w:val="00901F72"/>
    <w:rsid w:val="009138CE"/>
    <w:rsid w:val="0091391F"/>
    <w:rsid w:val="00947A90"/>
    <w:rsid w:val="009517EB"/>
    <w:rsid w:val="009672EB"/>
    <w:rsid w:val="00974128"/>
    <w:rsid w:val="009A7BDB"/>
    <w:rsid w:val="00A02180"/>
    <w:rsid w:val="00A21FF4"/>
    <w:rsid w:val="00A427BC"/>
    <w:rsid w:val="00A439F5"/>
    <w:rsid w:val="00A46D12"/>
    <w:rsid w:val="00A801B9"/>
    <w:rsid w:val="00A85442"/>
    <w:rsid w:val="00AA5838"/>
    <w:rsid w:val="00AF69B2"/>
    <w:rsid w:val="00B43686"/>
    <w:rsid w:val="00B53A02"/>
    <w:rsid w:val="00B578C2"/>
    <w:rsid w:val="00B67183"/>
    <w:rsid w:val="00B8410E"/>
    <w:rsid w:val="00B96123"/>
    <w:rsid w:val="00BB0D39"/>
    <w:rsid w:val="00BC77F5"/>
    <w:rsid w:val="00BE3A7C"/>
    <w:rsid w:val="00BF5B8F"/>
    <w:rsid w:val="00C31B73"/>
    <w:rsid w:val="00C464B7"/>
    <w:rsid w:val="00C66FE3"/>
    <w:rsid w:val="00C87792"/>
    <w:rsid w:val="00C915D8"/>
    <w:rsid w:val="00C967B2"/>
    <w:rsid w:val="00CA3BE6"/>
    <w:rsid w:val="00CA564E"/>
    <w:rsid w:val="00CA60F3"/>
    <w:rsid w:val="00CC7EAD"/>
    <w:rsid w:val="00CF7AEB"/>
    <w:rsid w:val="00D4242B"/>
    <w:rsid w:val="00D56D2B"/>
    <w:rsid w:val="00D57F88"/>
    <w:rsid w:val="00D60A31"/>
    <w:rsid w:val="00D85CDD"/>
    <w:rsid w:val="00D8734D"/>
    <w:rsid w:val="00DB52FA"/>
    <w:rsid w:val="00E247B1"/>
    <w:rsid w:val="00E33216"/>
    <w:rsid w:val="00E440F8"/>
    <w:rsid w:val="00E4522B"/>
    <w:rsid w:val="00E52157"/>
    <w:rsid w:val="00E615DB"/>
    <w:rsid w:val="00E66809"/>
    <w:rsid w:val="00E700A2"/>
    <w:rsid w:val="00E86995"/>
    <w:rsid w:val="00E91C56"/>
    <w:rsid w:val="00EB5133"/>
    <w:rsid w:val="00EC4FE6"/>
    <w:rsid w:val="00ED1A12"/>
    <w:rsid w:val="00ED60B7"/>
    <w:rsid w:val="00EF0099"/>
    <w:rsid w:val="00F07BB7"/>
    <w:rsid w:val="00F10524"/>
    <w:rsid w:val="00F1235F"/>
    <w:rsid w:val="00F21547"/>
    <w:rsid w:val="00F246E3"/>
    <w:rsid w:val="00F40603"/>
    <w:rsid w:val="00F65436"/>
    <w:rsid w:val="00F80795"/>
    <w:rsid w:val="00F81F9A"/>
    <w:rsid w:val="00FA0E33"/>
    <w:rsid w:val="00FA2743"/>
    <w:rsid w:val="00FB162E"/>
    <w:rsid w:val="00FD1C76"/>
    <w:rsid w:val="00FD59B4"/>
    <w:rsid w:val="00FE1D1B"/>
    <w:rsid w:val="00FE5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7A6C"/>
  <w15:chartTrackingRefBased/>
  <w15:docId w15:val="{1A46C4DD-DDA7-421B-9966-10CBA9AF0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235F"/>
    <w:pPr>
      <w:spacing w:after="0" w:line="260" w:lineRule="atLeast"/>
    </w:pPr>
    <w:rPr>
      <w:rFonts w:ascii="QuadraatSans-Regular" w:eastAsia="Batang" w:hAnsi="QuadraatSans-Regular" w:cs="Times New Roman"/>
      <w:color w:val="000000" w:themeColor="text1"/>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F1235F"/>
    <w:pPr>
      <w:tabs>
        <w:tab w:val="center" w:pos="4536"/>
        <w:tab w:val="right" w:pos="9072"/>
      </w:tabs>
      <w:jc w:val="center"/>
    </w:pPr>
    <w:rPr>
      <w:sz w:val="16"/>
    </w:rPr>
  </w:style>
  <w:style w:type="character" w:customStyle="1" w:styleId="KoptekstChar">
    <w:name w:val="Koptekst Char"/>
    <w:basedOn w:val="Standaardalinea-lettertype"/>
    <w:link w:val="Koptekst"/>
    <w:rsid w:val="00F1235F"/>
    <w:rPr>
      <w:rFonts w:ascii="QuadraatSans-Regular" w:eastAsia="Batang" w:hAnsi="QuadraatSans-Regular" w:cs="Times New Roman"/>
      <w:color w:val="000000" w:themeColor="text1"/>
      <w:sz w:val="16"/>
      <w:szCs w:val="20"/>
      <w:lang w:val="nl-NL" w:eastAsia="nl-NL"/>
    </w:rPr>
  </w:style>
  <w:style w:type="paragraph" w:styleId="Voettekst">
    <w:name w:val="footer"/>
    <w:basedOn w:val="Standaard"/>
    <w:link w:val="VoettekstChar"/>
    <w:uiPriority w:val="99"/>
    <w:rsid w:val="00F1235F"/>
    <w:pPr>
      <w:tabs>
        <w:tab w:val="center" w:pos="4536"/>
        <w:tab w:val="right" w:pos="9072"/>
      </w:tabs>
      <w:jc w:val="center"/>
    </w:pPr>
    <w:rPr>
      <w:sz w:val="16"/>
    </w:rPr>
  </w:style>
  <w:style w:type="character" w:customStyle="1" w:styleId="VoettekstChar">
    <w:name w:val="Voettekst Char"/>
    <w:basedOn w:val="Standaardalinea-lettertype"/>
    <w:link w:val="Voettekst"/>
    <w:uiPriority w:val="99"/>
    <w:rsid w:val="00F1235F"/>
    <w:rPr>
      <w:rFonts w:ascii="QuadraatSans-Regular" w:eastAsia="Batang" w:hAnsi="QuadraatSans-Regular" w:cs="Times New Roman"/>
      <w:color w:val="000000" w:themeColor="text1"/>
      <w:sz w:val="16"/>
      <w:szCs w:val="20"/>
      <w:lang w:val="nl-NL" w:eastAsia="nl-NL"/>
    </w:rPr>
  </w:style>
  <w:style w:type="character" w:styleId="Paginanummer">
    <w:name w:val="page number"/>
    <w:basedOn w:val="Standaardalinea-lettertype"/>
    <w:rsid w:val="00F1235F"/>
  </w:style>
  <w:style w:type="paragraph" w:customStyle="1" w:styleId="gemeentewageningen">
    <w:name w:val="gemeente wageningen"/>
    <w:basedOn w:val="Standaard"/>
    <w:qFormat/>
    <w:rsid w:val="00F1235F"/>
  </w:style>
  <w:style w:type="paragraph" w:customStyle="1" w:styleId="Bijlageaangepast">
    <w:name w:val="Bijlage aangepast"/>
    <w:basedOn w:val="Standaard"/>
    <w:qFormat/>
    <w:rsid w:val="00F1235F"/>
    <w:pPr>
      <w:numPr>
        <w:numId w:val="1"/>
      </w:numPr>
      <w:spacing w:after="500"/>
      <w:ind w:left="360"/>
      <w:outlineLvl w:val="0"/>
    </w:pPr>
    <w:rPr>
      <w:rFonts w:ascii="QuadraatSans-Bold" w:eastAsia="Times New Roman" w:hAnsi="QuadraatSans-Bold"/>
      <w:b/>
      <w:bCs/>
      <w:color w:val="AE1A3B"/>
      <w:sz w:val="28"/>
      <w:szCs w:val="28"/>
    </w:rPr>
  </w:style>
  <w:style w:type="paragraph" w:styleId="Normaalweb">
    <w:name w:val="Normal (Web)"/>
    <w:basedOn w:val="Standaard"/>
    <w:uiPriority w:val="99"/>
    <w:unhideWhenUsed/>
    <w:rsid w:val="00AA5838"/>
    <w:pPr>
      <w:spacing w:before="100" w:beforeAutospacing="1" w:after="100" w:afterAutospacing="1" w:line="240" w:lineRule="auto"/>
    </w:pPr>
    <w:rPr>
      <w:rFonts w:ascii="Times New Roman" w:eastAsia="Times New Roman" w:hAnsi="Times New Roman"/>
      <w:color w:val="auto"/>
      <w:sz w:val="24"/>
      <w:szCs w:val="24"/>
    </w:rPr>
  </w:style>
  <w:style w:type="character" w:customStyle="1" w:styleId="dictionary-hint">
    <w:name w:val="dictionary-hint"/>
    <w:basedOn w:val="Standaardalinea-lettertype"/>
    <w:rsid w:val="00AA5838"/>
  </w:style>
  <w:style w:type="character" w:styleId="Hyperlink">
    <w:name w:val="Hyperlink"/>
    <w:basedOn w:val="Standaardalinea-lettertype"/>
    <w:uiPriority w:val="99"/>
    <w:semiHidden/>
    <w:unhideWhenUsed/>
    <w:rsid w:val="00AA5838"/>
    <w:rPr>
      <w:color w:val="0000FF"/>
      <w:u w:val="single"/>
    </w:rPr>
  </w:style>
  <w:style w:type="paragraph" w:styleId="Lijstalinea">
    <w:name w:val="List Paragraph"/>
    <w:basedOn w:val="Standaard"/>
    <w:uiPriority w:val="34"/>
    <w:qFormat/>
    <w:rsid w:val="00645B4B"/>
    <w:pPr>
      <w:spacing w:line="240" w:lineRule="auto"/>
      <w:ind w:left="720"/>
    </w:pPr>
    <w:rPr>
      <w:rFonts w:ascii="Calibri" w:eastAsiaTheme="minorHAnsi" w:hAnsi="Calibri" w:cs="Calibri"/>
      <w:color w:val="auto"/>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14397">
      <w:bodyDiv w:val="1"/>
      <w:marLeft w:val="0"/>
      <w:marRight w:val="0"/>
      <w:marTop w:val="0"/>
      <w:marBottom w:val="0"/>
      <w:divBdr>
        <w:top w:val="none" w:sz="0" w:space="0" w:color="auto"/>
        <w:left w:val="none" w:sz="0" w:space="0" w:color="auto"/>
        <w:bottom w:val="none" w:sz="0" w:space="0" w:color="auto"/>
        <w:right w:val="none" w:sz="0" w:space="0" w:color="auto"/>
      </w:divBdr>
    </w:div>
    <w:div w:id="777455806">
      <w:bodyDiv w:val="1"/>
      <w:marLeft w:val="0"/>
      <w:marRight w:val="0"/>
      <w:marTop w:val="0"/>
      <w:marBottom w:val="0"/>
      <w:divBdr>
        <w:top w:val="none" w:sz="0" w:space="0" w:color="auto"/>
        <w:left w:val="none" w:sz="0" w:space="0" w:color="auto"/>
        <w:bottom w:val="none" w:sz="0" w:space="0" w:color="auto"/>
        <w:right w:val="none" w:sz="0" w:space="0" w:color="auto"/>
      </w:divBdr>
    </w:div>
    <w:div w:id="1043167541">
      <w:bodyDiv w:val="1"/>
      <w:marLeft w:val="0"/>
      <w:marRight w:val="0"/>
      <w:marTop w:val="0"/>
      <w:marBottom w:val="0"/>
      <w:divBdr>
        <w:top w:val="none" w:sz="0" w:space="0" w:color="auto"/>
        <w:left w:val="none" w:sz="0" w:space="0" w:color="auto"/>
        <w:bottom w:val="none" w:sz="0" w:space="0" w:color="auto"/>
        <w:right w:val="none" w:sz="0" w:space="0" w:color="auto"/>
      </w:divBdr>
    </w:div>
    <w:div w:id="1516268741">
      <w:bodyDiv w:val="1"/>
      <w:marLeft w:val="0"/>
      <w:marRight w:val="0"/>
      <w:marTop w:val="0"/>
      <w:marBottom w:val="0"/>
      <w:divBdr>
        <w:top w:val="none" w:sz="0" w:space="0" w:color="auto"/>
        <w:left w:val="none" w:sz="0" w:space="0" w:color="auto"/>
        <w:bottom w:val="none" w:sz="0" w:space="0" w:color="auto"/>
        <w:right w:val="none" w:sz="0" w:space="0" w:color="auto"/>
      </w:divBdr>
    </w:div>
    <w:div w:id="1705249812">
      <w:bodyDiv w:val="1"/>
      <w:marLeft w:val="0"/>
      <w:marRight w:val="0"/>
      <w:marTop w:val="0"/>
      <w:marBottom w:val="0"/>
      <w:divBdr>
        <w:top w:val="none" w:sz="0" w:space="0" w:color="auto"/>
        <w:left w:val="none" w:sz="0" w:space="0" w:color="auto"/>
        <w:bottom w:val="none" w:sz="0" w:space="0" w:color="auto"/>
        <w:right w:val="none" w:sz="0" w:space="0" w:color="auto"/>
      </w:divBdr>
    </w:div>
    <w:div w:id="1777022794">
      <w:bodyDiv w:val="1"/>
      <w:marLeft w:val="0"/>
      <w:marRight w:val="0"/>
      <w:marTop w:val="0"/>
      <w:marBottom w:val="0"/>
      <w:divBdr>
        <w:top w:val="none" w:sz="0" w:space="0" w:color="auto"/>
        <w:left w:val="none" w:sz="0" w:space="0" w:color="auto"/>
        <w:bottom w:val="none" w:sz="0" w:space="0" w:color="auto"/>
        <w:right w:val="none" w:sz="0" w:space="0" w:color="auto"/>
      </w:divBdr>
    </w:div>
    <w:div w:id="1937592338">
      <w:bodyDiv w:val="1"/>
      <w:marLeft w:val="0"/>
      <w:marRight w:val="0"/>
      <w:marTop w:val="0"/>
      <w:marBottom w:val="0"/>
      <w:divBdr>
        <w:top w:val="none" w:sz="0" w:space="0" w:color="auto"/>
        <w:left w:val="none" w:sz="0" w:space="0" w:color="auto"/>
        <w:bottom w:val="none" w:sz="0" w:space="0" w:color="auto"/>
        <w:right w:val="none" w:sz="0" w:space="0" w:color="auto"/>
      </w:divBdr>
    </w:div>
    <w:div w:id="210561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845</Words>
  <Characters>4649</Characters>
  <Application>Microsoft Office Word</Application>
  <DocSecurity>4</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MoreThanJust.ICT</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van der Zee</dc:creator>
  <cp:keywords/>
  <dc:description/>
  <cp:lastModifiedBy>Roest, Cynthia van der</cp:lastModifiedBy>
  <cp:revision>2</cp:revision>
  <dcterms:created xsi:type="dcterms:W3CDTF">2022-04-25T07:18:00Z</dcterms:created>
  <dcterms:modified xsi:type="dcterms:W3CDTF">2022-04-25T07:18:00Z</dcterms:modified>
</cp:coreProperties>
</file>