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7E0CB" w14:textId="77777777" w:rsidR="006669C5" w:rsidRDefault="006669C5"/>
    <w:p w14:paraId="6217BAB7" w14:textId="77777777" w:rsidR="006669C5" w:rsidRDefault="00FE5D41">
      <w:pPr>
        <w:spacing w:before="239" w:after="239" w:line="240" w:lineRule="auto"/>
        <w:textAlignment w:val="top"/>
      </w:pPr>
      <w:r>
        <w:rPr>
          <w:rFonts w:eastAsia="Calibri" w:cs="Calibri"/>
        </w:rPr>
        <w:t> </w:t>
      </w:r>
    </w:p>
    <w:tbl>
      <w:tblPr>
        <w:tblStyle w:val="NormalTablePHPDOCX0"/>
        <w:tblW w:w="5000" w:type="pct"/>
        <w:tblInd w:w="1" w:type="dxa"/>
        <w:tblLayout w:type="fixed"/>
        <w:tblLook w:val="04A0" w:firstRow="1" w:lastRow="0" w:firstColumn="1" w:lastColumn="0" w:noHBand="0" w:noVBand="1"/>
      </w:tblPr>
      <w:tblGrid>
        <w:gridCol w:w="9010"/>
      </w:tblGrid>
      <w:tr w:rsidR="006669C5" w14:paraId="2CD56EDF" w14:textId="77777777">
        <w:trPr>
          <w:cantSplit/>
        </w:trPr>
        <w:tc>
          <w:tcPr>
            <w:tcW w:w="9026" w:type="dxa"/>
            <w:tcBorders>
              <w:top w:val="single" w:sz="6" w:space="0" w:color="000000"/>
              <w:left w:val="single" w:sz="6" w:space="0" w:color="000000"/>
              <w:bottom w:val="single" w:sz="6" w:space="0" w:color="000000"/>
              <w:right w:val="single" w:sz="6" w:space="0" w:color="000000"/>
            </w:tcBorders>
          </w:tcPr>
          <w:p w14:paraId="4362D8B2" w14:textId="77777777" w:rsidR="006669C5" w:rsidRDefault="00FE5D41">
            <w:pPr>
              <w:keepLines/>
              <w:widowControl w:val="0"/>
              <w:spacing w:after="239" w:line="240" w:lineRule="auto"/>
              <w:textAlignment w:val="top"/>
            </w:pPr>
            <w:r>
              <w:rPr>
                <w:rFonts w:eastAsia="Calibri" w:cs="Calibri"/>
                <w:b/>
                <w:bCs/>
              </w:rPr>
              <w:t>VERWIJDER DIT BLOK TEKST ALVORENS U DE OVEREENKOMST IN GEBRUIK NEEMT, DIT IS ALLEEN TER INFORMATIE</w:t>
            </w:r>
          </w:p>
          <w:p w14:paraId="421FF2D1" w14:textId="77777777" w:rsidR="006669C5" w:rsidRDefault="00FE5D41">
            <w:pPr>
              <w:keepLines/>
              <w:widowControl w:val="0"/>
              <w:spacing w:before="239" w:after="239" w:line="240" w:lineRule="auto"/>
              <w:textAlignment w:val="top"/>
            </w:pPr>
            <w:r>
              <w:rPr>
                <w:rFonts w:eastAsia="Calibri" w:cs="Calibri"/>
              </w:rPr>
              <w:t>Voor u ligt de door u gegenereerde overeenkomst op basis van de GIBIT 2020. </w:t>
            </w:r>
          </w:p>
          <w:p w14:paraId="5EB300B5" w14:textId="77777777" w:rsidR="006669C5" w:rsidRDefault="00FE5D41">
            <w:pPr>
              <w:keepLines/>
              <w:widowControl w:val="0"/>
              <w:spacing w:before="239" w:after="239" w:line="240" w:lineRule="auto"/>
              <w:textAlignment w:val="top"/>
            </w:pPr>
            <w:r>
              <w:rPr>
                <w:rFonts w:eastAsia="Calibri" w:cs="Calibri"/>
              </w:rPr>
              <w:t>Mocht u wijzigingen hierin willen maken, doe deze dan in de overeenkomstengenerator zelf. We raden het verder af om de gegenereerde overeenkomst als Format in uw organisatie toe te passen aangezien de overeenkomstengenerator periodiek toevoegingen en wijzigingen ondervind en daarmee de overeenkomsten.</w:t>
            </w:r>
          </w:p>
          <w:p w14:paraId="142F1638" w14:textId="77777777" w:rsidR="006669C5" w:rsidRDefault="00FE5D41">
            <w:pPr>
              <w:keepLines/>
              <w:widowControl w:val="0"/>
              <w:spacing w:before="239" w:after="239" w:line="240" w:lineRule="auto"/>
              <w:textAlignment w:val="top"/>
            </w:pPr>
            <w:r>
              <w:rPr>
                <w:rFonts w:eastAsia="Calibri" w:cs="Calibri"/>
              </w:rPr>
              <w:t> In de tekst ziet u rechte, onderstreepte en cursieve tekst. Deze hebben de volgende betekenissen:</w:t>
            </w:r>
          </w:p>
          <w:p w14:paraId="6D741C7C" w14:textId="77777777" w:rsidR="006669C5" w:rsidRDefault="00FE5D41">
            <w:pPr>
              <w:keepLines/>
              <w:numPr>
                <w:ilvl w:val="0"/>
                <w:numId w:val="4"/>
              </w:numPr>
              <w:spacing w:line="240" w:lineRule="auto"/>
              <w:rPr>
                <w:rFonts w:ascii="Calibri" w:eastAsia="Calibri" w:hAnsi="Calibri" w:cs="Calibri"/>
              </w:rPr>
            </w:pPr>
            <w:r>
              <w:rPr>
                <w:rFonts w:eastAsia="Calibri" w:cs="Calibri"/>
              </w:rPr>
              <w:t>Rechte tekst: Standaard tekst waar uw keuzes, in de generator, geen invloed op hebben gehad.</w:t>
            </w:r>
          </w:p>
          <w:p w14:paraId="1A75BF74" w14:textId="77777777" w:rsidR="006669C5" w:rsidRDefault="00FE5D41">
            <w:pPr>
              <w:keepLines/>
              <w:numPr>
                <w:ilvl w:val="0"/>
                <w:numId w:val="4"/>
              </w:numPr>
              <w:spacing w:line="240" w:lineRule="auto"/>
              <w:rPr>
                <w:rFonts w:ascii="Calibri" w:eastAsia="Calibri" w:hAnsi="Calibri" w:cs="Calibri"/>
              </w:rPr>
            </w:pPr>
            <w:r>
              <w:rPr>
                <w:rFonts w:eastAsia="Calibri" w:cs="Calibri"/>
              </w:rPr>
              <w:t>Cursieve tekst: tekst die gegenereerd is op basis van uw keuzes en invulling.</w:t>
            </w:r>
          </w:p>
          <w:p w14:paraId="323E891A" w14:textId="77777777" w:rsidR="006669C5" w:rsidRDefault="00FE5D41">
            <w:pPr>
              <w:keepLines/>
              <w:numPr>
                <w:ilvl w:val="0"/>
                <w:numId w:val="4"/>
              </w:numPr>
              <w:spacing w:line="240" w:lineRule="auto"/>
              <w:rPr>
                <w:rFonts w:ascii="Calibri" w:eastAsia="Calibri" w:hAnsi="Calibri" w:cs="Calibri"/>
              </w:rPr>
            </w:pPr>
            <w:r>
              <w:rPr>
                <w:rFonts w:eastAsia="Calibri" w:cs="Calibri"/>
              </w:rPr>
              <w:t>Onderstreepte tekst: Tekst die gegenereerd is op basis van een keuze, maar als standaard geadviseerd wordt door Team GIBIT en in de vraag vooraf aangevinkt is.</w:t>
            </w:r>
          </w:p>
          <w:p w14:paraId="241E7A9F" w14:textId="77777777" w:rsidR="006669C5" w:rsidRDefault="00FE5D41">
            <w:pPr>
              <w:keepLines/>
              <w:widowControl w:val="0"/>
              <w:spacing w:before="239" w:after="239" w:line="240" w:lineRule="auto"/>
              <w:textAlignment w:val="top"/>
            </w:pPr>
            <w:r>
              <w:rPr>
                <w:rFonts w:eastAsia="Calibri" w:cs="Calibri"/>
              </w:rPr>
              <w:t> </w:t>
            </w:r>
          </w:p>
          <w:p w14:paraId="4052E6E0" w14:textId="77777777" w:rsidR="006669C5" w:rsidRDefault="00FE5D41">
            <w:pPr>
              <w:keepLines/>
              <w:widowControl w:val="0"/>
              <w:spacing w:before="239" w:after="239" w:line="240" w:lineRule="auto"/>
              <w:textAlignment w:val="top"/>
            </w:pPr>
            <w:r>
              <w:rPr>
                <w:rFonts w:eastAsia="Calibri" w:cs="Calibri"/>
              </w:rPr>
              <w:t>Wij adviseren om de cursief, en onderstreepte tekst zo te laten. Op deze wijze kunt u en uw leverancier gemakkelijk achterhalen welke wijzigingen er in de overeenkomst ten opzichte van de GIBIT 2020 gemaakt zijn.</w:t>
            </w:r>
          </w:p>
          <w:p w14:paraId="476FF34B" w14:textId="77777777" w:rsidR="006669C5" w:rsidRDefault="00FE5D41">
            <w:pPr>
              <w:keepLines/>
              <w:widowControl w:val="0"/>
              <w:spacing w:before="239" w:line="240" w:lineRule="auto"/>
              <w:textAlignment w:val="top"/>
            </w:pPr>
            <w:r>
              <w:rPr>
                <w:rFonts w:eastAsia="Calibri" w:cs="Calibri"/>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w14:paraId="130B26B3" w14:textId="77777777" w:rsidR="006669C5" w:rsidRDefault="00FE5D41">
      <w:pPr>
        <w:pStyle w:val="Kop2"/>
        <w:spacing w:before="199" w:after="199" w:line="240" w:lineRule="auto"/>
      </w:pPr>
      <w:r>
        <w:t xml:space="preserve">CONCEPTOVEREENKOMST </w:t>
      </w:r>
      <w:r>
        <w:rPr>
          <w:i/>
          <w:iCs/>
        </w:rPr>
        <w:t>ten behoeve van Het leveren van Dark Fiber Datanetwerkverbindingen</w:t>
      </w:r>
      <w:r>
        <w:t> </w:t>
      </w:r>
    </w:p>
    <w:p w14:paraId="2DD851A8" w14:textId="77777777" w:rsidR="006669C5" w:rsidRDefault="00FE5D41">
      <w:pPr>
        <w:spacing w:before="239" w:after="239" w:line="240" w:lineRule="auto"/>
        <w:textAlignment w:val="top"/>
      </w:pPr>
      <w:r>
        <w:rPr>
          <w:rFonts w:eastAsia="Calibri" w:cs="Calibri"/>
          <w:b/>
          <w:bCs/>
          <w:i/>
          <w:iCs/>
        </w:rPr>
        <w:t>REFERENTIE: Behorende bij Tendernet aanbesteding 348492 en Kenmerk 66.100 I&amp;A 7574</w:t>
      </w:r>
    </w:p>
    <w:p w14:paraId="5EC16F73" w14:textId="77777777" w:rsidR="006669C5" w:rsidRDefault="00FE5D41">
      <w:pPr>
        <w:spacing w:before="239" w:after="239" w:line="240" w:lineRule="auto"/>
        <w:textAlignment w:val="top"/>
      </w:pPr>
      <w:r>
        <w:rPr>
          <w:rFonts w:eastAsia="Calibri" w:cs="Calibri"/>
          <w:b/>
          <w:bCs/>
        </w:rPr>
        <w:t>Ondergetekenden</w:t>
      </w:r>
    </w:p>
    <w:p w14:paraId="3DDD6B50" w14:textId="77777777" w:rsidR="006669C5" w:rsidRDefault="00FE5D41">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volgt na definitieve gunning</w:t>
      </w:r>
      <w:r>
        <w:rPr>
          <w:rFonts w:eastAsia="Calibri" w:cs="Calibri"/>
        </w:rPr>
        <w:t xml:space="preserve">, te dezen rechtsgeldig vertegenwoordigd door </w:t>
      </w:r>
      <w:r>
        <w:rPr>
          <w:rFonts w:eastAsia="Calibri" w:cs="Calibri"/>
          <w:i/>
          <w:iCs/>
        </w:rPr>
        <w:t>Naam (eerste) vertegenwoordiger van Opdrachtgever</w:t>
      </w:r>
      <w:r>
        <w:rPr>
          <w:rFonts w:eastAsia="Calibri" w:cs="Calibri"/>
        </w:rPr>
        <w:t xml:space="preserve">, </w:t>
      </w:r>
      <w:r>
        <w:rPr>
          <w:rFonts w:eastAsia="Calibri" w:cs="Calibri"/>
          <w:i/>
          <w:iCs/>
        </w:rPr>
        <w:t>Functie (eerste) vertegenwoordiger van Opdrachtgever</w:t>
      </w:r>
      <w:r>
        <w:rPr>
          <w:rFonts w:eastAsia="Calibri" w:cs="Calibri"/>
        </w:rPr>
        <w:t>, hierna te noemen "</w:t>
      </w:r>
      <w:r>
        <w:rPr>
          <w:rFonts w:eastAsia="Calibri" w:cs="Calibri"/>
          <w:b/>
          <w:bCs/>
        </w:rPr>
        <w:t>Opdrachtgever</w:t>
      </w:r>
      <w:r>
        <w:rPr>
          <w:rFonts w:eastAsia="Calibri" w:cs="Calibri"/>
        </w:rPr>
        <w:t>";</w:t>
      </w:r>
    </w:p>
    <w:p w14:paraId="726AC269" w14:textId="77777777" w:rsidR="006669C5" w:rsidRDefault="00FE5D41">
      <w:pPr>
        <w:spacing w:before="239" w:after="239" w:line="240" w:lineRule="auto"/>
        <w:textAlignment w:val="top"/>
      </w:pPr>
      <w:r>
        <w:rPr>
          <w:rFonts w:eastAsia="Calibri" w:cs="Calibri"/>
          <w:i/>
          <w:iCs/>
        </w:rPr>
        <w:lastRenderedPageBreak/>
        <w:t>en</w:t>
      </w:r>
    </w:p>
    <w:p w14:paraId="04B13AFF" w14:textId="77777777" w:rsidR="006669C5" w:rsidRDefault="00FE5D41">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1E30FE10" w14:textId="77777777" w:rsidR="006669C5" w:rsidRDefault="00FE5D41">
      <w:pPr>
        <w:spacing w:before="239" w:after="239" w:line="240" w:lineRule="auto"/>
        <w:textAlignment w:val="top"/>
      </w:pPr>
      <w:r>
        <w:rPr>
          <w:rFonts w:eastAsia="Calibri" w:cs="Calibri"/>
          <w:i/>
          <w:iCs/>
        </w:rPr>
        <w:t>tezamen hierna verder aan te duiden als "partijen" dan wel afzonderlijk als "partij",</w:t>
      </w:r>
    </w:p>
    <w:p w14:paraId="588F72D8" w14:textId="77777777" w:rsidR="006669C5" w:rsidRDefault="00FE5D41">
      <w:pPr>
        <w:spacing w:before="239" w:after="239" w:line="240" w:lineRule="auto"/>
        <w:textAlignment w:val="top"/>
      </w:pPr>
      <w:r>
        <w:rPr>
          <w:rFonts w:eastAsia="Calibri" w:cs="Calibri"/>
          <w:b/>
          <w:bCs/>
        </w:rPr>
        <w:t>overwegende dat:</w:t>
      </w:r>
    </w:p>
    <w:p w14:paraId="1235A9CE" w14:textId="77777777" w:rsidR="006669C5" w:rsidRDefault="00FE5D41">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2FBFF571" w14:textId="77777777" w:rsidR="006669C5" w:rsidRDefault="00FE5D41">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7237ACF7" w14:textId="77777777" w:rsidR="006669C5" w:rsidRDefault="00FE5D41">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5CF3736B" w14:textId="77777777" w:rsidR="006669C5" w:rsidRDefault="00FE5D41">
      <w:pPr>
        <w:spacing w:before="239" w:after="239" w:line="240" w:lineRule="auto"/>
        <w:textAlignment w:val="top"/>
      </w:pPr>
      <w:r>
        <w:rPr>
          <w:rFonts w:eastAsia="Calibri" w:cs="Calibri"/>
          <w:b/>
          <w:bCs/>
        </w:rPr>
        <w:t>zijn als volgt overeengekomen:</w:t>
      </w:r>
    </w:p>
    <w:p w14:paraId="029FBB19" w14:textId="77777777" w:rsidR="006669C5" w:rsidRDefault="00FE5D41">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44D95EC9" w14:textId="415600B9" w:rsidR="006669C5" w:rsidRPr="00137632" w:rsidRDefault="00FE5D41">
      <w:pPr>
        <w:numPr>
          <w:ilvl w:val="0"/>
          <w:numId w:val="4"/>
        </w:numPr>
        <w:spacing w:line="240" w:lineRule="auto"/>
        <w:rPr>
          <w:rFonts w:ascii="Calibri" w:eastAsia="Calibri" w:hAnsi="Calibri" w:cs="Calibri"/>
        </w:rPr>
      </w:pPr>
      <w:r>
        <w:rPr>
          <w:rFonts w:eastAsia="Calibri" w:cs="Calibri"/>
          <w:color w:val="000000"/>
        </w:rPr>
        <w:t>De Nota van Inlichtingen.</w:t>
      </w:r>
    </w:p>
    <w:p w14:paraId="1B66A09C" w14:textId="1B51B583" w:rsidR="00137632" w:rsidRDefault="00137632">
      <w:pPr>
        <w:numPr>
          <w:ilvl w:val="0"/>
          <w:numId w:val="4"/>
        </w:numPr>
        <w:spacing w:line="240" w:lineRule="auto"/>
        <w:rPr>
          <w:rFonts w:ascii="Calibri" w:eastAsia="Calibri" w:hAnsi="Calibri" w:cs="Calibri"/>
        </w:rPr>
      </w:pPr>
      <w:r>
        <w:rPr>
          <w:rFonts w:ascii="Calibri" w:eastAsia="Calibri" w:hAnsi="Calibri" w:cs="Calibri"/>
        </w:rPr>
        <w:t>Programma van eisen en overige aanbestedingsdocumenten</w:t>
      </w:r>
    </w:p>
    <w:p w14:paraId="62162168" w14:textId="77777777" w:rsidR="006669C5" w:rsidRDefault="00FE5D41">
      <w:pPr>
        <w:spacing w:before="239" w:after="239" w:line="240" w:lineRule="auto"/>
        <w:textAlignment w:val="top"/>
      </w:pPr>
      <w:r>
        <w:rPr>
          <w:rFonts w:eastAsia="Calibri" w:cs="Calibri"/>
          <w:color w:val="000000"/>
          <w:shd w:val="clear" w:color="auto" w:fill="FFFFFF"/>
        </w:rPr>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060C8234" w14:textId="77777777" w:rsidR="006669C5" w:rsidRDefault="00FE5D41">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14:paraId="28EBBC30" w14:textId="77777777" w:rsidR="006669C5" w:rsidRDefault="00FE5D41">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14:paraId="769F5939" w14:textId="77777777" w:rsidR="006669C5" w:rsidRDefault="00FE5D41">
      <w:pPr>
        <w:numPr>
          <w:ilvl w:val="0"/>
          <w:numId w:val="4"/>
        </w:numPr>
        <w:spacing w:line="240" w:lineRule="auto"/>
        <w:rPr>
          <w:rFonts w:ascii="Calibri" w:eastAsia="Calibri" w:hAnsi="Calibri" w:cs="Calibri"/>
        </w:rPr>
      </w:pPr>
      <w:r>
        <w:rPr>
          <w:rFonts w:eastAsia="Calibri" w:cs="Calibri"/>
        </w:rPr>
        <w:t>Architectuur;</w:t>
      </w:r>
    </w:p>
    <w:p w14:paraId="5A2ECD1A" w14:textId="77777777" w:rsidR="006669C5" w:rsidRDefault="00FE5D41">
      <w:pPr>
        <w:numPr>
          <w:ilvl w:val="0"/>
          <w:numId w:val="4"/>
        </w:numPr>
        <w:spacing w:line="240" w:lineRule="auto"/>
        <w:rPr>
          <w:rFonts w:ascii="Calibri" w:eastAsia="Calibri" w:hAnsi="Calibri" w:cs="Calibri"/>
        </w:rPr>
      </w:pPr>
      <w:r>
        <w:rPr>
          <w:rFonts w:eastAsia="Calibri" w:cs="Calibri"/>
        </w:rPr>
        <w:t>Interoperabiliteit;</w:t>
      </w:r>
    </w:p>
    <w:p w14:paraId="507F3FC7" w14:textId="77777777" w:rsidR="006669C5" w:rsidRDefault="00FE5D41">
      <w:pPr>
        <w:numPr>
          <w:ilvl w:val="0"/>
          <w:numId w:val="4"/>
        </w:numPr>
        <w:spacing w:line="240" w:lineRule="auto"/>
        <w:rPr>
          <w:rFonts w:ascii="Calibri" w:eastAsia="Calibri" w:hAnsi="Calibri" w:cs="Calibri"/>
        </w:rPr>
      </w:pPr>
      <w:r>
        <w:rPr>
          <w:rFonts w:eastAsia="Calibri" w:cs="Calibri"/>
        </w:rPr>
        <w:t>Informatiebeveiliging en privacy;</w:t>
      </w:r>
    </w:p>
    <w:p w14:paraId="3CBE8D42" w14:textId="77777777" w:rsidR="006669C5" w:rsidRDefault="00FE5D41">
      <w:pPr>
        <w:numPr>
          <w:ilvl w:val="0"/>
          <w:numId w:val="4"/>
        </w:numPr>
        <w:spacing w:line="240" w:lineRule="auto"/>
        <w:rPr>
          <w:rFonts w:ascii="Calibri" w:eastAsia="Calibri" w:hAnsi="Calibri" w:cs="Calibri"/>
        </w:rPr>
      </w:pPr>
      <w:r>
        <w:rPr>
          <w:rFonts w:eastAsia="Calibri" w:cs="Calibri"/>
        </w:rPr>
        <w:t>Dataportabiliteit;</w:t>
      </w:r>
    </w:p>
    <w:p w14:paraId="753E0041" w14:textId="77777777" w:rsidR="006669C5" w:rsidRDefault="00FE5D41">
      <w:pPr>
        <w:numPr>
          <w:ilvl w:val="0"/>
          <w:numId w:val="4"/>
        </w:numPr>
        <w:spacing w:line="240" w:lineRule="auto"/>
        <w:rPr>
          <w:rFonts w:ascii="Calibri" w:eastAsia="Calibri" w:hAnsi="Calibri" w:cs="Calibri"/>
        </w:rPr>
      </w:pPr>
      <w:r>
        <w:rPr>
          <w:rFonts w:eastAsia="Calibri" w:cs="Calibri"/>
        </w:rPr>
        <w:t>Infrastructuur;</w:t>
      </w:r>
    </w:p>
    <w:p w14:paraId="669CB14D" w14:textId="77777777" w:rsidR="006669C5" w:rsidRDefault="00FE5D41">
      <w:pPr>
        <w:numPr>
          <w:ilvl w:val="0"/>
          <w:numId w:val="4"/>
        </w:numPr>
        <w:spacing w:line="240" w:lineRule="auto"/>
        <w:rPr>
          <w:rFonts w:ascii="Calibri" w:eastAsia="Calibri" w:hAnsi="Calibri" w:cs="Calibri"/>
        </w:rPr>
      </w:pPr>
      <w:r>
        <w:rPr>
          <w:rFonts w:eastAsia="Calibri" w:cs="Calibri"/>
        </w:rPr>
        <w:lastRenderedPageBreak/>
        <w:t>Documentatie;</w:t>
      </w:r>
    </w:p>
    <w:p w14:paraId="244AC232" w14:textId="77777777" w:rsidR="006669C5" w:rsidRDefault="00FE5D41">
      <w:pPr>
        <w:numPr>
          <w:ilvl w:val="0"/>
          <w:numId w:val="4"/>
        </w:numPr>
        <w:spacing w:line="240" w:lineRule="auto"/>
        <w:rPr>
          <w:rFonts w:ascii="Calibri" w:eastAsia="Calibri" w:hAnsi="Calibri" w:cs="Calibri"/>
        </w:rPr>
      </w:pPr>
      <w:r>
        <w:rPr>
          <w:rFonts w:eastAsia="Calibri" w:cs="Calibri"/>
        </w:rPr>
        <w:t>E-facturering.</w:t>
      </w:r>
    </w:p>
    <w:p w14:paraId="6308CF3B" w14:textId="77777777" w:rsidR="006669C5" w:rsidRDefault="00FE5D41">
      <w:pPr>
        <w:spacing w:before="239" w:after="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1 mei 2022</w:t>
      </w:r>
      <w:r>
        <w:rPr>
          <w:rFonts w:eastAsia="Calibri" w:cs="Calibri"/>
        </w:rPr>
        <w:t>.</w:t>
      </w:r>
      <w:r>
        <w:rPr>
          <w:rFonts w:eastAsia="Calibri" w:cs="Calibri"/>
        </w:rPr>
        <w:br/>
        <w:t xml:space="preserve">4.2. </w:t>
      </w:r>
      <w:r>
        <w:rPr>
          <w:rFonts w:eastAsia="Calibri" w:cs="Calibri"/>
          <w:i/>
          <w:iCs/>
        </w:rPr>
        <w:t>De Overeenkomst heeft een looptijd tot</w:t>
      </w:r>
      <w:r>
        <w:rPr>
          <w:rFonts w:eastAsia="Calibri" w:cs="Calibri"/>
        </w:rPr>
        <w:t xml:space="preserve"> </w:t>
      </w:r>
      <w:r>
        <w:rPr>
          <w:rFonts w:eastAsia="Calibri" w:cs="Calibri"/>
          <w:i/>
          <w:iCs/>
        </w:rPr>
        <w:t>1 mei 2027</w:t>
      </w:r>
      <w:r>
        <w:rPr>
          <w:rFonts w:eastAsia="Calibri" w:cs="Calibri"/>
        </w:rPr>
        <w:t>.</w:t>
      </w:r>
      <w:r>
        <w:rPr>
          <w:rFonts w:eastAsia="Calibri" w:cs="Calibri"/>
        </w:rPr>
        <w:br/>
        <w:t xml:space="preserve">4.3. </w:t>
      </w: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 </w:t>
      </w:r>
      <w:r>
        <w:rPr>
          <w:rFonts w:eastAsia="Calibri" w:cs="Calibri"/>
          <w:i/>
          <w:iCs/>
        </w:rPr>
        <w:br/>
        <w:t>4.4.</w:t>
      </w:r>
      <w:r>
        <w:rPr>
          <w:rFonts w:eastAsia="Calibri" w:cs="Calibri"/>
        </w:rPr>
        <w:t xml:space="preserve"> </w:t>
      </w:r>
      <w:r>
        <w:rPr>
          <w:rFonts w:eastAsia="Calibri" w:cs="Calibri"/>
          <w:i/>
          <w:iCs/>
        </w:rPr>
        <w:t>De Overeenkomst mag</w:t>
      </w:r>
      <w:r>
        <w:rPr>
          <w:rFonts w:eastAsia="Calibri" w:cs="Calibri"/>
        </w:rPr>
        <w:t xml:space="preserve"> </w:t>
      </w:r>
      <w:r>
        <w:rPr>
          <w:rFonts w:eastAsia="Calibri" w:cs="Calibri"/>
          <w:i/>
          <w:iCs/>
        </w:rPr>
        <w:t>Vijfmaal maal</w:t>
      </w:r>
      <w:r>
        <w:rPr>
          <w:rFonts w:eastAsia="Calibri" w:cs="Calibri"/>
        </w:rPr>
        <w:t xml:space="preserve"> </w:t>
      </w:r>
      <w:r>
        <w:rPr>
          <w:rFonts w:eastAsia="Calibri" w:cs="Calibri"/>
          <w:i/>
          <w:iCs/>
        </w:rPr>
        <w:t>worden verlengd.</w:t>
      </w:r>
      <w:r>
        <w:rPr>
          <w:rFonts w:eastAsia="Calibri" w:cs="Calibri"/>
        </w:rPr>
        <w:t> </w:t>
      </w:r>
      <w:r>
        <w:rPr>
          <w:rFonts w:eastAsia="Calibri" w:cs="Calibri"/>
          <w:i/>
          <w:iCs/>
        </w:rPr>
        <w:br/>
        <w:t>4.5. 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r>
        <w:rPr>
          <w:rFonts w:eastAsia="Calibri" w:cs="Calibri"/>
          <w:i/>
          <w:iCs/>
        </w:rPr>
        <w:br/>
        <w:t>4.6. De looptijd van de Gebruiksrechten is</w:t>
      </w:r>
      <w:r>
        <w:rPr>
          <w:rFonts w:eastAsia="Calibri" w:cs="Calibri"/>
        </w:rPr>
        <w:t xml:space="preserve"> </w:t>
      </w:r>
      <w:r>
        <w:rPr>
          <w:rFonts w:eastAsia="Calibri" w:cs="Calibri"/>
          <w:i/>
          <w:iCs/>
        </w:rPr>
        <w:t>gelijk aan artikel 17.3 GIBIT 2020</w:t>
      </w:r>
      <w:r>
        <w:rPr>
          <w:rFonts w:eastAsia="Calibri" w:cs="Calibri"/>
        </w:rPr>
        <w:t>.</w:t>
      </w:r>
    </w:p>
    <w:p w14:paraId="6402E6D1" w14:textId="3E208DB9" w:rsidR="006669C5" w:rsidRDefault="00FE5D41">
      <w:pPr>
        <w:spacing w:before="239" w:after="239" w:line="240" w:lineRule="auto"/>
        <w:textAlignment w:val="top"/>
      </w:pPr>
      <w:r>
        <w:rPr>
          <w:rFonts w:eastAsia="Calibri" w:cs="Calibri"/>
          <w:b/>
          <w:bCs/>
        </w:rPr>
        <w:t>5. Implementatie</w:t>
      </w:r>
      <w:r>
        <w:rPr>
          <w:rFonts w:eastAsia="Calibri" w:cs="Calibri"/>
        </w:rPr>
        <w:br/>
        <w:t xml:space="preserve">5.1. </w:t>
      </w:r>
      <w:r>
        <w:rPr>
          <w:rFonts w:eastAsia="Calibri" w:cs="Calibri"/>
          <w:i/>
          <w:iCs/>
        </w:rPr>
        <w:t>De Implementatie geschiedt volgens een in nader overleg op te stellen Implementatieplan</w:t>
      </w:r>
      <w:r w:rsidR="009966F8">
        <w:rPr>
          <w:rFonts w:eastAsia="Calibri" w:cs="Calibri"/>
          <w:i/>
          <w:iCs/>
        </w:rPr>
        <w:t>/verbeterplan</w:t>
      </w:r>
      <w:r>
        <w:rPr>
          <w:rFonts w:eastAsia="Calibri" w:cs="Calibri"/>
        </w:rPr>
        <w:t>.</w:t>
      </w:r>
      <w:r>
        <w:rPr>
          <w:rFonts w:eastAsia="Calibri" w:cs="Calibri"/>
        </w:rPr>
        <w:br/>
        <w:t xml:space="preserve">5.2. </w:t>
      </w:r>
      <w:r>
        <w:rPr>
          <w:rFonts w:eastAsia="Calibri" w:cs="Calibri"/>
          <w:i/>
          <w:iCs/>
        </w:rPr>
        <w:t>De einddatum waarop de Implementatie dient te zijn voltooid wordt in nader overleg bepaald</w:t>
      </w:r>
      <w:r>
        <w:rPr>
          <w:rFonts w:eastAsia="Calibri" w:cs="Calibri"/>
        </w:rPr>
        <w:t>.</w:t>
      </w:r>
    </w:p>
    <w:p w14:paraId="5E5DDEB4" w14:textId="77777777" w:rsidR="006669C5" w:rsidRDefault="00FE5D41">
      <w:pPr>
        <w:spacing w:before="239" w:after="239" w:line="240" w:lineRule="auto"/>
        <w:textAlignment w:val="top"/>
      </w:pPr>
      <w:r>
        <w:rPr>
          <w:rFonts w:eastAsia="Calibri" w:cs="Calibri"/>
          <w:b/>
          <w:bCs/>
          <w:i/>
          <w:iCs/>
        </w:rPr>
        <w:t>6. Acceptatie</w:t>
      </w:r>
      <w:r>
        <w:rPr>
          <w:rFonts w:eastAsia="Calibri" w:cs="Calibri"/>
        </w:rPr>
        <w:br/>
        <w:t>6.1. De Acceptatieprocedure verloopt conform het opgestelde testprotocol, welke opgenomen is in bijlage "Zoals beschreven in het Programma van Eisen". </w:t>
      </w:r>
    </w:p>
    <w:p w14:paraId="5235861E" w14:textId="77777777" w:rsidR="006669C5" w:rsidRDefault="00FE5D41">
      <w:pPr>
        <w:spacing w:before="239" w:after="239" w:line="240" w:lineRule="auto"/>
        <w:textAlignment w:val="top"/>
      </w:pPr>
      <w:r>
        <w:rPr>
          <w:rFonts w:eastAsia="Calibri" w:cs="Calibri"/>
          <w:b/>
          <w:bCs/>
        </w:rPr>
        <w:t>7. Onderhoud</w:t>
      </w:r>
      <w:r>
        <w:rPr>
          <w:rFonts w:eastAsia="Calibri" w:cs="Calibri"/>
        </w:rPr>
        <w:br/>
        <w:t>7.1. Het Onderhoud wordt verricht overeenkomstig:</w:t>
      </w:r>
    </w:p>
    <w:p w14:paraId="6A6707DC" w14:textId="77777777" w:rsidR="006669C5" w:rsidRDefault="00FE5D41">
      <w:pPr>
        <w:numPr>
          <w:ilvl w:val="0"/>
          <w:numId w:val="4"/>
        </w:numPr>
        <w:spacing w:line="240" w:lineRule="auto"/>
        <w:rPr>
          <w:rFonts w:ascii="Calibri" w:eastAsia="Calibri" w:hAnsi="Calibri" w:cs="Calibri"/>
        </w:rPr>
      </w:pPr>
      <w:r w:rsidRPr="00FE5D41">
        <w:rPr>
          <w:rFonts w:eastAsia="Calibri" w:cs="Calibri"/>
          <w:i/>
          <w:iCs/>
          <w:lang w:val="en-GB"/>
        </w:rPr>
        <w:t xml:space="preserve">In een service level agreement. </w:t>
      </w:r>
      <w:r>
        <w:rPr>
          <w:rFonts w:eastAsia="Calibri" w:cs="Calibri"/>
          <w:i/>
          <w:iCs/>
        </w:rPr>
        <w:t>Artikel 8 GIBIT vormt voor onvoorziene omstandigheden het vangnet.</w:t>
      </w:r>
    </w:p>
    <w:p w14:paraId="0DA57065" w14:textId="77777777" w:rsidR="006669C5" w:rsidRDefault="00FE5D41">
      <w:pPr>
        <w:spacing w:before="239" w:after="239" w:line="240" w:lineRule="auto"/>
        <w:textAlignment w:val="top"/>
      </w:pPr>
      <w:r>
        <w:rPr>
          <w:rFonts w:eastAsia="Calibri" w:cs="Calibri"/>
          <w:b/>
          <w:bCs/>
        </w:rPr>
        <w:t>8. Gebruiksrechten</w:t>
      </w:r>
      <w:r>
        <w:rPr>
          <w:rFonts w:eastAsia="Calibri" w:cs="Calibri"/>
        </w:rPr>
        <w:br/>
        <w:t>8.1. Leverancier levert Gebruiksrechten zoals gespecificeerd in de in artikel 1.1. genoemde documenten.</w:t>
      </w:r>
    </w:p>
    <w:p w14:paraId="1ED594A1" w14:textId="77777777" w:rsidR="006669C5" w:rsidRDefault="00FE5D41">
      <w:pPr>
        <w:spacing w:before="239" w:after="239" w:line="240" w:lineRule="auto"/>
        <w:textAlignment w:val="top"/>
      </w:pPr>
      <w:r>
        <w:rPr>
          <w:rFonts w:eastAsia="Calibri" w:cs="Calibri"/>
          <w:b/>
          <w:bCs/>
        </w:rPr>
        <w:t>9. Exit-plan</w:t>
      </w:r>
      <w:r>
        <w:rPr>
          <w:rFonts w:eastAsia="Calibri" w:cs="Calibri"/>
        </w:rPr>
        <w:br/>
        <w:t xml:space="preserve">9.1. Leverancier verplicht zich reeds nu </w:t>
      </w:r>
      <w:r>
        <w:rPr>
          <w:rFonts w:eastAsia="Calibri" w:cs="Calibri"/>
          <w:b/>
          <w:bCs/>
        </w:rPr>
        <w:t>uiterlijk vóór 1 mei 2025</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een service level agreement</w:t>
      </w:r>
      <w:r>
        <w:rPr>
          <w:rFonts w:eastAsia="Calibri" w:cs="Calibri"/>
        </w:rPr>
        <w:t>.</w:t>
      </w:r>
    </w:p>
    <w:p w14:paraId="02B3B856" w14:textId="77777777" w:rsidR="006669C5" w:rsidRDefault="00FE5D41">
      <w:pPr>
        <w:spacing w:before="239" w:after="239" w:line="240" w:lineRule="auto"/>
        <w:textAlignment w:val="top"/>
      </w:pPr>
      <w:r>
        <w:rPr>
          <w:rFonts w:eastAsia="Calibri" w:cs="Calibri"/>
          <w:b/>
          <w:bCs/>
        </w:rPr>
        <w:t>10. Vergoedingen</w:t>
      </w:r>
      <w:r>
        <w:rPr>
          <w:rFonts w:eastAsia="Calibri" w:cs="Calibri"/>
          <w:i/>
          <w:iCs/>
        </w:rPr>
        <w:br/>
        <w:t>10.1. 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10.2. De vergoeding voor de Gebruiksrechten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10.3. Na ingebruikname voor productieve doeleinden wordt</w:t>
      </w:r>
      <w:r>
        <w:rPr>
          <w:rFonts w:eastAsia="Calibri" w:cs="Calibri"/>
        </w:rPr>
        <w:t xml:space="preserve"> </w:t>
      </w:r>
      <w:r>
        <w:rPr>
          <w:rFonts w:eastAsia="Calibri" w:cs="Calibri"/>
          <w:i/>
          <w:iCs/>
        </w:rPr>
        <w:t>van de vergoeding voor de Gebruiksrechten opeisbaar.</w:t>
      </w:r>
      <w:r>
        <w:rPr>
          <w:rFonts w:eastAsia="Calibri" w:cs="Calibri"/>
          <w:i/>
          <w:iCs/>
        </w:rPr>
        <w:br/>
        <w:t>10.4. De vergoeding voor de exit-plan is nader gespecificeerd in</w:t>
      </w:r>
      <w:r>
        <w:rPr>
          <w:rFonts w:eastAsia="Calibri" w:cs="Calibri"/>
        </w:rPr>
        <w:t xml:space="preserve"> </w:t>
      </w:r>
      <w:r>
        <w:rPr>
          <w:rFonts w:eastAsia="Calibri" w:cs="Calibri"/>
          <w:i/>
          <w:iCs/>
        </w:rPr>
        <w:t>de service level agreement.</w:t>
      </w:r>
      <w:r>
        <w:rPr>
          <w:rFonts w:eastAsia="Calibri" w:cs="Calibri"/>
          <w:i/>
          <w:iCs/>
        </w:rPr>
        <w:br/>
        <w:t>10.5.</w:t>
      </w:r>
      <w:r>
        <w:rPr>
          <w:rFonts w:eastAsia="Calibri" w:cs="Calibri"/>
        </w:rPr>
        <w:t xml:space="preserve"> </w:t>
      </w:r>
      <w:r>
        <w:rPr>
          <w:rFonts w:eastAsia="Calibri" w:cs="Calibri"/>
          <w:i/>
          <w:iCs/>
        </w:rPr>
        <w:t>V</w:t>
      </w:r>
      <w:r>
        <w:rPr>
          <w:rFonts w:eastAsia="Calibri" w:cs="Calibri"/>
          <w:i/>
          <w:iCs/>
          <w:color w:val="333333"/>
          <w:shd w:val="clear" w:color="auto" w:fill="FFFFFF"/>
        </w:rPr>
        <w:t>an de totale Ve</w:t>
      </w:r>
      <w:r>
        <w:rPr>
          <w:rFonts w:eastAsia="Calibri" w:cs="Calibri"/>
          <w:i/>
          <w:iCs/>
        </w:rPr>
        <w:t>rgoeding is</w:t>
      </w:r>
      <w:r>
        <w:rPr>
          <w:rFonts w:eastAsia="Calibri" w:cs="Calibri"/>
        </w:rPr>
        <w:t xml:space="preserve"> </w:t>
      </w:r>
      <w:r>
        <w:rPr>
          <w:rFonts w:eastAsia="Calibri" w:cs="Calibri"/>
          <w:i/>
          <w:iCs/>
          <w:u w:val="single" w:color="000000"/>
        </w:rPr>
        <w:t>dertig (30) %</w:t>
      </w:r>
      <w:r>
        <w:rPr>
          <w:rFonts w:eastAsia="Calibri" w:cs="Calibri"/>
        </w:rPr>
        <w:t xml:space="preserve"> </w:t>
      </w:r>
      <w:r>
        <w:rPr>
          <w:rFonts w:eastAsia="Calibri" w:cs="Calibri"/>
          <w:i/>
          <w:iCs/>
        </w:rPr>
        <w:t>eerst opeisbaar na integrale Acceptatie</w:t>
      </w:r>
      <w:r>
        <w:rPr>
          <w:rFonts w:eastAsia="Calibri" w:cs="Calibri"/>
        </w:rPr>
        <w:t>.</w:t>
      </w:r>
      <w:r>
        <w:rPr>
          <w:rFonts w:eastAsia="Calibri" w:cs="Calibri"/>
          <w:i/>
          <w:iCs/>
        </w:rPr>
        <w:br/>
        <w:t>10.6. Leverancier verzendt de</w:t>
      </w:r>
      <w:r>
        <w:rPr>
          <w:rFonts w:eastAsia="Calibri" w:cs="Calibri"/>
        </w:rPr>
        <w:t xml:space="preserve"> </w:t>
      </w:r>
      <w:r>
        <w:rPr>
          <w:rFonts w:eastAsia="Calibri" w:cs="Calibri"/>
          <w:i/>
          <w:iCs/>
        </w:rPr>
        <w:t>factuur (met routenummer: volgt) aan Opdrachtgever</w:t>
      </w:r>
      <w:r>
        <w:rPr>
          <w:rFonts w:eastAsia="Calibri" w:cs="Calibri"/>
        </w:rPr>
        <w:t xml:space="preserve"> </w:t>
      </w:r>
      <w:r>
        <w:rPr>
          <w:rFonts w:eastAsia="Calibri" w:cs="Calibri"/>
          <w:i/>
          <w:iCs/>
        </w:rPr>
        <w:t>elektronisch als PDF-bestand naar volgt</w:t>
      </w:r>
      <w:r>
        <w:rPr>
          <w:rFonts w:eastAsia="Calibri" w:cs="Calibri"/>
        </w:rPr>
        <w:t>.</w:t>
      </w:r>
      <w:r>
        <w:rPr>
          <w:rFonts w:eastAsia="Calibri" w:cs="Calibri"/>
          <w:i/>
          <w:iCs/>
        </w:rPr>
        <w:br/>
      </w:r>
      <w:r w:rsidRPr="00D2559D">
        <w:rPr>
          <w:rFonts w:eastAsia="Calibri" w:cs="Calibri"/>
          <w:i/>
          <w:iCs/>
        </w:rPr>
        <w:lastRenderedPageBreak/>
        <w:t>10.7. De in GIBIT 2020 artikel 9.8 benoemde index J62, althans sectie J, conform CPA 2008, van het Centraal Bureau voor de Statistiek, wordt logisch opgevolgd door index J 6202.</w:t>
      </w:r>
    </w:p>
    <w:p w14:paraId="43B37889" w14:textId="77777777" w:rsidR="006669C5" w:rsidRDefault="00FE5D41">
      <w:pPr>
        <w:spacing w:before="239" w:after="239" w:line="240" w:lineRule="auto"/>
        <w:textAlignment w:val="top"/>
      </w:pPr>
      <w:r>
        <w:rPr>
          <w:rFonts w:eastAsia="Calibri" w:cs="Calibri"/>
          <w:b/>
          <w:bCs/>
        </w:rPr>
        <w:t>11. Contactpersonen en bevoegdheden</w:t>
      </w:r>
      <w:r>
        <w:rPr>
          <w:rFonts w:eastAsia="Calibri" w:cs="Calibri"/>
        </w:rPr>
        <w:br/>
        <w:t>11.1. Partijen wijzen de in een bijlage gespecificeerde personen aan als contactpersoon namens hun organisatie gedurende de looptijd van de Overeenkomst.</w:t>
      </w:r>
      <w:r>
        <w:rPr>
          <w:rFonts w:eastAsia="Calibri" w:cs="Calibri"/>
        </w:rPr>
        <w:br/>
        <w:t>11.2.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11.3. Een partij mag haar contactpersonen wijzigen middels schriftelijke mededeling aan de andere partij. De wijziging zal minimaal een week van tevoren worden gemeld, behoudens in spoedgevallen.</w:t>
      </w:r>
    </w:p>
    <w:p w14:paraId="5723E993" w14:textId="77777777" w:rsidR="006669C5" w:rsidRDefault="00FE5D41">
      <w:pPr>
        <w:spacing w:before="239" w:after="239" w:line="240" w:lineRule="auto"/>
        <w:textAlignment w:val="top"/>
      </w:pPr>
      <w:r>
        <w:rPr>
          <w:rFonts w:eastAsia="Calibri" w:cs="Calibri"/>
          <w:b/>
          <w:bCs/>
        </w:rPr>
        <w:t>12. Aansprakelijkheid</w:t>
      </w:r>
      <w:r>
        <w:rPr>
          <w:rFonts w:eastAsia="Calibri" w:cs="Calibri"/>
        </w:rPr>
        <w:br/>
        <w:t xml:space="preserve">12.1. In afwijking van het bepaalde in artikel 13.3 GIBIT 2020 geldt dat de aansprakelijkheid voor persoons- en zaakschade en daaruit voortvloeiende schade, is beperkt tot een bedrag van </w:t>
      </w:r>
      <w:r>
        <w:rPr>
          <w:rFonts w:eastAsia="Calibri" w:cs="Calibri"/>
          <w:i/>
          <w:iCs/>
        </w:rPr>
        <w:t>€ 3.000.000,00 per</w:t>
      </w:r>
      <w:r>
        <w:rPr>
          <w:rFonts w:eastAsia="Calibri" w:cs="Calibri"/>
        </w:rPr>
        <w:t xml:space="preserve"> gebeurtenis. Samenhangende gebeurtenissen worden daarbij aangemerkt als één gebeurtenis.</w:t>
      </w:r>
      <w:r>
        <w:rPr>
          <w:rFonts w:eastAsia="Calibri" w:cs="Calibri"/>
        </w:rPr>
        <w:br/>
        <w:t xml:space="preserve">12.2. In afwijking van het bepaalde in artikel 13.4 GIBIT 2020 geldt dat de aansprakelijkheid voor overige schade is beperkt </w:t>
      </w:r>
      <w:r>
        <w:rPr>
          <w:rFonts w:eastAsia="Calibri" w:cs="Calibri"/>
          <w:i/>
          <w:iCs/>
        </w:rPr>
        <w:t>tot vier maal de Jaarvergoeding per gebeurtenis. De totale aansprakelijkheid per jaar bedraagt evenwel nooit meer dan acht maal de Jaarvergoeding</w:t>
      </w:r>
      <w:r>
        <w:rPr>
          <w:rFonts w:eastAsia="Calibri" w:cs="Calibri"/>
        </w:rPr>
        <w:t xml:space="preserve">. </w:t>
      </w:r>
      <w:r>
        <w:rPr>
          <w:rFonts w:eastAsia="Calibri" w:cs="Calibri"/>
          <w:i/>
          <w:iCs/>
        </w:rPr>
        <w:t>Samenhangende gebeurtenissen worden daarbij aangemerkt als één gebeurtenis.</w:t>
      </w:r>
    </w:p>
    <w:p w14:paraId="17C49A06" w14:textId="77777777" w:rsidR="006669C5" w:rsidRDefault="00FE5D41">
      <w:pPr>
        <w:spacing w:before="239" w:after="239" w:line="240" w:lineRule="auto"/>
        <w:textAlignment w:val="top"/>
      </w:pPr>
      <w:r>
        <w:rPr>
          <w:rFonts w:eastAsia="Calibri" w:cs="Calibri"/>
          <w:b/>
          <w:bCs/>
        </w:rPr>
        <w:t>13. Evaluatie </w:t>
      </w:r>
      <w:r>
        <w:rPr>
          <w:rFonts w:eastAsia="Calibri" w:cs="Calibri"/>
        </w:rPr>
        <w:br/>
        <w:t>13.1. Opdrachtgever evalueert minimaal één (1) maal per jaar de uitvoering van de opdracht en het resultaat van de ICT Prestatie. De onderwerpen van evaluatie omvatten in ieder geval en indien van toepassing:</w:t>
      </w:r>
      <w:r>
        <w:rPr>
          <w:rFonts w:eastAsia="Calibri" w:cs="Calibri"/>
        </w:rPr>
        <w:br/>
        <w:t>(i) de kwaliteit;</w:t>
      </w:r>
      <w:r>
        <w:rPr>
          <w:rFonts w:eastAsia="Calibri" w:cs="Calibri"/>
        </w:rPr>
        <w:br/>
        <w:t>(ii) de prijs;</w:t>
      </w:r>
      <w:r>
        <w:rPr>
          <w:rFonts w:eastAsia="Calibri" w:cs="Calibri"/>
        </w:rPr>
        <w:br/>
        <w:t>(iii) oplevering en levertijd;</w:t>
      </w:r>
      <w:r>
        <w:rPr>
          <w:rFonts w:eastAsia="Calibri" w:cs="Calibri"/>
        </w:rPr>
        <w:br/>
        <w:t>(iv) service, nazorg onderhoudstermijnen en garantie;</w:t>
      </w:r>
      <w:r>
        <w:rPr>
          <w:rFonts w:eastAsia="Calibri" w:cs="Calibri"/>
        </w:rPr>
        <w:br/>
        <w:t>(v) algemene ervaringen met Leverancier.</w:t>
      </w:r>
      <w:r>
        <w:rPr>
          <w:rFonts w:eastAsia="Calibri" w:cs="Calibri"/>
        </w:rPr>
        <w:br/>
        <w:t>13.2. 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r>
        <w:rPr>
          <w:rFonts w:eastAsia="Calibri" w:cs="Calibri"/>
        </w:rPr>
        <w:br/>
        <w:t> </w:t>
      </w:r>
      <w:r>
        <w:rPr>
          <w:rFonts w:eastAsia="Calibri" w:cs="Calibri"/>
        </w:rPr>
        <w:br/>
        <w:t> </w:t>
      </w:r>
    </w:p>
    <w:p w14:paraId="6C55A80D" w14:textId="77777777" w:rsidR="006669C5" w:rsidRDefault="00FE5D41">
      <w:pPr>
        <w:spacing w:before="239" w:after="239" w:line="240" w:lineRule="auto"/>
        <w:textAlignment w:val="top"/>
      </w:pPr>
      <w:r>
        <w:rPr>
          <w:rFonts w:eastAsia="Calibri" w:cs="Calibri"/>
        </w:rPr>
        <w:t> </w:t>
      </w:r>
    </w:p>
    <w:p w14:paraId="2D1CECB1" w14:textId="77777777" w:rsidR="006669C5" w:rsidRDefault="00FE5D41">
      <w:pPr>
        <w:spacing w:before="239" w:after="239" w:line="240" w:lineRule="auto"/>
        <w:textAlignment w:val="top"/>
      </w:pPr>
      <w:r>
        <w:rPr>
          <w:rFonts w:eastAsia="Calibri" w:cs="Calibri"/>
          <w:b/>
          <w:bCs/>
        </w:rPr>
        <w:lastRenderedPageBreak/>
        <w:t>14. Voorwaarden en overige afspraken</w:t>
      </w:r>
      <w:r>
        <w:rPr>
          <w:rFonts w:eastAsia="Calibri" w:cs="Calibri"/>
        </w:rPr>
        <w:br/>
        <w:t>14.1. Op deze Overeenkomst is de GIBIT 2020 van toepassing, zoals bijgesloten als bijlage. Leverancier verklaart een exemplaar van de GIBIT 2020 te hebben ontvangen.</w:t>
      </w:r>
      <w:r>
        <w:rPr>
          <w:rFonts w:eastAsia="Calibri" w:cs="Calibri"/>
        </w:rPr>
        <w:br/>
        <w:t xml:space="preserve">14.2. De volgende artikelen van de GIBIT 2020 zijn niet van toepassing: </w:t>
      </w:r>
      <w:r>
        <w:rPr>
          <w:rFonts w:eastAsia="Calibri" w:cs="Calibri"/>
          <w:i/>
          <w:iCs/>
        </w:rPr>
        <w:t>De artikelen in hoofdstuk II en III</w:t>
      </w:r>
      <w:r>
        <w:rPr>
          <w:rFonts w:eastAsia="Calibri" w:cs="Calibri"/>
        </w:rPr>
        <w:t>.</w:t>
      </w:r>
      <w:r>
        <w:rPr>
          <w:rFonts w:eastAsia="Calibri" w:cs="Calibri"/>
        </w:rPr>
        <w:br/>
        <w:t>14.3. Eventuele leveringsvoorwaarden van Leverancier zijn uitdrukkelijk niet van toepassing.</w:t>
      </w:r>
      <w:r>
        <w:rPr>
          <w:rFonts w:eastAsia="Calibri" w:cs="Calibri"/>
        </w:rPr>
        <w:br/>
        <w:t>14.4. De navolgende stukken vormen gezamenlijk de Overeenkomst. Voor zover deze stukken met elkaar in tegenspraak zijn, prevaleert het eerder genoemde stuk boven het later genoemde:</w:t>
      </w:r>
    </w:p>
    <w:p w14:paraId="49B1006B" w14:textId="77777777" w:rsidR="006669C5" w:rsidRDefault="00FE5D41">
      <w:pPr>
        <w:numPr>
          <w:ilvl w:val="0"/>
          <w:numId w:val="4"/>
        </w:numPr>
        <w:spacing w:line="240" w:lineRule="auto"/>
        <w:rPr>
          <w:rFonts w:ascii="Calibri" w:eastAsia="Calibri" w:hAnsi="Calibri" w:cs="Calibri"/>
        </w:rPr>
      </w:pPr>
      <w:r>
        <w:rPr>
          <w:rFonts w:eastAsia="Calibri" w:cs="Calibri"/>
        </w:rPr>
        <w:t>Het onderhavige document;</w:t>
      </w:r>
    </w:p>
    <w:p w14:paraId="2669D29A" w14:textId="77777777" w:rsidR="006669C5" w:rsidRDefault="00FE5D41">
      <w:pPr>
        <w:numPr>
          <w:ilvl w:val="0"/>
          <w:numId w:val="4"/>
        </w:numPr>
        <w:spacing w:line="240" w:lineRule="auto"/>
        <w:rPr>
          <w:rFonts w:ascii="Calibri" w:eastAsia="Calibri" w:hAnsi="Calibri" w:cs="Calibri"/>
        </w:rPr>
      </w:pPr>
      <w:r w:rsidRPr="00D2559D">
        <w:rPr>
          <w:rFonts w:eastAsia="Calibri" w:cs="Calibri"/>
        </w:rPr>
        <w:t>De in artikel 1.1. genoemde</w:t>
      </w:r>
      <w:r>
        <w:rPr>
          <w:rFonts w:eastAsia="Calibri" w:cs="Calibri"/>
        </w:rPr>
        <w:t xml:space="preserve"> documenten (in de daar genoemde volgorde).</w:t>
      </w:r>
    </w:p>
    <w:p w14:paraId="44C12D98" w14:textId="77777777" w:rsidR="006669C5" w:rsidRDefault="00FE5D41">
      <w:pPr>
        <w:spacing w:before="239" w:after="239" w:line="240" w:lineRule="auto"/>
        <w:textAlignment w:val="top"/>
      </w:pPr>
      <w:r>
        <w:rPr>
          <w:rFonts w:eastAsia="Calibri" w:cs="Calibri"/>
        </w:rPr>
        <w:t>14.5. In de Overeenkomst wordt een aantal begrippen met een beginhoofdletter gebruikt. Aan deze begrippen komt de betekenis toe die hieraan is gegeven in de GIBIT 2020.</w:t>
      </w:r>
    </w:p>
    <w:p w14:paraId="41FEFD48" w14:textId="77777777" w:rsidR="006669C5" w:rsidRDefault="00FE5D41">
      <w:pPr>
        <w:spacing w:before="239" w:after="239" w:line="240" w:lineRule="auto"/>
        <w:textAlignment w:val="top"/>
      </w:pPr>
      <w:r>
        <w:rPr>
          <w:rFonts w:eastAsia="Calibri" w:cs="Calibri"/>
          <w:i/>
          <w:iCs/>
        </w:rPr>
        <w:t>Aangezien dit een conceptovereenkomst betreft kan deze derhalve niet ondertekend worden.</w:t>
      </w:r>
    </w:p>
    <w:p w14:paraId="6E477D8F" w14:textId="77777777" w:rsidR="006669C5" w:rsidRDefault="00FE5D41">
      <w:pPr>
        <w:spacing w:before="239" w:after="239" w:line="240" w:lineRule="auto"/>
        <w:textAlignment w:val="top"/>
      </w:pPr>
      <w:r>
        <w:rPr>
          <w:rFonts w:eastAsia="Calibri" w:cs="Calibri"/>
        </w:rPr>
        <w:t> </w:t>
      </w:r>
      <w:r>
        <w:br w:type="page"/>
      </w:r>
    </w:p>
    <w:p w14:paraId="47A8BEF3" w14:textId="77777777" w:rsidR="006669C5" w:rsidRDefault="006669C5" w:rsidP="00D2559D">
      <w:pPr>
        <w:spacing w:line="240" w:lineRule="auto"/>
      </w:pPr>
    </w:p>
    <w:p w14:paraId="2FB24E9D" w14:textId="77777777" w:rsidR="006669C5" w:rsidRDefault="00FE5D41">
      <w:pPr>
        <w:pStyle w:val="Kop2"/>
        <w:spacing w:before="199" w:after="199" w:line="240" w:lineRule="auto"/>
      </w:pPr>
      <w:r>
        <w:t>OVERZICHT BIJLAGEN</w:t>
      </w:r>
      <w:bookmarkStart w:id="0" w:name="_GoBack"/>
      <w:bookmarkEnd w:id="0"/>
    </w:p>
    <w:p w14:paraId="667EAACF" w14:textId="77777777" w:rsidR="006669C5" w:rsidRDefault="00FE5D41">
      <w:pPr>
        <w:numPr>
          <w:ilvl w:val="0"/>
          <w:numId w:val="4"/>
        </w:numPr>
        <w:spacing w:line="240" w:lineRule="auto"/>
        <w:rPr>
          <w:rFonts w:ascii="Calibri" w:eastAsia="Calibri" w:hAnsi="Calibri" w:cs="Calibri"/>
        </w:rPr>
      </w:pPr>
      <w:r>
        <w:rPr>
          <w:rFonts w:eastAsia="Calibri" w:cs="Calibri"/>
        </w:rPr>
        <w:t>De Nota van Inlichtingen;</w:t>
      </w:r>
    </w:p>
    <w:p w14:paraId="246BB5DF" w14:textId="77777777" w:rsidR="006669C5" w:rsidRDefault="00FE5D41">
      <w:pPr>
        <w:numPr>
          <w:ilvl w:val="0"/>
          <w:numId w:val="4"/>
        </w:numPr>
        <w:spacing w:line="240" w:lineRule="auto"/>
        <w:rPr>
          <w:rFonts w:ascii="Calibri" w:eastAsia="Calibri" w:hAnsi="Calibri" w:cs="Calibri"/>
        </w:rPr>
      </w:pPr>
      <w:r>
        <w:rPr>
          <w:rFonts w:eastAsia="Calibri" w:cs="Calibri"/>
        </w:rPr>
        <w:t>Contactpersonen Opdrachtgever;</w:t>
      </w:r>
    </w:p>
    <w:p w14:paraId="532CEA5A" w14:textId="77777777" w:rsidR="006669C5" w:rsidRDefault="00FE5D41">
      <w:pPr>
        <w:numPr>
          <w:ilvl w:val="0"/>
          <w:numId w:val="4"/>
        </w:numPr>
        <w:spacing w:line="240" w:lineRule="auto"/>
        <w:rPr>
          <w:rFonts w:ascii="Calibri" w:eastAsia="Calibri" w:hAnsi="Calibri" w:cs="Calibri"/>
        </w:rPr>
      </w:pPr>
      <w:r>
        <w:rPr>
          <w:rFonts w:eastAsia="Calibri" w:cs="Calibri"/>
        </w:rPr>
        <w:t>Contactpersonen Leverancier.</w:t>
      </w:r>
    </w:p>
    <w:p w14:paraId="7D275D54" w14:textId="77777777" w:rsidR="006669C5" w:rsidRDefault="00FE5D41">
      <w:pPr>
        <w:spacing w:before="239" w:after="239" w:line="240" w:lineRule="auto"/>
        <w:textAlignment w:val="top"/>
      </w:pPr>
      <w:r>
        <w:rPr>
          <w:rFonts w:eastAsia="Calibri" w:cs="Calibri"/>
          <w:b/>
          <w:bCs/>
        </w:rPr>
        <w:t>BIJLAGEN UITWERKING ASPECTEN ICT PRESTATIE</w:t>
      </w:r>
    </w:p>
    <w:p w14:paraId="6A34492A" w14:textId="77777777" w:rsidR="006669C5" w:rsidRDefault="00FE5D41">
      <w:pPr>
        <w:numPr>
          <w:ilvl w:val="0"/>
          <w:numId w:val="4"/>
        </w:numPr>
        <w:spacing w:line="240" w:lineRule="auto"/>
        <w:rPr>
          <w:rFonts w:ascii="Calibri" w:eastAsia="Calibri" w:hAnsi="Calibri" w:cs="Calibri"/>
        </w:rPr>
      </w:pPr>
      <w:r>
        <w:rPr>
          <w:rFonts w:eastAsia="Calibri" w:cs="Calibri"/>
        </w:rPr>
        <w:t>Zoals beschreven in het Programma van Eisen.</w:t>
      </w:r>
    </w:p>
    <w:sectPr w:rsidR="006669C5">
      <w:footerReference w:type="default" r:id="rId7"/>
      <w:pgSz w:w="11906" w:h="16838"/>
      <w:pgMar w:top="1440" w:right="1440" w:bottom="1440" w:left="1440" w:header="0" w:footer="708"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5BB0C" w16cex:dateUtc="2022-03-11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1D29CD" w16cid:durableId="25D5BB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58A08" w14:textId="77777777" w:rsidR="0076676C" w:rsidRDefault="00FE5D41">
      <w:pPr>
        <w:spacing w:line="240" w:lineRule="auto"/>
      </w:pPr>
      <w:r>
        <w:separator/>
      </w:r>
    </w:p>
  </w:endnote>
  <w:endnote w:type="continuationSeparator" w:id="0">
    <w:p w14:paraId="4FC2ACB1" w14:textId="77777777" w:rsidR="0076676C" w:rsidRDefault="00FE5D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23252" w14:textId="77777777" w:rsidR="006669C5" w:rsidRDefault="00FE5D41">
    <w:pPr>
      <w:pStyle w:val="Voettekst"/>
      <w:tabs>
        <w:tab w:val="clear" w:pos="9026"/>
        <w:tab w:val="right" w:pos="9020"/>
      </w:tabs>
    </w:pPr>
    <w:r>
      <w:tab/>
    </w:r>
    <w:r>
      <w:tab/>
      <w:t xml:space="preserve">Pagina </w:t>
    </w:r>
    <w:r>
      <w:fldChar w:fldCharType="begin"/>
    </w:r>
    <w:r>
      <w:instrText xml:space="preserve"> PAGE \* ARABIC </w:instrText>
    </w:r>
    <w:r>
      <w:fldChar w:fldCharType="separate"/>
    </w:r>
    <w:r w:rsidR="00D2559D">
      <w:rPr>
        <w:noProof/>
      </w:rPr>
      <w:t>6</w:t>
    </w:r>
    <w:r>
      <w:fldChar w:fldCharType="end"/>
    </w:r>
    <w:r>
      <w:t xml:space="preserve"> van </w:t>
    </w:r>
    <w:r w:rsidR="00D2559D">
      <w:rPr>
        <w:noProof/>
      </w:rPr>
      <w:fldChar w:fldCharType="begin"/>
    </w:r>
    <w:r w:rsidR="00D2559D">
      <w:rPr>
        <w:noProof/>
      </w:rPr>
      <w:instrText xml:space="preserve"> NUMPAGES \* ARABIC </w:instrText>
    </w:r>
    <w:r w:rsidR="00D2559D">
      <w:rPr>
        <w:noProof/>
      </w:rPr>
      <w:fldChar w:fldCharType="separate"/>
    </w:r>
    <w:r w:rsidR="00D2559D">
      <w:rPr>
        <w:noProof/>
      </w:rPr>
      <w:t>6</w:t>
    </w:r>
    <w:r w:rsidR="00D2559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7AE97" w14:textId="77777777" w:rsidR="0076676C" w:rsidRDefault="00FE5D41">
      <w:pPr>
        <w:spacing w:line="240" w:lineRule="auto"/>
      </w:pPr>
      <w:r>
        <w:separator/>
      </w:r>
    </w:p>
  </w:footnote>
  <w:footnote w:type="continuationSeparator" w:id="0">
    <w:p w14:paraId="54756117" w14:textId="77777777" w:rsidR="0076676C" w:rsidRDefault="00FE5D4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93D60"/>
    <w:multiLevelType w:val="multilevel"/>
    <w:tmpl w:val="74B250DC"/>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10C03BB0"/>
    <w:multiLevelType w:val="multilevel"/>
    <w:tmpl w:val="40EE6D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72F1161"/>
    <w:multiLevelType w:val="multilevel"/>
    <w:tmpl w:val="CAEA0BD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C354D32"/>
    <w:multiLevelType w:val="hybridMultilevel"/>
    <w:tmpl w:val="7A6887AA"/>
    <w:lvl w:ilvl="0" w:tplc="41291443">
      <w:start w:val="1"/>
      <w:numFmt w:val="decimal"/>
      <w:lvlText w:val="%1."/>
      <w:lvlJc w:val="left"/>
      <w:pPr>
        <w:ind w:left="720" w:hanging="360"/>
      </w:pPr>
    </w:lvl>
    <w:lvl w:ilvl="1" w:tplc="41291443" w:tentative="1">
      <w:start w:val="1"/>
      <w:numFmt w:val="lowerLetter"/>
      <w:lvlText w:val="%2."/>
      <w:lvlJc w:val="left"/>
      <w:pPr>
        <w:ind w:left="1440" w:hanging="360"/>
      </w:pPr>
    </w:lvl>
    <w:lvl w:ilvl="2" w:tplc="41291443" w:tentative="1">
      <w:start w:val="1"/>
      <w:numFmt w:val="lowerRoman"/>
      <w:lvlText w:val="%3."/>
      <w:lvlJc w:val="right"/>
      <w:pPr>
        <w:ind w:left="2160" w:hanging="180"/>
      </w:pPr>
    </w:lvl>
    <w:lvl w:ilvl="3" w:tplc="41291443" w:tentative="1">
      <w:start w:val="1"/>
      <w:numFmt w:val="decimal"/>
      <w:lvlText w:val="%4."/>
      <w:lvlJc w:val="left"/>
      <w:pPr>
        <w:ind w:left="2880" w:hanging="360"/>
      </w:pPr>
    </w:lvl>
    <w:lvl w:ilvl="4" w:tplc="41291443" w:tentative="1">
      <w:start w:val="1"/>
      <w:numFmt w:val="lowerLetter"/>
      <w:lvlText w:val="%5."/>
      <w:lvlJc w:val="left"/>
      <w:pPr>
        <w:ind w:left="3600" w:hanging="360"/>
      </w:pPr>
    </w:lvl>
    <w:lvl w:ilvl="5" w:tplc="41291443" w:tentative="1">
      <w:start w:val="1"/>
      <w:numFmt w:val="lowerRoman"/>
      <w:lvlText w:val="%6."/>
      <w:lvlJc w:val="right"/>
      <w:pPr>
        <w:ind w:left="4320" w:hanging="180"/>
      </w:pPr>
    </w:lvl>
    <w:lvl w:ilvl="6" w:tplc="41291443" w:tentative="1">
      <w:start w:val="1"/>
      <w:numFmt w:val="decimal"/>
      <w:lvlText w:val="%7."/>
      <w:lvlJc w:val="left"/>
      <w:pPr>
        <w:ind w:left="5040" w:hanging="360"/>
      </w:pPr>
    </w:lvl>
    <w:lvl w:ilvl="7" w:tplc="41291443" w:tentative="1">
      <w:start w:val="1"/>
      <w:numFmt w:val="lowerLetter"/>
      <w:lvlText w:val="%8."/>
      <w:lvlJc w:val="left"/>
      <w:pPr>
        <w:ind w:left="5760" w:hanging="360"/>
      </w:pPr>
    </w:lvl>
    <w:lvl w:ilvl="8" w:tplc="41291443" w:tentative="1">
      <w:start w:val="1"/>
      <w:numFmt w:val="lowerRoman"/>
      <w:lvlText w:val="%9."/>
      <w:lvlJc w:val="right"/>
      <w:pPr>
        <w:ind w:left="6480" w:hanging="180"/>
      </w:pPr>
    </w:lvl>
  </w:abstractNum>
  <w:abstractNum w:abstractNumId="4" w15:restartNumberingAfterBreak="0">
    <w:nsid w:val="599F62CC"/>
    <w:multiLevelType w:val="hybridMultilevel"/>
    <w:tmpl w:val="D50AA0FA"/>
    <w:lvl w:ilvl="0" w:tplc="162434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E7416FD"/>
    <w:multiLevelType w:val="multilevel"/>
    <w:tmpl w:val="14D482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CB862D6"/>
    <w:multiLevelType w:val="multilevel"/>
    <w:tmpl w:val="0208467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2"/>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C5"/>
    <w:rsid w:val="00042894"/>
    <w:rsid w:val="00137632"/>
    <w:rsid w:val="003D2CDC"/>
    <w:rsid w:val="006669C5"/>
    <w:rsid w:val="0076676C"/>
    <w:rsid w:val="0091542B"/>
    <w:rsid w:val="009966F8"/>
    <w:rsid w:val="00D2559D"/>
    <w:rsid w:val="00FE5D4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1D8C"/>
  <w15:docId w15:val="{59A9BF32-78CD-42B5-93CA-52E4375B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3D2CDC"/>
    <w:rPr>
      <w:sz w:val="16"/>
      <w:szCs w:val="16"/>
    </w:rPr>
  </w:style>
  <w:style w:type="paragraph" w:styleId="Tekstopmerking">
    <w:name w:val="annotation text"/>
    <w:basedOn w:val="Standaard"/>
    <w:link w:val="TekstopmerkingChar"/>
    <w:uiPriority w:val="99"/>
    <w:semiHidden/>
    <w:unhideWhenUsed/>
    <w:rsid w:val="003D2C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2CDC"/>
    <w:rPr>
      <w:sz w:val="20"/>
      <w:szCs w:val="20"/>
    </w:rPr>
  </w:style>
  <w:style w:type="paragraph" w:styleId="Onderwerpvanopmerking">
    <w:name w:val="annotation subject"/>
    <w:basedOn w:val="Tekstopmerking"/>
    <w:next w:val="Tekstopmerking"/>
    <w:link w:val="OnderwerpvanopmerkingChar"/>
    <w:uiPriority w:val="99"/>
    <w:semiHidden/>
    <w:unhideWhenUsed/>
    <w:rsid w:val="003D2CDC"/>
    <w:rPr>
      <w:b/>
      <w:bCs/>
    </w:rPr>
  </w:style>
  <w:style w:type="character" w:customStyle="1" w:styleId="OnderwerpvanopmerkingChar">
    <w:name w:val="Onderwerp van opmerking Char"/>
    <w:basedOn w:val="TekstopmerkingChar"/>
    <w:link w:val="Onderwerpvanopmerking"/>
    <w:uiPriority w:val="99"/>
    <w:semiHidden/>
    <w:rsid w:val="003D2CDC"/>
    <w:rPr>
      <w:b/>
      <w:bCs/>
      <w:sz w:val="20"/>
      <w:szCs w:val="20"/>
    </w:rPr>
  </w:style>
  <w:style w:type="paragraph" w:styleId="Revisie">
    <w:name w:val="Revision"/>
    <w:hidden/>
    <w:uiPriority w:val="99"/>
    <w:semiHidden/>
    <w:rsid w:val="00137632"/>
    <w:pPr>
      <w:suppressAutoHyphens w:val="0"/>
    </w:pPr>
  </w:style>
  <w:style w:type="paragraph" w:styleId="Ballontekst">
    <w:name w:val="Balloon Text"/>
    <w:basedOn w:val="Standaard"/>
    <w:link w:val="BallontekstChar"/>
    <w:uiPriority w:val="99"/>
    <w:semiHidden/>
    <w:unhideWhenUsed/>
    <w:rsid w:val="00D2559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55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1515</Words>
  <Characters>8336</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Overeenkomst ten behoeve van ICT Prestatie GIBIT 2020 [269]</vt:lpstr>
    </vt:vector>
  </TitlesOfParts>
  <Company>ICT-Services</Company>
  <LinksUpToDate>false</LinksUpToDate>
  <CharactersWithSpaces>9832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[269]</dc:title>
  <dc:subject/>
  <dc:creator>Geelen, Fred</dc:creator>
  <dc:description/>
  <cp:lastModifiedBy>Geelen, Fred</cp:lastModifiedBy>
  <cp:revision>2</cp:revision>
  <dcterms:created xsi:type="dcterms:W3CDTF">2022-03-14T15:48:00Z</dcterms:created>
  <dcterms:modified xsi:type="dcterms:W3CDTF">2022-03-14T15:48:00Z</dcterms:modified>
  <dc:language>en-US</dc:language>
</cp:coreProperties>
</file>