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BCB" w:rsidRDefault="00AD2BCB" w:rsidP="00AD2BCB">
      <w:pPr>
        <w:pBdr>
          <w:bottom w:val="single" w:sz="6" w:space="1" w:color="auto"/>
        </w:pBdr>
        <w:tabs>
          <w:tab w:val="left" w:pos="1134"/>
          <w:tab w:val="left" w:pos="1418"/>
        </w:tabs>
        <w:rPr>
          <w:b/>
          <w:sz w:val="24"/>
          <w:szCs w:val="18"/>
        </w:rPr>
      </w:pPr>
      <w:r>
        <w:rPr>
          <w:b/>
          <w:sz w:val="24"/>
          <w:szCs w:val="24"/>
        </w:rPr>
        <w:t>BIJLAGE 1:</w:t>
      </w:r>
      <w:r>
        <w:rPr>
          <w:sz w:val="24"/>
          <w:szCs w:val="24"/>
        </w:rPr>
        <w:t xml:space="preserve"> </w:t>
      </w:r>
      <w:r>
        <w:rPr>
          <w:b/>
          <w:sz w:val="24"/>
          <w:szCs w:val="18"/>
        </w:rPr>
        <w:t>Aanvullingen en wijzigingen op de DNR 2011</w:t>
      </w:r>
    </w:p>
    <w:p w:rsidR="00AD2BCB" w:rsidRDefault="00AD2BCB" w:rsidP="00AD2BCB">
      <w:pPr>
        <w:tabs>
          <w:tab w:val="left" w:pos="1134"/>
          <w:tab w:val="left" w:pos="1418"/>
        </w:tabs>
        <w:rPr>
          <w:b/>
          <w:szCs w:val="18"/>
        </w:rPr>
      </w:pPr>
    </w:p>
    <w:p w:rsidR="00AD2BCB" w:rsidRDefault="00AD2BCB" w:rsidP="00AD2BCB">
      <w:pPr>
        <w:tabs>
          <w:tab w:val="left" w:pos="1134"/>
          <w:tab w:val="left" w:pos="1418"/>
        </w:tabs>
        <w:rPr>
          <w:szCs w:val="18"/>
        </w:rPr>
      </w:pPr>
      <w:r>
        <w:rPr>
          <w:szCs w:val="18"/>
        </w:rPr>
        <w:t>Aanvullingen en wijzigingen op Rechtsverhouding opdrachtgever architect, ingenieur en adviseur, DNR 2011.</w:t>
      </w:r>
    </w:p>
    <w:p w:rsidR="00AD2BCB" w:rsidRDefault="00AD2BCB" w:rsidP="00AD2BCB">
      <w:pPr>
        <w:rPr>
          <w:b/>
          <w:szCs w:val="18"/>
        </w:rPr>
      </w:pPr>
    </w:p>
    <w:p w:rsidR="00AD2BCB" w:rsidRDefault="00AD2BCB" w:rsidP="00AD2BCB">
      <w:pPr>
        <w:numPr>
          <w:ilvl w:val="1"/>
          <w:numId w:val="1"/>
        </w:numPr>
        <w:overflowPunct w:val="0"/>
        <w:autoSpaceDE w:val="0"/>
        <w:autoSpaceDN w:val="0"/>
        <w:adjustRightInd w:val="0"/>
        <w:spacing w:line="240" w:lineRule="auto"/>
        <w:ind w:left="567"/>
        <w:textAlignment w:val="baseline"/>
        <w:rPr>
          <w:szCs w:val="18"/>
        </w:rPr>
      </w:pPr>
      <w:r>
        <w:rPr>
          <w:szCs w:val="18"/>
        </w:rPr>
        <w:t>DNR art 2 lid 3f: De adviseur zal niet als vertegenwoordiger van de opdrachtgever optreden.</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color w:val="0070C0"/>
          <w:szCs w:val="18"/>
        </w:rPr>
      </w:pPr>
      <w:r>
        <w:rPr>
          <w:szCs w:val="18"/>
        </w:rPr>
        <w:t xml:space="preserve">DNR art 5 aanvullen: “Het laten uitvoeren van werkzaamheden door derden behoeft de voorafgaande schriftelijke goedkeuring van de opdrachtgever,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6 lid 1: de woorden “dan gaat … met de adviseur” vervangen door “dan is de opdrachtgever daartoe gerechtigd. De opdrachtgever zal de adviseur </w:t>
      </w:r>
      <w:proofErr w:type="spellStart"/>
      <w:r>
        <w:rPr>
          <w:rFonts w:cs="Arial"/>
          <w:szCs w:val="18"/>
        </w:rPr>
        <w:t>terzake</w:t>
      </w:r>
      <w:proofErr w:type="spellEnd"/>
      <w:r>
        <w:rPr>
          <w:rFonts w:cs="Arial"/>
          <w:szCs w:val="18"/>
        </w:rPr>
        <w:t xml:space="preserve"> informeren.”</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szCs w:val="18"/>
        </w:rPr>
        <w:t>DNR art 8 vervangen door: “Esthetische waarde is voor de beoordeling van het de juiste vervulling van de opdracht in zoverre relevant dat minimaal voldaan dient te worden aan de eisen van de welstandscommissie”.</w:t>
      </w:r>
      <w:bookmarkStart w:id="0" w:name="_GoBack"/>
      <w:bookmarkEnd w:id="0"/>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9 lid 1, 1a en 1b vervangen door: “Partijen treden met elkaar in overleg over een aanpassing van de opdracht indien zich aanzienlijke wijzigingen in de uitgangspunten of andere omstandigheden die ten grondslag lagen aan de opdracht voordoen </w:t>
      </w:r>
      <w:r>
        <w:rPr>
          <w:rFonts w:cs="Arial"/>
          <w:szCs w:val="18"/>
          <w:u w:val="single"/>
        </w:rPr>
        <w:t>en</w:t>
      </w:r>
      <w:r>
        <w:rPr>
          <w:rFonts w:cs="Arial"/>
          <w:szCs w:val="18"/>
        </w:rPr>
        <w:t xml:space="preserve"> de behoorlijke vervulling van de opdracht in verband hiermee extra werkzaamheden vereist. Bij dit overleg nemen partijen elkaars gerechtvaardigde belangen in acht.”</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DNR artikel 9 lid 2, eerste zin vervangen door: “De volgende omstandigheden kunnen aanleiding geven, als aan het bepaalde in lid 1 wordt voldaan, om de opdracht aan te passen:”</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11 lid 10: vervalt “klaarblijkelijk”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b/>
          <w:szCs w:val="18"/>
        </w:rPr>
      </w:pPr>
      <w:r>
        <w:rPr>
          <w:rFonts w:cs="Arial"/>
          <w:szCs w:val="18"/>
        </w:rPr>
        <w:t>DNR artikel 14 lid 5: toevoegen na “of wordt voorgeschreven” “en deze persoon is gecontracteerd op basis van een vooraf schriftelijk door de opdrachtgever goedgekeurde overeenkomst”.</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b/>
          <w:szCs w:val="18"/>
        </w:rPr>
      </w:pPr>
      <w:r>
        <w:rPr>
          <w:rFonts w:cs="Arial"/>
          <w:szCs w:val="18"/>
        </w:rPr>
        <w:t>DNR artikel 14 lid 7: vervangen door: De adviseur is, onverminderd het in de overige leden van artikel 14 bepaalde, bij opdrachten die betrekking hebben op de totstandkoming van een object niet aansprakelijk voor schaden die daadwerkelijk aan de opdrachtgever worden vergoed door de voor het object afgesloten CAR-verzekering.</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rFonts w:cs="Arial"/>
          <w:color w:val="0070C0"/>
          <w:szCs w:val="18"/>
        </w:rPr>
      </w:pPr>
      <w:r>
        <w:rPr>
          <w:rFonts w:cs="Arial"/>
          <w:szCs w:val="18"/>
        </w:rPr>
        <w:t xml:space="preserve">DNR artikel 15 lid 1: de woorden “naar keuze van partijen”, “een bedrag gelijk aan de advieskosten met” en “of tot een bedrag gelijk aan driemaal de advieskosten met een maximum van € 2.500.000” vervallen.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rFonts w:cs="Arial"/>
          <w:szCs w:val="18"/>
        </w:rPr>
      </w:pPr>
      <w:r>
        <w:rPr>
          <w:rFonts w:cs="Arial"/>
          <w:szCs w:val="18"/>
        </w:rPr>
        <w:t xml:space="preserve">DNR artikel 16 lid 2 en 3: Vervalt.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rFonts w:cs="Arial"/>
          <w:color w:val="0070C0"/>
          <w:szCs w:val="18"/>
        </w:rPr>
      </w:pPr>
      <w:r>
        <w:rPr>
          <w:rFonts w:cs="Arial"/>
          <w:szCs w:val="18"/>
        </w:rPr>
        <w:t xml:space="preserve">DNR artikel 33 lid 2 en 3: Vervallen.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szCs w:val="18"/>
        </w:rPr>
        <w:t>DNR art 35: Vervangen door: “Indien de adviseur de opdracht zonder grond heeft opgezegd, dan heeft de opdrachtgever het recht om alle hieruit voortvloeiende kosten en schade op de adviseur te verhalen, met een maximum van het aan de adviseur betaalde honorarium van die fase, en met inachtneming van de jegens de adviseur geldende aansprakelijkheidsbeperkingen op grond van de DNR 2011 en het bepaalde in deze bijlage</w:t>
      </w:r>
      <w:r>
        <w:rPr>
          <w:rFonts w:cs="Arial"/>
          <w:color w:val="000080"/>
          <w:szCs w:val="18"/>
        </w:rPr>
        <w:t>”.</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36 lid 1, artikel 38 lid 1 en 44 lid 1: de woorden “tenzij redelijke belangen van de adviseur zich daartegen verzetten” vervallen. </w:t>
      </w:r>
    </w:p>
    <w:p w:rsidR="00AD2BCB" w:rsidRDefault="00AD2BCB" w:rsidP="00AD2BCB">
      <w:pPr>
        <w:numPr>
          <w:ilvl w:val="1"/>
          <w:numId w:val="1"/>
        </w:numPr>
        <w:tabs>
          <w:tab w:val="left" w:pos="567"/>
        </w:tabs>
        <w:overflowPunct w:val="0"/>
        <w:autoSpaceDE w:val="0"/>
        <w:autoSpaceDN w:val="0"/>
        <w:adjustRightInd w:val="0"/>
        <w:spacing w:line="240" w:lineRule="auto"/>
        <w:ind w:left="1080" w:hanging="1080"/>
        <w:textAlignment w:val="baseline"/>
        <w:rPr>
          <w:szCs w:val="18"/>
        </w:rPr>
      </w:pPr>
      <w:r>
        <w:rPr>
          <w:rFonts w:cs="Arial"/>
          <w:szCs w:val="18"/>
        </w:rPr>
        <w:t>DNR artikel 36 lid 3, artikel 38 lid 3 en 44 lid 3: vervangen door: “Voor zover het bepaalde in dit</w:t>
      </w:r>
    </w:p>
    <w:p w:rsidR="00AD2BCB" w:rsidRDefault="00AD2BCB" w:rsidP="00AD2BCB">
      <w:pPr>
        <w:tabs>
          <w:tab w:val="left" w:pos="567"/>
        </w:tabs>
        <w:overflowPunct w:val="0"/>
        <w:autoSpaceDE w:val="0"/>
        <w:autoSpaceDN w:val="0"/>
        <w:adjustRightInd w:val="0"/>
        <w:spacing w:line="240" w:lineRule="auto"/>
        <w:ind w:left="567"/>
        <w:textAlignment w:val="baseline"/>
        <w:rPr>
          <w:szCs w:val="18"/>
        </w:rPr>
      </w:pPr>
      <w:r>
        <w:rPr>
          <w:rFonts w:cs="Arial"/>
          <w:szCs w:val="18"/>
        </w:rPr>
        <w:t>artikel daarop geen inbreuk maakt, blijft het auteursrecht overigens onverlet, overeenkomstig DNR 2011 en de daarop overeengekomen afwijkingen.”</w:t>
      </w:r>
      <w:r>
        <w:rPr>
          <w:rFonts w:cs="Arial"/>
          <w:color w:val="0070C0"/>
          <w:szCs w:val="18"/>
        </w:rPr>
        <w:t xml:space="preserve">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szCs w:val="18"/>
        </w:rPr>
        <w:t xml:space="preserve">DNR art. 37: Vervangen door: “Indien de opdrachtgever de opdracht heeft opgezegd op een grond die bij de adviseur is gelegen, dan heeft de opdrachtgever het recht om alle hieruit voortvloeiende kosten en schade op de adviseur te verhalen, met inachtneming van de jegens de adviseur geldende aansprakelijkheidsbeperkingen op grond van de DNR 2011 en het bepaalde in deze bijlage, </w:t>
      </w:r>
      <w:bookmarkStart w:id="1" w:name="OLE_LINK2"/>
      <w:bookmarkStart w:id="2" w:name="OLE_LINK1"/>
      <w:bookmarkEnd w:id="1"/>
      <w:bookmarkEnd w:id="2"/>
      <w:r>
        <w:rPr>
          <w:szCs w:val="18"/>
        </w:rPr>
        <w:t>e.e.a. tot een maximum van het aan de adviseur betaalde honorarium van die fase</w:t>
      </w:r>
      <w:r>
        <w:rPr>
          <w:rFonts w:cs="Arial"/>
          <w:color w:val="000080"/>
          <w:szCs w:val="18"/>
        </w:rPr>
        <w:t>”.</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40 lid 1 t/m 3: Vervangen door: “Indien de opdrachtgever de opdracht heeft opgezegd op een grond die bij hemzelf is gelegen dan mag hij het advies van de adviseur </w:t>
      </w:r>
      <w:r>
        <w:rPr>
          <w:rFonts w:cs="Arial"/>
          <w:szCs w:val="18"/>
        </w:rPr>
        <w:lastRenderedPageBreak/>
        <w:t>zonder diens toestemming (laten) gebruiken na betaling van een vergoeding. De vergoeding voor het gebruik van het advies bedraagt het restant honorarium van de fase / deelopdracht plus het honorarium voor de volgende fase. Ook heeft de adviseur het recht om erop toe te zien, dat het advies volgens zijn bedoelingen wordt gebruikt. Hiervoor is de opdrachtgever geen vergoeding verschuldigd.</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DNR artikel 42 lid 1 t/m 3 vervangen door: “Indien de adviseur de opdracht heeft opgezegd op een grond die bij de opdrachtgever is gelegen dan mag de opdrachtgever het advies van de adviseur zonder diens toestemming (laten) gebruiken na betaling van een vergoeding. De vergoeding voor het gebruik van het advies bedraagt het restant honorarium van de fase / deelopdracht plus het honorarium voor de volgende fase. Ook heeft de adviseur het recht om erop toe te zien, dat het advies volgens zijn bedoelingen wordt gebruikt. Hiervoor is de opdrachtgever geen vergoeding verschuldigd.</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szCs w:val="18"/>
        </w:rPr>
        <w:t xml:space="preserve">DNR art 43: Vervangen door: </w:t>
      </w:r>
      <w:r>
        <w:rPr>
          <w:rFonts w:cs="Arial"/>
          <w:szCs w:val="18"/>
        </w:rPr>
        <w:t>“Indien de adviseur de opdracht heeft opgezegd op een grond die bij hemzelf is gelegen, dan heeft de opdrachtgever het recht om alle hieruit voortvloeiende kosten en schade op de adviseur te verhalen, met inachtneming van de jegens de adviseur geldende aansprakelijkheidsbeperkingen op grond van de DNR 2011 en het bepaalde in deze bijlage, e.e.a. tot een maximum van het aan de adviseur betaalde honorarium van die fase.”</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b/>
          <w:szCs w:val="18"/>
        </w:rPr>
      </w:pPr>
      <w:r>
        <w:rPr>
          <w:rFonts w:cs="Arial"/>
          <w:szCs w:val="18"/>
        </w:rPr>
        <w:t xml:space="preserve">DNR artikel 46 lid 1: de woorden “heeft het uitsluitend” vervangen door “en de opdrachtgever hebben het”. Toevoegen: “waarbij partijen in redelijkheid de naam van de architect en van de opdrachtgever vermelden”.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46 lid 2 t/m lid 2d: Vervangen door: “De adviseur heeft het recht zich te verzetten tegen openbaarmaking van het werk onder de naam van een andere adviseur. De adviseur geeft hierbij bij voorbaat toestemming om het werk zonder naamsvermelding te openbaren of met naamsvermelding van de opdrachtgever en de adviseur verzet zich niet tegen wijzigingen in het gerealiseerde ontwerp. De eerste 5 jaar na ingebruikname stelt opdrachtgever de adviseur echter eerst in de gelegenheid de opdrachtgever over een gewenste wijziging te adviseren.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rFonts w:cs="Arial"/>
          <w:szCs w:val="18"/>
        </w:rPr>
        <w:t xml:space="preserve">DNR artikel 46 lid 3: de woorden “heeft als enige .. t/m .. , doch hij” vervangen door: “en de opdrachtgever hebben het recht van het uitwendige en inwendige van een naar ontwerp van de adviseur verwezenlijkt object foto’s of andere afbeeldingen te maken en deze te verveelvoudigen en openbaar te maken, doch de adviseur”. </w:t>
      </w:r>
    </w:p>
    <w:p w:rsidR="00AD2BCB" w:rsidRDefault="00AD2BCB" w:rsidP="00AD2BCB">
      <w:pPr>
        <w:numPr>
          <w:ilvl w:val="1"/>
          <w:numId w:val="1"/>
        </w:numPr>
        <w:tabs>
          <w:tab w:val="num" w:pos="567"/>
        </w:tabs>
        <w:overflowPunct w:val="0"/>
        <w:autoSpaceDE w:val="0"/>
        <w:autoSpaceDN w:val="0"/>
        <w:adjustRightInd w:val="0"/>
        <w:spacing w:line="240" w:lineRule="auto"/>
        <w:ind w:left="567"/>
        <w:textAlignment w:val="baseline"/>
        <w:rPr>
          <w:szCs w:val="18"/>
        </w:rPr>
      </w:pPr>
      <w:r>
        <w:rPr>
          <w:szCs w:val="18"/>
        </w:rPr>
        <w:t xml:space="preserve">DNR artikel 55 lid 1: Toevoegen: “De opdrachtgever is alleen afzonderlijke advieskosten verschuldigd indien de opdrachtgever vooraf – of uitsluitend in spoedeisende gevallen: achteraf - schriftelijk opdracht heeft gegeven tot uitvoering van door de adviseur door te voeren wijzigingen.” </w:t>
      </w:r>
    </w:p>
    <w:p w:rsidR="00AD2BCB" w:rsidRDefault="00AD2BCB" w:rsidP="00AD2BCB">
      <w:pPr>
        <w:spacing w:line="240" w:lineRule="auto"/>
        <w:rPr>
          <w:sz w:val="24"/>
          <w:szCs w:val="24"/>
        </w:rPr>
      </w:pPr>
    </w:p>
    <w:p w:rsidR="002B3E27" w:rsidRDefault="002B3E27"/>
    <w:sectPr w:rsidR="002B3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23A11"/>
    <w:multiLevelType w:val="hybridMultilevel"/>
    <w:tmpl w:val="34089A70"/>
    <w:lvl w:ilvl="0" w:tplc="BC92E198">
      <w:start w:val="1"/>
      <w:numFmt w:val="decimal"/>
      <w:lvlText w:val="%1."/>
      <w:lvlJc w:val="left"/>
      <w:pPr>
        <w:tabs>
          <w:tab w:val="num" w:pos="643"/>
        </w:tabs>
        <w:ind w:left="623" w:hanging="340"/>
      </w:pPr>
      <w:rPr>
        <w:rFonts w:ascii="CG Times" w:hAnsi="CG Times" w:hint="default"/>
        <w:b w:val="0"/>
        <w:i w:val="0"/>
        <w:sz w:val="22"/>
      </w:rPr>
    </w:lvl>
    <w:lvl w:ilvl="1" w:tplc="5762A466">
      <w:start w:val="1"/>
      <w:numFmt w:val="decimal"/>
      <w:lvlText w:val="%2. "/>
      <w:lvlJc w:val="left"/>
      <w:pPr>
        <w:tabs>
          <w:tab w:val="num" w:pos="1647"/>
        </w:tabs>
        <w:ind w:left="1647" w:hanging="567"/>
      </w:pPr>
      <w:rPr>
        <w:rFonts w:ascii="Calibri" w:hAnsi="Calibri" w:cs="Times New Roman" w:hint="default"/>
        <w:b w:val="0"/>
        <w:i w:val="0"/>
        <w:strike w:val="0"/>
        <w:dstrike w:val="0"/>
        <w:color w:val="000000"/>
        <w:sz w:val="22"/>
        <w:szCs w:val="20"/>
        <w:u w:val="none"/>
        <w:effect w:val="none"/>
      </w:rPr>
    </w:lvl>
    <w:lvl w:ilvl="2" w:tplc="0D26EEF6">
      <w:start w:val="1"/>
      <w:numFmt w:val="decimal"/>
      <w:lvlText w:val="%3."/>
      <w:lvlJc w:val="left"/>
      <w:pPr>
        <w:tabs>
          <w:tab w:val="num" w:pos="2340"/>
        </w:tabs>
        <w:ind w:left="2320" w:hanging="340"/>
      </w:pPr>
      <w:rPr>
        <w:b w:val="0"/>
        <w:i w:val="0"/>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CB"/>
    <w:rsid w:val="002B3E27"/>
    <w:rsid w:val="00AD2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31027-B56F-4BCF-A0C8-1D65B0B6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D2BCB"/>
    <w:pPr>
      <w:spacing w:after="0" w:line="276"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3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99180-6A59-4378-AB22-1F995749DC49}"/>
</file>

<file path=customXml/itemProps2.xml><?xml version="1.0" encoding="utf-8"?>
<ds:datastoreItem xmlns:ds="http://schemas.openxmlformats.org/officeDocument/2006/customXml" ds:itemID="{16FAC906-1858-4A3B-BB46-DDC1445DF946}"/>
</file>

<file path=customXml/itemProps3.xml><?xml version="1.0" encoding="utf-8"?>
<ds:datastoreItem xmlns:ds="http://schemas.openxmlformats.org/officeDocument/2006/customXml" ds:itemID="{8F81BB4A-1216-4774-ACAD-41EE3F1AAB48}"/>
</file>

<file path=docProps/app.xml><?xml version="1.0" encoding="utf-8"?>
<Properties xmlns="http://schemas.openxmlformats.org/officeDocument/2006/extended-properties" xmlns:vt="http://schemas.openxmlformats.org/officeDocument/2006/docPropsVTypes">
  <Template>Normal.dotm</Template>
  <TotalTime>4</TotalTime>
  <Pages>2</Pages>
  <Words>995</Words>
  <Characters>5478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Kemink</dc:creator>
  <cp:keywords/>
  <dc:description/>
  <cp:lastModifiedBy>Yvonne Kemink</cp:lastModifiedBy>
  <cp:revision>1</cp:revision>
  <dcterms:created xsi:type="dcterms:W3CDTF">2019-10-08T14:07:00Z</dcterms:created>
  <dcterms:modified xsi:type="dcterms:W3CDTF">2019-10-08T14:11:00Z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401000</vt:r8>
  </property>
</Properties>
</file>