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9D591" w14:textId="7A08CE5A" w:rsidR="006E4F30" w:rsidRPr="00E40B9C" w:rsidRDefault="006E4F30" w:rsidP="006E4F30">
      <w:pPr>
        <w:pStyle w:val="BijlageGenummerdKop2"/>
        <w:numPr>
          <w:ilvl w:val="0"/>
          <w:numId w:val="0"/>
        </w:numPr>
        <w:ind w:left="1134" w:hanging="1134"/>
      </w:pPr>
      <w:bookmarkStart w:id="0" w:name="_Toc93935240"/>
      <w:r>
        <w:t xml:space="preserve">Bijlage K  </w:t>
      </w:r>
      <w:r w:rsidR="00C7721C">
        <w:t>2</w:t>
      </w:r>
      <w:r w:rsidR="00C7721C" w:rsidRPr="00C7721C">
        <w:rPr>
          <w:vertAlign w:val="superscript"/>
        </w:rPr>
        <w:t>e</w:t>
      </w:r>
      <w:r w:rsidR="00C7721C">
        <w:t xml:space="preserve"> g</w:t>
      </w:r>
      <w:r w:rsidR="00EF5070">
        <w:t>ewijzigd</w:t>
      </w:r>
      <w:r w:rsidR="00C7721C">
        <w:t>e</w:t>
      </w:r>
      <w:r w:rsidRPr="00E40B9C">
        <w:t xml:space="preserve"> Conc</w:t>
      </w:r>
      <w:r w:rsidR="00C7721C">
        <w:t>ept</w:t>
      </w:r>
      <w:r w:rsidRPr="00E40B9C">
        <w:t xml:space="preserve"> staat van ontleding </w:t>
      </w:r>
      <w:r>
        <w:t>i</w:t>
      </w:r>
      <w:r w:rsidRPr="00E40B9C">
        <w:t>nschrijvingssom</w:t>
      </w:r>
      <w:bookmarkEnd w:id="0"/>
    </w:p>
    <w:tbl>
      <w:tblPr>
        <w:tblStyle w:val="TableGrid"/>
        <w:tblW w:w="0" w:type="auto"/>
        <w:tblInd w:w="1242" w:type="dxa"/>
        <w:tblLook w:val="04A0" w:firstRow="1" w:lastRow="0" w:firstColumn="1" w:lastColumn="0" w:noHBand="0" w:noVBand="1"/>
      </w:tblPr>
      <w:tblGrid>
        <w:gridCol w:w="5245"/>
        <w:gridCol w:w="2268"/>
      </w:tblGrid>
      <w:tr w:rsidR="006E4F30" w:rsidRPr="00E40B9C" w14:paraId="496F91AC" w14:textId="77777777" w:rsidTr="003B6203">
        <w:tc>
          <w:tcPr>
            <w:tcW w:w="5245" w:type="dxa"/>
          </w:tcPr>
          <w:p w14:paraId="185AB7ED" w14:textId="77777777" w:rsidR="006E4F30" w:rsidRPr="00E40B9C" w:rsidRDefault="006E4F30" w:rsidP="003B6203">
            <w:r w:rsidRPr="00E40B9C">
              <w:rPr>
                <w:b/>
              </w:rPr>
              <w:t>Directe kosten</w:t>
            </w:r>
            <w:bookmarkStart w:id="1" w:name="bwbijl_M_SC_PRC"/>
            <w:r>
              <w:rPr>
                <w:b/>
              </w:rPr>
              <w:t>*</w:t>
            </w:r>
            <w:r w:rsidRPr="00E40B9C">
              <w:rPr>
                <w:b/>
                <w:vanish/>
                <w:color w:val="E0E0E0"/>
              </w:rPr>
              <w:t xml:space="preserve"> Meerjarig Onderhoud</w:t>
            </w:r>
            <w:bookmarkEnd w:id="1"/>
            <w:r w:rsidRPr="00E40B9C">
              <w:rPr>
                <w:b/>
              </w:rPr>
              <w:t xml:space="preserve"> </w:t>
            </w:r>
            <w:r w:rsidRPr="00E40B9C">
              <w:rPr>
                <w:b/>
                <w:i/>
                <w:vanish/>
                <w:color w:val="3366FF"/>
                <w:sz w:val="16"/>
                <w:szCs w:val="16"/>
              </w:rPr>
              <w:t>(posten benoemen op object- of systeemniveau en/of deelobject- of deelsysteemniveau)</w:t>
            </w:r>
          </w:p>
        </w:tc>
        <w:tc>
          <w:tcPr>
            <w:tcW w:w="2268" w:type="dxa"/>
          </w:tcPr>
          <w:p w14:paraId="6B4ECF32" w14:textId="77777777" w:rsidR="006E4F30" w:rsidRPr="00E40B9C" w:rsidRDefault="006E4F30" w:rsidP="003B6203"/>
        </w:tc>
      </w:tr>
      <w:tr w:rsidR="006E4F30" w:rsidRPr="00E40B9C" w14:paraId="2D4E9CAB" w14:textId="77777777" w:rsidTr="003B6203">
        <w:tc>
          <w:tcPr>
            <w:tcW w:w="5245" w:type="dxa"/>
          </w:tcPr>
          <w:p w14:paraId="58344B86" w14:textId="77777777" w:rsidR="006E4F30" w:rsidRPr="00C358B5" w:rsidRDefault="006E4F30" w:rsidP="003B6203">
            <w:pPr>
              <w:rPr>
                <w:i/>
                <w:iCs/>
              </w:rPr>
            </w:pPr>
            <w:r w:rsidRPr="00C358B5">
              <w:rPr>
                <w:i/>
                <w:iCs/>
              </w:rPr>
              <w:t>Bouwkosten* (</w:t>
            </w:r>
            <w:r>
              <w:rPr>
                <w:i/>
                <w:iCs/>
              </w:rPr>
              <w:t>U</w:t>
            </w:r>
            <w:r w:rsidRPr="00C358B5">
              <w:rPr>
                <w:i/>
                <w:iCs/>
              </w:rPr>
              <w:t>itvoeringswerkzaamheden)</w:t>
            </w:r>
          </w:p>
        </w:tc>
        <w:tc>
          <w:tcPr>
            <w:tcW w:w="2268" w:type="dxa"/>
          </w:tcPr>
          <w:p w14:paraId="69423DED" w14:textId="77777777" w:rsidR="006E4F30" w:rsidRPr="00E40B9C" w:rsidRDefault="006E4F30" w:rsidP="003B6203">
            <w:pPr>
              <w:rPr>
                <w:rFonts w:cs="Verdana"/>
              </w:rPr>
            </w:pPr>
          </w:p>
        </w:tc>
      </w:tr>
      <w:tr w:rsidR="006E4F30" w:rsidRPr="00A522DA" w14:paraId="46643917" w14:textId="77777777" w:rsidTr="003B6203">
        <w:tc>
          <w:tcPr>
            <w:tcW w:w="5245" w:type="dxa"/>
          </w:tcPr>
          <w:p w14:paraId="3BDD115B" w14:textId="70EF5AD8" w:rsidR="006E4F30" w:rsidRPr="00A522DA" w:rsidRDefault="006E4F30" w:rsidP="003B6203">
            <w:r w:rsidRPr="00A522DA">
              <w:t xml:space="preserve">Leveren </w:t>
            </w:r>
            <w:r w:rsidR="00C7721C">
              <w:t>zand</w:t>
            </w:r>
            <w:r w:rsidR="00A414A8">
              <w:t>/grind mengsel</w:t>
            </w:r>
            <w:r w:rsidRPr="00A522DA">
              <w:t xml:space="preserve"> M</w:t>
            </w:r>
            <w:r>
              <w:t xml:space="preserve">aatregel </w:t>
            </w:r>
            <w:r w:rsidRPr="00A522DA">
              <w:t>2</w:t>
            </w:r>
          </w:p>
        </w:tc>
        <w:tc>
          <w:tcPr>
            <w:tcW w:w="2268" w:type="dxa"/>
          </w:tcPr>
          <w:p w14:paraId="2AEFA39B" w14:textId="77777777" w:rsidR="006E4F30" w:rsidRPr="00A522DA" w:rsidRDefault="006E4F30" w:rsidP="003B6203">
            <w:r>
              <w:t>€</w:t>
            </w:r>
          </w:p>
        </w:tc>
      </w:tr>
      <w:tr w:rsidR="006E4F30" w:rsidRPr="00A522DA" w14:paraId="7CE259BB" w14:textId="77777777" w:rsidTr="003B6203">
        <w:tc>
          <w:tcPr>
            <w:tcW w:w="5245" w:type="dxa"/>
          </w:tcPr>
          <w:p w14:paraId="3CC732CB" w14:textId="3E67946B" w:rsidR="006E4F30" w:rsidRPr="00A522DA" w:rsidRDefault="006E4F30" w:rsidP="003B6203">
            <w:r w:rsidRPr="00A522DA">
              <w:t xml:space="preserve">Aanbrengen </w:t>
            </w:r>
            <w:r w:rsidR="00C7721C">
              <w:t>zand</w:t>
            </w:r>
            <w:r w:rsidR="00A414A8">
              <w:t>/grind mengsel</w:t>
            </w:r>
            <w:r w:rsidR="00C7721C">
              <w:t xml:space="preserve"> i</w:t>
            </w:r>
            <w:r w:rsidRPr="00A522DA">
              <w:t>n erosiekuil M</w:t>
            </w:r>
            <w:r>
              <w:t xml:space="preserve">aatregel </w:t>
            </w:r>
            <w:r w:rsidRPr="00A522DA">
              <w:t>2</w:t>
            </w:r>
          </w:p>
        </w:tc>
        <w:tc>
          <w:tcPr>
            <w:tcW w:w="2268" w:type="dxa"/>
          </w:tcPr>
          <w:p w14:paraId="40F472BB" w14:textId="77777777" w:rsidR="006E4F30" w:rsidRPr="00A522DA" w:rsidRDefault="006E4F30" w:rsidP="003B6203">
            <w:r>
              <w:t>€</w:t>
            </w:r>
          </w:p>
        </w:tc>
      </w:tr>
      <w:tr w:rsidR="006E4F30" w:rsidRPr="00E40B9C" w14:paraId="449FD4DA" w14:textId="77777777" w:rsidTr="003B6203">
        <w:tc>
          <w:tcPr>
            <w:tcW w:w="5245" w:type="dxa"/>
          </w:tcPr>
          <w:p w14:paraId="3E9ACED5" w14:textId="77777777" w:rsidR="006E4F30" w:rsidRPr="002334E7" w:rsidRDefault="006E4F30" w:rsidP="003B6203">
            <w:r>
              <w:t>Peil- en controlewerkzaamheden Maatregel 2</w:t>
            </w:r>
          </w:p>
        </w:tc>
        <w:tc>
          <w:tcPr>
            <w:tcW w:w="2268" w:type="dxa"/>
          </w:tcPr>
          <w:p w14:paraId="53FDA495" w14:textId="77777777" w:rsidR="006E4F30" w:rsidRPr="00E40B9C" w:rsidRDefault="006E4F30" w:rsidP="003B6203">
            <w:pPr>
              <w:rPr>
                <w:rFonts w:cs="Verdana"/>
              </w:rPr>
            </w:pPr>
            <w:r>
              <w:rPr>
                <w:rFonts w:cs="Verdana"/>
              </w:rPr>
              <w:t>€</w:t>
            </w:r>
          </w:p>
        </w:tc>
      </w:tr>
      <w:tr w:rsidR="006E4F30" w:rsidRPr="00E40B9C" w14:paraId="3B5CB88B" w14:textId="77777777" w:rsidTr="003B6203">
        <w:tc>
          <w:tcPr>
            <w:tcW w:w="5245" w:type="dxa"/>
          </w:tcPr>
          <w:p w14:paraId="42B5782D" w14:textId="77777777" w:rsidR="006E4F30" w:rsidRPr="002334E7" w:rsidRDefault="006E4F30" w:rsidP="003B6203">
            <w:r w:rsidRPr="002334E7">
              <w:t>Aan- en afvoer van materieel</w:t>
            </w:r>
            <w:r>
              <w:t xml:space="preserve"> Maatregel 2</w:t>
            </w:r>
          </w:p>
        </w:tc>
        <w:tc>
          <w:tcPr>
            <w:tcW w:w="2268" w:type="dxa"/>
          </w:tcPr>
          <w:p w14:paraId="46D02D0A" w14:textId="77777777" w:rsidR="006E4F30" w:rsidRPr="00E40B9C" w:rsidRDefault="006E4F30" w:rsidP="003B6203">
            <w:pPr>
              <w:rPr>
                <w:rFonts w:cs="Verdana"/>
              </w:rPr>
            </w:pPr>
            <w:r>
              <w:rPr>
                <w:rFonts w:cs="Verdana"/>
              </w:rPr>
              <w:t>€</w:t>
            </w:r>
          </w:p>
        </w:tc>
      </w:tr>
      <w:tr w:rsidR="006E4F30" w:rsidRPr="00E40B9C" w14:paraId="3B4BA08A" w14:textId="77777777" w:rsidTr="003B6203">
        <w:tc>
          <w:tcPr>
            <w:tcW w:w="5245" w:type="dxa"/>
          </w:tcPr>
          <w:p w14:paraId="6F207327" w14:textId="77777777" w:rsidR="006E4F30" w:rsidRPr="002334E7" w:rsidRDefault="006E4F30" w:rsidP="003B6203"/>
        </w:tc>
        <w:tc>
          <w:tcPr>
            <w:tcW w:w="2268" w:type="dxa"/>
          </w:tcPr>
          <w:p w14:paraId="4AEE8405" w14:textId="77777777" w:rsidR="006E4F30" w:rsidRPr="00E40B9C" w:rsidRDefault="006E4F30" w:rsidP="003B6203">
            <w:pPr>
              <w:rPr>
                <w:rFonts w:cs="Verdana"/>
              </w:rPr>
            </w:pPr>
          </w:p>
        </w:tc>
      </w:tr>
      <w:tr w:rsidR="006E4F30" w:rsidRPr="00E40B9C" w14:paraId="65E932FA" w14:textId="77777777" w:rsidTr="003B6203">
        <w:tc>
          <w:tcPr>
            <w:tcW w:w="5245" w:type="dxa"/>
          </w:tcPr>
          <w:p w14:paraId="5F5A971D" w14:textId="6828CC5C" w:rsidR="006E4F30" w:rsidRPr="00E40B9C" w:rsidRDefault="006E4F30" w:rsidP="003B6203">
            <w:r w:rsidRPr="002334E7">
              <w:t>Leveren zand</w:t>
            </w:r>
            <w:r w:rsidR="00EF5070">
              <w:t>-/grindmengsel</w:t>
            </w:r>
            <w:r>
              <w:t xml:space="preserve"> Maatregel 3</w:t>
            </w:r>
          </w:p>
        </w:tc>
        <w:tc>
          <w:tcPr>
            <w:tcW w:w="2268" w:type="dxa"/>
          </w:tcPr>
          <w:p w14:paraId="31640A3A" w14:textId="77777777" w:rsidR="006E4F30" w:rsidRPr="00E40B9C" w:rsidRDefault="006E4F30" w:rsidP="003B6203">
            <w:r w:rsidRPr="00E40B9C">
              <w:rPr>
                <w:rFonts w:cs="Verdana"/>
              </w:rPr>
              <w:t>€</w:t>
            </w:r>
          </w:p>
        </w:tc>
      </w:tr>
      <w:tr w:rsidR="006E4F30" w:rsidRPr="00E40B9C" w14:paraId="74FCD145" w14:textId="77777777" w:rsidTr="003B6203">
        <w:tc>
          <w:tcPr>
            <w:tcW w:w="5245" w:type="dxa"/>
          </w:tcPr>
          <w:p w14:paraId="2747DCE3" w14:textId="79D76D7A" w:rsidR="006E4F30" w:rsidRPr="00E40B9C" w:rsidRDefault="006E4F30" w:rsidP="003B6203">
            <w:r>
              <w:t>Verwerken</w:t>
            </w:r>
            <w:r w:rsidRPr="002334E7">
              <w:t xml:space="preserve"> zand</w:t>
            </w:r>
            <w:r w:rsidR="00EF5070">
              <w:t>-/grindmengsel</w:t>
            </w:r>
            <w:r w:rsidRPr="002334E7">
              <w:t xml:space="preserve"> </w:t>
            </w:r>
            <w:r>
              <w:t>in kribvakken Maatregel 3</w:t>
            </w:r>
          </w:p>
        </w:tc>
        <w:tc>
          <w:tcPr>
            <w:tcW w:w="2268" w:type="dxa"/>
          </w:tcPr>
          <w:p w14:paraId="0AF1B015" w14:textId="77777777" w:rsidR="006E4F30" w:rsidRPr="00E40B9C" w:rsidRDefault="006E4F30" w:rsidP="003B6203">
            <w:r w:rsidRPr="00E40B9C">
              <w:rPr>
                <w:rFonts w:cs="Verdana"/>
              </w:rPr>
              <w:t>€</w:t>
            </w:r>
          </w:p>
        </w:tc>
      </w:tr>
      <w:tr w:rsidR="006E4F30" w:rsidRPr="00E40B9C" w14:paraId="69664416" w14:textId="77777777" w:rsidTr="003B6203">
        <w:tc>
          <w:tcPr>
            <w:tcW w:w="5245" w:type="dxa"/>
          </w:tcPr>
          <w:p w14:paraId="514077DA" w14:textId="77777777" w:rsidR="006E4F30" w:rsidRPr="00E40B9C" w:rsidRDefault="006E4F30" w:rsidP="003B6203">
            <w:r>
              <w:t>Peil- en controlewerkzaamheden Maatregel 3</w:t>
            </w:r>
          </w:p>
        </w:tc>
        <w:tc>
          <w:tcPr>
            <w:tcW w:w="2268" w:type="dxa"/>
          </w:tcPr>
          <w:p w14:paraId="3142C402" w14:textId="77777777" w:rsidR="006E4F30" w:rsidRPr="00E40B9C" w:rsidRDefault="006E4F30" w:rsidP="003B6203">
            <w:r w:rsidRPr="00E40B9C">
              <w:rPr>
                <w:rFonts w:cs="Verdana"/>
              </w:rPr>
              <w:t>€</w:t>
            </w:r>
          </w:p>
        </w:tc>
      </w:tr>
      <w:tr w:rsidR="006E4F30" w:rsidRPr="00E40B9C" w14:paraId="70034B9A" w14:textId="77777777" w:rsidTr="003B6203">
        <w:tc>
          <w:tcPr>
            <w:tcW w:w="5245" w:type="dxa"/>
          </w:tcPr>
          <w:p w14:paraId="134EE526" w14:textId="77777777" w:rsidR="006E4F30" w:rsidRPr="00E40B9C" w:rsidRDefault="006E4F30" w:rsidP="003B6203">
            <w:r w:rsidRPr="002334E7">
              <w:t>Aan- en afvoer van materieel</w:t>
            </w:r>
            <w:r>
              <w:t xml:space="preserve"> Maatregel 3</w:t>
            </w:r>
          </w:p>
        </w:tc>
        <w:tc>
          <w:tcPr>
            <w:tcW w:w="2268" w:type="dxa"/>
          </w:tcPr>
          <w:p w14:paraId="54B99E86" w14:textId="77777777" w:rsidR="006E4F30" w:rsidRPr="00E40B9C" w:rsidRDefault="006E4F30" w:rsidP="003B6203">
            <w:r w:rsidRPr="00E40B9C">
              <w:rPr>
                <w:rFonts w:cs="Verdana"/>
              </w:rPr>
              <w:t>€</w:t>
            </w:r>
          </w:p>
        </w:tc>
      </w:tr>
      <w:tr w:rsidR="006E4F30" w:rsidRPr="00E40B9C" w14:paraId="7D6E61F0" w14:textId="77777777" w:rsidTr="003B6203">
        <w:tc>
          <w:tcPr>
            <w:tcW w:w="5245" w:type="dxa"/>
          </w:tcPr>
          <w:p w14:paraId="49783361" w14:textId="77777777" w:rsidR="006E4F30" w:rsidRPr="00E40B9C" w:rsidRDefault="006E4F30" w:rsidP="003B6203">
            <w:pPr>
              <w:jc w:val="right"/>
            </w:pPr>
            <w:r>
              <w:t>Subtotaal A (directe kosten):</w:t>
            </w:r>
          </w:p>
        </w:tc>
        <w:tc>
          <w:tcPr>
            <w:tcW w:w="2268" w:type="dxa"/>
          </w:tcPr>
          <w:p w14:paraId="2357E163" w14:textId="77777777" w:rsidR="006E4F30" w:rsidRPr="00E40B9C" w:rsidRDefault="006E4F30" w:rsidP="003B6203">
            <w:r w:rsidRPr="00E40B9C">
              <w:rPr>
                <w:rFonts w:cs="Verdana"/>
              </w:rPr>
              <w:t>€</w:t>
            </w:r>
          </w:p>
        </w:tc>
      </w:tr>
      <w:tr w:rsidR="006E4F30" w:rsidRPr="00E40B9C" w14:paraId="05E9BE19" w14:textId="77777777" w:rsidTr="003B6203">
        <w:tc>
          <w:tcPr>
            <w:tcW w:w="5245" w:type="dxa"/>
          </w:tcPr>
          <w:p w14:paraId="0EB01F43" w14:textId="77777777" w:rsidR="006E4F30" w:rsidRPr="00E40B9C" w:rsidRDefault="006E4F30" w:rsidP="003B6203">
            <w:r w:rsidRPr="00C358B5">
              <w:rPr>
                <w:rFonts w:eastAsia="Times New Roman" w:cs="Times New Roman"/>
                <w:i/>
              </w:rPr>
              <w:t>Engineeringskosten* (Ontwerpwerkzaamheden)</w:t>
            </w:r>
          </w:p>
        </w:tc>
        <w:tc>
          <w:tcPr>
            <w:tcW w:w="2268" w:type="dxa"/>
          </w:tcPr>
          <w:p w14:paraId="15AC168C" w14:textId="77777777" w:rsidR="006E4F30" w:rsidRPr="00E40B9C" w:rsidRDefault="006E4F30" w:rsidP="003B6203">
            <w:pPr>
              <w:rPr>
                <w:rFonts w:cs="Verdana"/>
              </w:rPr>
            </w:pPr>
          </w:p>
        </w:tc>
      </w:tr>
      <w:tr w:rsidR="006E4F30" w:rsidRPr="00E40B9C" w14:paraId="22E9097D" w14:textId="77777777" w:rsidTr="003B6203">
        <w:tc>
          <w:tcPr>
            <w:tcW w:w="5245" w:type="dxa"/>
          </w:tcPr>
          <w:p w14:paraId="732E7243" w14:textId="77777777" w:rsidR="006E4F30" w:rsidRPr="00E40B9C" w:rsidRDefault="006E4F30" w:rsidP="003B6203">
            <w:r w:rsidRPr="00E40B9C">
              <w:t>Ontwerpwerkzaamheden</w:t>
            </w:r>
            <w:r>
              <w:t xml:space="preserve"> Maatregel 2</w:t>
            </w:r>
          </w:p>
        </w:tc>
        <w:tc>
          <w:tcPr>
            <w:tcW w:w="2268" w:type="dxa"/>
          </w:tcPr>
          <w:p w14:paraId="57E2627C" w14:textId="77777777" w:rsidR="006E4F30" w:rsidRPr="00E40B9C" w:rsidRDefault="006E4F30" w:rsidP="003B6203">
            <w:pPr>
              <w:rPr>
                <w:rFonts w:cs="Verdana"/>
              </w:rPr>
            </w:pPr>
            <w:r>
              <w:rPr>
                <w:rFonts w:cs="Verdana"/>
              </w:rPr>
              <w:t>€</w:t>
            </w:r>
          </w:p>
        </w:tc>
      </w:tr>
      <w:tr w:rsidR="006E4F30" w:rsidRPr="00E40B9C" w14:paraId="252741A8" w14:textId="77777777" w:rsidTr="003B6203">
        <w:tc>
          <w:tcPr>
            <w:tcW w:w="5245" w:type="dxa"/>
          </w:tcPr>
          <w:p w14:paraId="611DBD1A" w14:textId="77777777" w:rsidR="006E4F30" w:rsidRPr="00E40B9C" w:rsidRDefault="006E4F30" w:rsidP="003B6203">
            <w:r w:rsidRPr="00E40B9C">
              <w:t>Ontwerpwerkzaamheden</w:t>
            </w:r>
            <w:r>
              <w:t xml:space="preserve"> Maatregel 3</w:t>
            </w:r>
          </w:p>
        </w:tc>
        <w:tc>
          <w:tcPr>
            <w:tcW w:w="2268" w:type="dxa"/>
          </w:tcPr>
          <w:p w14:paraId="4CEC6D3B" w14:textId="77777777" w:rsidR="006E4F30" w:rsidRPr="00E40B9C" w:rsidRDefault="006E4F30" w:rsidP="003B6203">
            <w:r w:rsidRPr="00E40B9C">
              <w:rPr>
                <w:rFonts w:cs="Verdana"/>
              </w:rPr>
              <w:t>€</w:t>
            </w:r>
          </w:p>
        </w:tc>
      </w:tr>
      <w:tr w:rsidR="006E4F30" w:rsidRPr="00E40B9C" w14:paraId="466257CD" w14:textId="77777777" w:rsidTr="003B6203">
        <w:tc>
          <w:tcPr>
            <w:tcW w:w="5245" w:type="dxa"/>
          </w:tcPr>
          <w:p w14:paraId="6E0E9FF9" w14:textId="77777777" w:rsidR="006E4F30" w:rsidRPr="00E40B9C" w:rsidRDefault="006E4F30" w:rsidP="003B6203">
            <w:pPr>
              <w:jc w:val="right"/>
            </w:pPr>
            <w:r w:rsidRPr="00E40B9C">
              <w:t>Subtotaal</w:t>
            </w:r>
            <w:bookmarkStart w:id="2" w:name="bwbijl_M_SC_PRC_2"/>
            <w:r>
              <w:t xml:space="preserve"> B (directe engineeringskosten)</w:t>
            </w:r>
            <w:r w:rsidRPr="00E40B9C">
              <w:rPr>
                <w:vanish/>
                <w:color w:val="E0E0E0"/>
              </w:rPr>
              <w:t xml:space="preserve"> A (directe kosten)</w:t>
            </w:r>
            <w:bookmarkEnd w:id="2"/>
            <w:r w:rsidRPr="00E40B9C">
              <w:t>:</w:t>
            </w:r>
          </w:p>
        </w:tc>
        <w:tc>
          <w:tcPr>
            <w:tcW w:w="2268" w:type="dxa"/>
          </w:tcPr>
          <w:p w14:paraId="421BFA69" w14:textId="77777777" w:rsidR="006E4F30" w:rsidRPr="00E40B9C" w:rsidRDefault="006E4F30" w:rsidP="003B6203">
            <w:r w:rsidRPr="00E40B9C">
              <w:rPr>
                <w:rFonts w:cs="Verdana"/>
              </w:rPr>
              <w:t>€</w:t>
            </w:r>
          </w:p>
        </w:tc>
      </w:tr>
      <w:tr w:rsidR="006E4F30" w:rsidRPr="00E40B9C" w14:paraId="53A677B9" w14:textId="77777777" w:rsidTr="003B6203">
        <w:tc>
          <w:tcPr>
            <w:tcW w:w="5245" w:type="dxa"/>
          </w:tcPr>
          <w:p w14:paraId="45CF1C27" w14:textId="77777777" w:rsidR="006E4F30" w:rsidRPr="00E40B9C" w:rsidRDefault="006E4F30" w:rsidP="003B6203">
            <w:r w:rsidRPr="00E40B9C">
              <w:rPr>
                <w:b/>
              </w:rPr>
              <w:t>Indirecte kosten</w:t>
            </w:r>
            <w:r>
              <w:rPr>
                <w:b/>
              </w:rPr>
              <w:t>*</w:t>
            </w:r>
            <w:r w:rsidRPr="00E40B9C">
              <w:t xml:space="preserve"> </w:t>
            </w:r>
            <w:r w:rsidRPr="00E40B9C">
              <w:rPr>
                <w:b/>
                <w:i/>
                <w:vanish/>
                <w:color w:val="3366FF"/>
                <w:sz w:val="16"/>
              </w:rPr>
              <w:t>(Geen verdere uitsplitsing)</w:t>
            </w:r>
          </w:p>
        </w:tc>
        <w:tc>
          <w:tcPr>
            <w:tcW w:w="2268" w:type="dxa"/>
          </w:tcPr>
          <w:p w14:paraId="3577E55A" w14:textId="77777777" w:rsidR="006E4F30" w:rsidRPr="00E40B9C" w:rsidRDefault="006E4F30" w:rsidP="003B6203"/>
        </w:tc>
      </w:tr>
      <w:tr w:rsidR="006E4F30" w:rsidRPr="00E40B9C" w14:paraId="7C55CE7D" w14:textId="77777777" w:rsidTr="003B6203">
        <w:tc>
          <w:tcPr>
            <w:tcW w:w="5245" w:type="dxa"/>
          </w:tcPr>
          <w:p w14:paraId="344BDFBB" w14:textId="77777777" w:rsidR="006E4F30" w:rsidRPr="00E40B9C" w:rsidRDefault="006E4F30" w:rsidP="003B6203">
            <w:r w:rsidRPr="00E40B9C">
              <w:t xml:space="preserve"> </w:t>
            </w:r>
            <w:r w:rsidRPr="00E40B9C">
              <w:rPr>
                <w:b/>
                <w:i/>
                <w:vanish/>
                <w:color w:val="3366FF"/>
                <w:sz w:val="16"/>
              </w:rPr>
              <w:t>(</w:t>
            </w:r>
            <w:r>
              <w:rPr>
                <w:b/>
                <w:i/>
                <w:vanish/>
                <w:color w:val="3366FF"/>
                <w:sz w:val="16"/>
              </w:rPr>
              <w:t>Stelpost b</w:t>
            </w:r>
            <w:r w:rsidRPr="00E40B9C">
              <w:rPr>
                <w:b/>
                <w:i/>
                <w:vanish/>
                <w:color w:val="3366FF"/>
                <w:sz w:val="16"/>
              </w:rPr>
              <w:t>ij voorkeur niet opnemen, slechts na overleg met de contactpersoon van afdeling ICG)</w:t>
            </w:r>
          </w:p>
        </w:tc>
        <w:tc>
          <w:tcPr>
            <w:tcW w:w="2268" w:type="dxa"/>
          </w:tcPr>
          <w:p w14:paraId="5DD2D582" w14:textId="77777777" w:rsidR="006E4F30" w:rsidRPr="00E40B9C" w:rsidRDefault="006E4F30" w:rsidP="003B6203"/>
        </w:tc>
      </w:tr>
      <w:tr w:rsidR="006E4F30" w:rsidRPr="00E40B9C" w14:paraId="49483409" w14:textId="77777777" w:rsidTr="003B6203">
        <w:tc>
          <w:tcPr>
            <w:tcW w:w="5245" w:type="dxa"/>
          </w:tcPr>
          <w:p w14:paraId="02DF91B1" w14:textId="77777777" w:rsidR="006E4F30" w:rsidRPr="00E40B9C" w:rsidRDefault="006E4F30" w:rsidP="003B6203">
            <w:r w:rsidRPr="00E40B9C">
              <w:t>Eenmalige kosten</w:t>
            </w:r>
            <w:r>
              <w:t>*</w:t>
            </w:r>
          </w:p>
        </w:tc>
        <w:tc>
          <w:tcPr>
            <w:tcW w:w="2268" w:type="dxa"/>
          </w:tcPr>
          <w:p w14:paraId="55E4E594" w14:textId="77777777" w:rsidR="006E4F30" w:rsidRPr="00E40B9C" w:rsidRDefault="006E4F30" w:rsidP="003B6203">
            <w:r w:rsidRPr="00E40B9C">
              <w:rPr>
                <w:rFonts w:cs="Verdana"/>
              </w:rPr>
              <w:t>€</w:t>
            </w:r>
          </w:p>
        </w:tc>
      </w:tr>
      <w:tr w:rsidR="006E4F30" w:rsidRPr="00E40B9C" w14:paraId="11D24EC5" w14:textId="77777777" w:rsidTr="003B6203">
        <w:tc>
          <w:tcPr>
            <w:tcW w:w="5245" w:type="dxa"/>
          </w:tcPr>
          <w:p w14:paraId="720122DF" w14:textId="77777777" w:rsidR="006E4F30" w:rsidRPr="00E40B9C" w:rsidRDefault="006E4F30" w:rsidP="003B6203">
            <w:r w:rsidRPr="00C358B5">
              <w:rPr>
                <w:rFonts w:eastAsia="Times New Roman" w:cs="Verdana"/>
              </w:rPr>
              <w:t>Algemene bouwplaatskosten</w:t>
            </w:r>
            <w:r>
              <w:rPr>
                <w:rFonts w:eastAsia="Times New Roman" w:cs="Verdana"/>
              </w:rPr>
              <w:t>*</w:t>
            </w:r>
          </w:p>
        </w:tc>
        <w:tc>
          <w:tcPr>
            <w:tcW w:w="2268" w:type="dxa"/>
          </w:tcPr>
          <w:p w14:paraId="30A3AA8A" w14:textId="77777777" w:rsidR="006E4F30" w:rsidRPr="00E40B9C" w:rsidRDefault="006E4F30" w:rsidP="003B6203">
            <w:pPr>
              <w:rPr>
                <w:rFonts w:cs="Verdana"/>
              </w:rPr>
            </w:pPr>
            <w:r>
              <w:rPr>
                <w:rFonts w:cs="Verdana"/>
              </w:rPr>
              <w:t>€</w:t>
            </w:r>
          </w:p>
        </w:tc>
      </w:tr>
      <w:tr w:rsidR="006E4F30" w:rsidRPr="00E40B9C" w14:paraId="70624270" w14:textId="77777777" w:rsidTr="003B6203">
        <w:tc>
          <w:tcPr>
            <w:tcW w:w="5245" w:type="dxa"/>
          </w:tcPr>
          <w:p w14:paraId="4C249EDA" w14:textId="77777777" w:rsidR="006E4F30" w:rsidRPr="00E40B9C" w:rsidRDefault="006E4F30" w:rsidP="003B6203">
            <w:r>
              <w:t>U</w:t>
            </w:r>
            <w:r w:rsidRPr="00E40B9C">
              <w:t>itvoeringskosten</w:t>
            </w:r>
            <w:r>
              <w:t>*</w:t>
            </w:r>
          </w:p>
        </w:tc>
        <w:tc>
          <w:tcPr>
            <w:tcW w:w="2268" w:type="dxa"/>
          </w:tcPr>
          <w:p w14:paraId="33EEEF62" w14:textId="77777777" w:rsidR="006E4F30" w:rsidRPr="00E40B9C" w:rsidRDefault="006E4F30" w:rsidP="003B6203">
            <w:r w:rsidRPr="00E40B9C">
              <w:rPr>
                <w:rFonts w:cs="Verdana"/>
              </w:rPr>
              <w:t>€</w:t>
            </w:r>
          </w:p>
        </w:tc>
      </w:tr>
      <w:tr w:rsidR="006E4F30" w:rsidRPr="00E40B9C" w14:paraId="65067B51" w14:textId="77777777" w:rsidTr="003B6203">
        <w:tc>
          <w:tcPr>
            <w:tcW w:w="5245" w:type="dxa"/>
          </w:tcPr>
          <w:p w14:paraId="049BB99A" w14:textId="77777777" w:rsidR="006E4F30" w:rsidRPr="00E40B9C" w:rsidRDefault="006E4F30" w:rsidP="003B6203">
            <w:r w:rsidRPr="00C358B5">
              <w:rPr>
                <w:rFonts w:eastAsia="Times New Roman" w:cs="Verdana"/>
              </w:rPr>
              <w:t>Projectmanagementkosten</w:t>
            </w:r>
            <w:r>
              <w:rPr>
                <w:rFonts w:eastAsia="Times New Roman" w:cs="Verdana"/>
              </w:rPr>
              <w:t>* (incl. staf/koepel)</w:t>
            </w:r>
          </w:p>
        </w:tc>
        <w:tc>
          <w:tcPr>
            <w:tcW w:w="2268" w:type="dxa"/>
          </w:tcPr>
          <w:p w14:paraId="652C069C" w14:textId="77777777" w:rsidR="006E4F30" w:rsidRPr="00E40B9C" w:rsidRDefault="006E4F30" w:rsidP="003B6203">
            <w:pPr>
              <w:rPr>
                <w:rFonts w:cs="Verdana"/>
              </w:rPr>
            </w:pPr>
            <w:r>
              <w:rPr>
                <w:rFonts w:cs="Verdana"/>
              </w:rPr>
              <w:t>€</w:t>
            </w:r>
          </w:p>
        </w:tc>
      </w:tr>
      <w:tr w:rsidR="006E4F30" w:rsidRPr="00E40B9C" w14:paraId="54BF410D" w14:textId="77777777" w:rsidTr="003B6203">
        <w:tc>
          <w:tcPr>
            <w:tcW w:w="5245" w:type="dxa"/>
          </w:tcPr>
          <w:p w14:paraId="44B5BACD" w14:textId="77777777" w:rsidR="006E4F30" w:rsidRPr="00E40B9C" w:rsidRDefault="006E4F30" w:rsidP="003B6203">
            <w:r w:rsidRPr="00E40B9C">
              <w:t>Algemene kosten</w:t>
            </w:r>
            <w:r>
              <w:t>*</w:t>
            </w:r>
          </w:p>
        </w:tc>
        <w:tc>
          <w:tcPr>
            <w:tcW w:w="2268" w:type="dxa"/>
          </w:tcPr>
          <w:p w14:paraId="0ACC254A" w14:textId="77777777" w:rsidR="006E4F30" w:rsidRPr="00E40B9C" w:rsidRDefault="006E4F30" w:rsidP="003B6203">
            <w:r w:rsidRPr="00E40B9C">
              <w:rPr>
                <w:rFonts w:cs="Verdana"/>
              </w:rPr>
              <w:t>€</w:t>
            </w:r>
          </w:p>
        </w:tc>
      </w:tr>
      <w:tr w:rsidR="006E4F30" w:rsidRPr="00E40B9C" w14:paraId="1BC513CF" w14:textId="77777777" w:rsidTr="003B6203">
        <w:tc>
          <w:tcPr>
            <w:tcW w:w="5245" w:type="dxa"/>
          </w:tcPr>
          <w:p w14:paraId="482F8044" w14:textId="77777777" w:rsidR="006E4F30" w:rsidRPr="00E40B9C" w:rsidRDefault="006E4F30" w:rsidP="003B6203">
            <w:r w:rsidRPr="00E40B9C">
              <w:t>Winst</w:t>
            </w:r>
            <w:r>
              <w:t>*</w:t>
            </w:r>
          </w:p>
        </w:tc>
        <w:tc>
          <w:tcPr>
            <w:tcW w:w="2268" w:type="dxa"/>
          </w:tcPr>
          <w:p w14:paraId="615883CC" w14:textId="77777777" w:rsidR="006E4F30" w:rsidRPr="00E40B9C" w:rsidRDefault="006E4F30" w:rsidP="003B6203">
            <w:r w:rsidRPr="00E40B9C">
              <w:rPr>
                <w:rFonts w:cs="Verdana"/>
              </w:rPr>
              <w:t>€</w:t>
            </w:r>
          </w:p>
        </w:tc>
      </w:tr>
      <w:tr w:rsidR="006E4F30" w:rsidRPr="00E40B9C" w14:paraId="03AFA01F" w14:textId="77777777" w:rsidTr="003B6203">
        <w:tc>
          <w:tcPr>
            <w:tcW w:w="5245" w:type="dxa"/>
          </w:tcPr>
          <w:p w14:paraId="7295B8D9" w14:textId="77777777" w:rsidR="006E4F30" w:rsidRPr="00E40B9C" w:rsidRDefault="006E4F30" w:rsidP="003B6203">
            <w:r w:rsidRPr="00E40B9C">
              <w:t>Risico</w:t>
            </w:r>
            <w:r>
              <w:t>*</w:t>
            </w:r>
          </w:p>
        </w:tc>
        <w:tc>
          <w:tcPr>
            <w:tcW w:w="2268" w:type="dxa"/>
          </w:tcPr>
          <w:p w14:paraId="74E15610" w14:textId="77777777" w:rsidR="006E4F30" w:rsidRPr="00E40B9C" w:rsidRDefault="006E4F30" w:rsidP="003B6203">
            <w:r w:rsidRPr="00E40B9C">
              <w:rPr>
                <w:rFonts w:cs="Verdana"/>
              </w:rPr>
              <w:t>€</w:t>
            </w:r>
          </w:p>
        </w:tc>
      </w:tr>
      <w:tr w:rsidR="006E4F30" w:rsidRPr="00E40B9C" w14:paraId="42D0AF06" w14:textId="77777777" w:rsidTr="003B6203">
        <w:tc>
          <w:tcPr>
            <w:tcW w:w="5245" w:type="dxa"/>
          </w:tcPr>
          <w:p w14:paraId="039E85EE" w14:textId="77777777" w:rsidR="006E4F30" w:rsidRPr="004025CD" w:rsidRDefault="006E4F30" w:rsidP="003B6203">
            <w:pPr>
              <w:jc w:val="right"/>
              <w:rPr>
                <w:rFonts w:cs="Verdana"/>
              </w:rPr>
            </w:pPr>
            <w:r w:rsidRPr="00C358B5">
              <w:t>Subtotaal C (indirecte kosten):</w:t>
            </w:r>
          </w:p>
        </w:tc>
        <w:tc>
          <w:tcPr>
            <w:tcW w:w="2268" w:type="dxa"/>
          </w:tcPr>
          <w:p w14:paraId="7384A591" w14:textId="77777777" w:rsidR="006E4F30" w:rsidRDefault="006E4F30" w:rsidP="003B6203">
            <w:pPr>
              <w:rPr>
                <w:vanish/>
                <w:color w:val="E0E0E0"/>
              </w:rPr>
            </w:pPr>
            <w:r>
              <w:rPr>
                <w:vanish/>
                <w:color w:val="E0E0E0"/>
              </w:rPr>
              <w:t>€</w:t>
            </w:r>
          </w:p>
        </w:tc>
      </w:tr>
      <w:tr w:rsidR="006E4F30" w:rsidRPr="00E40B9C" w14:paraId="59C6F166" w14:textId="77777777" w:rsidTr="003B6203">
        <w:trPr>
          <w:hidden/>
        </w:trPr>
        <w:tc>
          <w:tcPr>
            <w:tcW w:w="5245" w:type="dxa"/>
          </w:tcPr>
          <w:p w14:paraId="5AD7630D" w14:textId="77777777" w:rsidR="006E4F30" w:rsidRPr="00E40B9C" w:rsidRDefault="006E4F30" w:rsidP="003B6203">
            <w:pPr>
              <w:jc w:val="right"/>
              <w:rPr>
                <w:vanish/>
                <w:color w:val="E0E0E0"/>
              </w:rPr>
            </w:pPr>
            <w:bookmarkStart w:id="3" w:name="bwbijl_M_SC_PRC_blok" w:colFirst="0" w:colLast="2"/>
          </w:p>
        </w:tc>
        <w:tc>
          <w:tcPr>
            <w:tcW w:w="2268" w:type="dxa"/>
          </w:tcPr>
          <w:p w14:paraId="13FFDCD1" w14:textId="77777777" w:rsidR="006E4F30" w:rsidRPr="00E40B9C" w:rsidRDefault="006E4F30" w:rsidP="003B6203">
            <w:pPr>
              <w:rPr>
                <w:vanish/>
                <w:color w:val="E0E0E0"/>
              </w:rPr>
            </w:pPr>
            <w:r>
              <w:rPr>
                <w:vanish/>
                <w:color w:val="E0E0E0"/>
              </w:rPr>
              <w:t>€</w:t>
            </w:r>
          </w:p>
        </w:tc>
      </w:tr>
      <w:tr w:rsidR="006E4F30" w:rsidRPr="00E40B9C" w14:paraId="4F8D6A9C" w14:textId="77777777" w:rsidTr="003B6203">
        <w:trPr>
          <w:hidden/>
        </w:trPr>
        <w:tc>
          <w:tcPr>
            <w:tcW w:w="5245" w:type="dxa"/>
          </w:tcPr>
          <w:p w14:paraId="4027CE17" w14:textId="77777777" w:rsidR="006E4F30" w:rsidRPr="00E40B9C" w:rsidRDefault="006E4F30" w:rsidP="003B6203">
            <w:pPr>
              <w:rPr>
                <w:vanish/>
                <w:color w:val="E0E0E0"/>
              </w:rPr>
            </w:pPr>
            <w:r w:rsidRPr="00E40B9C">
              <w:rPr>
                <w:vanish/>
                <w:color w:val="E0E0E0"/>
              </w:rPr>
              <w:fldChar w:fldCharType="begin">
                <w:ffData>
                  <w:name w:val=""/>
                  <w:enabled/>
                  <w:calcOnExit w:val="0"/>
                  <w:textInput>
                    <w:default w:val="&lt;Vul kostenpost in&gt;"/>
                  </w:textInput>
                </w:ffData>
              </w:fldChar>
            </w:r>
            <w:r w:rsidRPr="00E40B9C">
              <w:rPr>
                <w:vanish/>
                <w:color w:val="E0E0E0"/>
              </w:rPr>
              <w:instrText xml:space="preserve"> FORMTEXT </w:instrText>
            </w:r>
            <w:r w:rsidRPr="00E40B9C">
              <w:rPr>
                <w:vanish/>
                <w:color w:val="E0E0E0"/>
              </w:rPr>
            </w:r>
            <w:r w:rsidRPr="00E40B9C">
              <w:rPr>
                <w:vanish/>
                <w:color w:val="E0E0E0"/>
              </w:rPr>
              <w:fldChar w:fldCharType="separate"/>
            </w:r>
            <w:r>
              <w:rPr>
                <w:noProof/>
                <w:vanish/>
                <w:color w:val="E0E0E0"/>
              </w:rPr>
              <w:t>&lt;Vul kostenpost in&gt;</w:t>
            </w:r>
            <w:r w:rsidRPr="00E40B9C">
              <w:rPr>
                <w:vanish/>
                <w:color w:val="E0E0E0"/>
              </w:rPr>
              <w:fldChar w:fldCharType="end"/>
            </w:r>
          </w:p>
        </w:tc>
        <w:tc>
          <w:tcPr>
            <w:tcW w:w="2268" w:type="dxa"/>
          </w:tcPr>
          <w:p w14:paraId="521A21BF" w14:textId="77777777" w:rsidR="006E4F30" w:rsidRPr="00E40B9C" w:rsidRDefault="006E4F30" w:rsidP="003B6203">
            <w:pPr>
              <w:rPr>
                <w:vanish/>
                <w:color w:val="E0E0E0"/>
              </w:rPr>
            </w:pPr>
            <w:r w:rsidRPr="00E40B9C">
              <w:rPr>
                <w:rFonts w:cs="Verdana"/>
                <w:vanish/>
                <w:color w:val="E0E0E0"/>
              </w:rPr>
              <w:t>€</w:t>
            </w:r>
          </w:p>
        </w:tc>
      </w:tr>
      <w:tr w:rsidR="006E4F30" w:rsidRPr="00E40B9C" w14:paraId="12E74B75" w14:textId="77777777" w:rsidTr="003B6203">
        <w:trPr>
          <w:hidden/>
        </w:trPr>
        <w:tc>
          <w:tcPr>
            <w:tcW w:w="5245" w:type="dxa"/>
          </w:tcPr>
          <w:p w14:paraId="7F3FD4C9" w14:textId="77777777" w:rsidR="006E4F30" w:rsidRPr="00E40B9C" w:rsidRDefault="006E4F30" w:rsidP="003B6203">
            <w:pPr>
              <w:rPr>
                <w:vanish/>
                <w:color w:val="E0E0E0"/>
              </w:rPr>
            </w:pPr>
            <w:r w:rsidRPr="00E40B9C">
              <w:rPr>
                <w:vanish/>
                <w:color w:val="E0E0E0"/>
              </w:rPr>
              <w:fldChar w:fldCharType="begin">
                <w:ffData>
                  <w:name w:val=""/>
                  <w:enabled/>
                  <w:calcOnExit w:val="0"/>
                  <w:textInput>
                    <w:default w:val="&lt;Vul kostenpost in&gt;"/>
                  </w:textInput>
                </w:ffData>
              </w:fldChar>
            </w:r>
            <w:r w:rsidRPr="00E40B9C">
              <w:rPr>
                <w:vanish/>
                <w:color w:val="E0E0E0"/>
              </w:rPr>
              <w:instrText xml:space="preserve"> FORMTEXT </w:instrText>
            </w:r>
            <w:r w:rsidRPr="00E40B9C">
              <w:rPr>
                <w:vanish/>
                <w:color w:val="E0E0E0"/>
              </w:rPr>
            </w:r>
            <w:r w:rsidRPr="00E40B9C">
              <w:rPr>
                <w:vanish/>
                <w:color w:val="E0E0E0"/>
              </w:rPr>
              <w:fldChar w:fldCharType="separate"/>
            </w:r>
            <w:r>
              <w:rPr>
                <w:noProof/>
                <w:vanish/>
                <w:color w:val="E0E0E0"/>
              </w:rPr>
              <w:t>&lt;Vul kostenpost in&gt;</w:t>
            </w:r>
            <w:r w:rsidRPr="00E40B9C">
              <w:rPr>
                <w:vanish/>
                <w:color w:val="E0E0E0"/>
              </w:rPr>
              <w:fldChar w:fldCharType="end"/>
            </w:r>
          </w:p>
        </w:tc>
        <w:tc>
          <w:tcPr>
            <w:tcW w:w="2268" w:type="dxa"/>
          </w:tcPr>
          <w:p w14:paraId="4ED3155C" w14:textId="77777777" w:rsidR="006E4F30" w:rsidRPr="00E40B9C" w:rsidRDefault="006E4F30" w:rsidP="003B6203">
            <w:pPr>
              <w:rPr>
                <w:vanish/>
                <w:color w:val="E0E0E0"/>
              </w:rPr>
            </w:pPr>
            <w:r w:rsidRPr="00E40B9C">
              <w:rPr>
                <w:rFonts w:cs="Verdana"/>
                <w:vanish/>
                <w:color w:val="E0E0E0"/>
              </w:rPr>
              <w:t>€</w:t>
            </w:r>
          </w:p>
        </w:tc>
      </w:tr>
      <w:tr w:rsidR="006E4F30" w:rsidRPr="00E40B9C" w14:paraId="05DCFC61" w14:textId="77777777" w:rsidTr="003B6203">
        <w:trPr>
          <w:hidden/>
        </w:trPr>
        <w:tc>
          <w:tcPr>
            <w:tcW w:w="5245" w:type="dxa"/>
          </w:tcPr>
          <w:p w14:paraId="4E468399" w14:textId="77777777" w:rsidR="006E4F30" w:rsidRPr="00E40B9C" w:rsidRDefault="006E4F30" w:rsidP="003B6203">
            <w:pPr>
              <w:rPr>
                <w:vanish/>
                <w:color w:val="E0E0E0"/>
              </w:rPr>
            </w:pPr>
            <w:r w:rsidRPr="00E40B9C">
              <w:rPr>
                <w:vanish/>
                <w:color w:val="E0E0E0"/>
              </w:rPr>
              <w:fldChar w:fldCharType="begin">
                <w:ffData>
                  <w:name w:val=""/>
                  <w:enabled/>
                  <w:calcOnExit w:val="0"/>
                  <w:textInput>
                    <w:default w:val="&lt;Vul kostenpost in&gt;"/>
                  </w:textInput>
                </w:ffData>
              </w:fldChar>
            </w:r>
            <w:r w:rsidRPr="00E40B9C">
              <w:rPr>
                <w:vanish/>
                <w:color w:val="E0E0E0"/>
              </w:rPr>
              <w:instrText xml:space="preserve"> FORMTEXT </w:instrText>
            </w:r>
            <w:r w:rsidRPr="00E40B9C">
              <w:rPr>
                <w:vanish/>
                <w:color w:val="E0E0E0"/>
              </w:rPr>
            </w:r>
            <w:r w:rsidRPr="00E40B9C">
              <w:rPr>
                <w:vanish/>
                <w:color w:val="E0E0E0"/>
              </w:rPr>
              <w:fldChar w:fldCharType="separate"/>
            </w:r>
            <w:r>
              <w:rPr>
                <w:noProof/>
                <w:vanish/>
                <w:color w:val="E0E0E0"/>
              </w:rPr>
              <w:t>&lt;Vul kostenpost in&gt;</w:t>
            </w:r>
            <w:r w:rsidRPr="00E40B9C">
              <w:rPr>
                <w:vanish/>
                <w:color w:val="E0E0E0"/>
              </w:rPr>
              <w:fldChar w:fldCharType="end"/>
            </w:r>
          </w:p>
        </w:tc>
        <w:tc>
          <w:tcPr>
            <w:tcW w:w="2268" w:type="dxa"/>
          </w:tcPr>
          <w:p w14:paraId="023351FD" w14:textId="77777777" w:rsidR="006E4F30" w:rsidRPr="00E40B9C" w:rsidRDefault="006E4F30" w:rsidP="003B6203">
            <w:pPr>
              <w:rPr>
                <w:vanish/>
                <w:color w:val="E0E0E0"/>
              </w:rPr>
            </w:pPr>
            <w:r w:rsidRPr="00E40B9C">
              <w:rPr>
                <w:rFonts w:cs="Verdana"/>
                <w:vanish/>
                <w:color w:val="E0E0E0"/>
              </w:rPr>
              <w:t>€</w:t>
            </w:r>
          </w:p>
        </w:tc>
      </w:tr>
      <w:tr w:rsidR="006E4F30" w:rsidRPr="00E40B9C" w14:paraId="71E84DED" w14:textId="77777777" w:rsidTr="003B6203">
        <w:trPr>
          <w:hidden/>
        </w:trPr>
        <w:tc>
          <w:tcPr>
            <w:tcW w:w="5245" w:type="dxa"/>
          </w:tcPr>
          <w:p w14:paraId="09CAC1D4" w14:textId="77777777" w:rsidR="006E4F30" w:rsidRPr="00E40B9C" w:rsidRDefault="006E4F30" w:rsidP="003B6203">
            <w:pPr>
              <w:jc w:val="right"/>
              <w:rPr>
                <w:vanish/>
                <w:color w:val="E0E0E0"/>
              </w:rPr>
            </w:pPr>
            <w:r w:rsidRPr="00E40B9C">
              <w:rPr>
                <w:vanish/>
                <w:color w:val="E0E0E0"/>
              </w:rPr>
              <w:t>Subtotaal D (Voorgeschreven activiteiten):</w:t>
            </w:r>
          </w:p>
        </w:tc>
        <w:tc>
          <w:tcPr>
            <w:tcW w:w="2268" w:type="dxa"/>
          </w:tcPr>
          <w:p w14:paraId="427A890B" w14:textId="77777777" w:rsidR="006E4F30" w:rsidRPr="00E40B9C" w:rsidRDefault="006E4F30" w:rsidP="003B6203">
            <w:pPr>
              <w:rPr>
                <w:vanish/>
                <w:color w:val="E0E0E0"/>
              </w:rPr>
            </w:pPr>
            <w:r w:rsidRPr="00E40B9C">
              <w:rPr>
                <w:rFonts w:cs="Verdana"/>
                <w:vanish/>
                <w:color w:val="E0E0E0"/>
              </w:rPr>
              <w:t>€</w:t>
            </w:r>
          </w:p>
        </w:tc>
      </w:tr>
      <w:bookmarkEnd w:id="3"/>
      <w:tr w:rsidR="006E4F30" w:rsidRPr="00E40B9C" w14:paraId="57FCD771" w14:textId="77777777" w:rsidTr="003B6203">
        <w:tc>
          <w:tcPr>
            <w:tcW w:w="5245" w:type="dxa"/>
          </w:tcPr>
          <w:p w14:paraId="78027BB9" w14:textId="77777777" w:rsidR="006E4F30" w:rsidRPr="00E40B9C" w:rsidRDefault="006E4F30" w:rsidP="003B6203">
            <w:pPr>
              <w:jc w:val="right"/>
            </w:pPr>
            <w:r w:rsidRPr="00E40B9C">
              <w:t>Inschrijvingssom</w:t>
            </w:r>
            <w:bookmarkStart w:id="4" w:name="bwbijl_M_SC_PRC_3"/>
            <w:r>
              <w:t xml:space="preserve"> (Subtotaal A + B + C)</w:t>
            </w:r>
            <w:r w:rsidRPr="00E40B9C">
              <w:rPr>
                <w:vanish/>
                <w:color w:val="E0E0E0"/>
              </w:rPr>
              <w:t xml:space="preserve"> (Subtotaal C + D)</w:t>
            </w:r>
            <w:bookmarkEnd w:id="4"/>
            <w:r w:rsidRPr="00E40B9C">
              <w:t>:</w:t>
            </w:r>
          </w:p>
        </w:tc>
        <w:tc>
          <w:tcPr>
            <w:tcW w:w="2268" w:type="dxa"/>
          </w:tcPr>
          <w:p w14:paraId="12516783" w14:textId="77777777" w:rsidR="006E4F30" w:rsidRPr="00E40B9C" w:rsidRDefault="006E4F30" w:rsidP="003B6203">
            <w:r w:rsidRPr="00E40B9C">
              <w:rPr>
                <w:rFonts w:cs="Verdana"/>
              </w:rPr>
              <w:t>€</w:t>
            </w:r>
          </w:p>
        </w:tc>
      </w:tr>
    </w:tbl>
    <w:p w14:paraId="34D7737F" w14:textId="6EFF148E" w:rsidR="00B402CB" w:rsidRDefault="00B402CB"/>
    <w:p w14:paraId="4AC47576" w14:textId="6DDAFCAB" w:rsidR="006E4F30" w:rsidRDefault="006E4F30"/>
    <w:p w14:paraId="3DD541B2" w14:textId="77777777" w:rsidR="006E4F30" w:rsidRDefault="006E4F30" w:rsidP="006E4F30">
      <w:pPr>
        <w:ind w:left="1428"/>
        <w:rPr>
          <w:vanish/>
          <w:color w:val="E0E0E0"/>
          <w:lang w:val="nl-NL"/>
        </w:rPr>
      </w:pPr>
      <w:r>
        <w:rPr>
          <w:rFonts w:cs="Arial"/>
        </w:rPr>
        <w:t xml:space="preserve">* </w:t>
      </w:r>
      <w:r w:rsidRPr="004025CD">
        <w:rPr>
          <w:rFonts w:cs="Arial"/>
        </w:rPr>
        <w:t>Begrippen conform Standaardsystematiek voor kostenramingen (SSK201</w:t>
      </w:r>
      <w:r>
        <w:rPr>
          <w:rFonts w:cs="Arial"/>
        </w:rPr>
        <w:t>8</w:t>
      </w:r>
      <w:r w:rsidRPr="004025CD">
        <w:rPr>
          <w:rFonts w:cs="Arial"/>
        </w:rPr>
        <w:t xml:space="preserve">) </w:t>
      </w:r>
      <w:r w:rsidRPr="00033347">
        <w:rPr>
          <w:rFonts w:cs="Arial"/>
        </w:rPr>
        <w:t>uitgegeven door CROW</w:t>
      </w:r>
      <w:r>
        <w:rPr>
          <w:rFonts w:cs="Arial"/>
        </w:rPr>
        <w:t>. Bij de Indirecte kosten dienen – in afwijking van de SSK – Algemene bouwplaatskosten en Projectmanagementkosten separaat te worden opgenomen. Indien de inschrijver meent te moeten inschrijven met een projectkorting, dan moet deze volledig in de post Winst worden opgenomen.</w:t>
      </w:r>
    </w:p>
    <w:p w14:paraId="39463171" w14:textId="77777777" w:rsidR="006E4F30" w:rsidRDefault="006E4F30" w:rsidP="006E4F30">
      <w:pPr>
        <w:ind w:left="1134"/>
        <w:rPr>
          <w:vanish/>
          <w:color w:val="E0E0E0"/>
          <w:lang w:val="nl-NL"/>
        </w:rPr>
      </w:pPr>
    </w:p>
    <w:p w14:paraId="54E3857B" w14:textId="77777777" w:rsidR="006E4F30" w:rsidRPr="00E40B9C" w:rsidRDefault="006E4F30" w:rsidP="006E4F30">
      <w:pPr>
        <w:ind w:left="1134"/>
        <w:rPr>
          <w:vanish/>
          <w:color w:val="E0E0E0"/>
          <w:lang w:val="nl-NL"/>
        </w:rPr>
      </w:pPr>
    </w:p>
    <w:p w14:paraId="378499D3" w14:textId="77777777" w:rsidR="006E4F30" w:rsidRPr="00E40B9C" w:rsidRDefault="006E4F30" w:rsidP="006E4F30">
      <w:pPr>
        <w:tabs>
          <w:tab w:val="left" w:pos="1440"/>
        </w:tabs>
        <w:ind w:left="1134"/>
        <w:rPr>
          <w:rFonts w:eastAsia="Times New Roman" w:cs="Arial"/>
          <w:vanish/>
          <w:color w:val="E0E0E0"/>
          <w:lang w:val="nl-NL"/>
        </w:rPr>
      </w:pPr>
      <w:r w:rsidRPr="00E40B9C">
        <w:rPr>
          <w:vanish/>
          <w:color w:val="E0E0E0"/>
          <w:lang w:val="nl-NL"/>
        </w:rPr>
        <w:t xml:space="preserve">De inschrijver dient deze ICT-kosten opgave te verstrekken zodat de aanbesteder kan voldoen aan de rapportageverplichting op het Rijks ICT-dashboard. Voor de beschrijving van ICT-kosten wordt verwezen naar bijlage </w:t>
      </w:r>
      <w:bookmarkStart w:id="5" w:name="bwBijl_M_ICT_aan_N"/>
      <w:r w:rsidRPr="00E40B9C">
        <w:rPr>
          <w:vanish/>
          <w:color w:val="E0E0E0"/>
          <w:lang w:val="nl-NL"/>
        </w:rPr>
        <w:t>K</w:t>
      </w:r>
      <w:bookmarkEnd w:id="5"/>
      <w:r w:rsidRPr="00E40B9C">
        <w:rPr>
          <w:vanish/>
          <w:color w:val="E0E0E0"/>
          <w:lang w:val="nl-NL"/>
        </w:rPr>
        <w:t xml:space="preserve"> “</w:t>
      </w:r>
      <w:r w:rsidRPr="00E40B9C">
        <w:rPr>
          <w:rFonts w:eastAsia="Times New Roman" w:cs="Arial"/>
          <w:vanish/>
          <w:color w:val="E0E0E0"/>
          <w:lang w:val="nl-NL"/>
        </w:rPr>
        <w:t>Beschrijving ICT-kosten in GWW-opdrachten”.</w:t>
      </w:r>
    </w:p>
    <w:p w14:paraId="750DFAD5" w14:textId="77777777" w:rsidR="006E4F30" w:rsidRPr="00E40B9C" w:rsidRDefault="006E4F30" w:rsidP="006E4F30">
      <w:pPr>
        <w:rPr>
          <w:vanish/>
          <w:color w:val="E0E0E0"/>
          <w:lang w:val="nl-NL"/>
        </w:rPr>
      </w:pPr>
      <w:bookmarkStart w:id="6" w:name="bwKopBijlage_N"/>
      <w:r w:rsidRPr="00E40B9C">
        <w:rPr>
          <w:vanish/>
          <w:color w:val="E0E0E0"/>
          <w:lang w:val="nl-NL"/>
        </w:rPr>
        <w:t>Beschrijving ICT-kosten in GWW-opdrachten</w:t>
      </w:r>
    </w:p>
    <w:bookmarkEnd w:id="6"/>
    <w:p w14:paraId="345CACA6" w14:textId="77777777" w:rsidR="006E4F30" w:rsidRPr="00E40B9C" w:rsidRDefault="006E4F30" w:rsidP="006E4F30">
      <w:pPr>
        <w:ind w:left="1134"/>
        <w:rPr>
          <w:rFonts w:eastAsia="Times New Roman" w:cs="Arial"/>
          <w:vanish/>
          <w:color w:val="E0E0E0"/>
          <w:lang w:val="nl-NL"/>
        </w:rPr>
      </w:pPr>
      <w:r w:rsidRPr="00E40B9C">
        <w:rPr>
          <w:rFonts w:eastAsia="Times New Roman" w:cs="Arial"/>
          <w:vanish/>
          <w:color w:val="E0E0E0"/>
          <w:lang w:val="nl-NL"/>
        </w:rPr>
        <w:t xml:space="preserve">Op het Rijks ICT-dashboard </w:t>
      </w:r>
      <w:bookmarkStart w:id="7" w:name="bwHyperlink_3"/>
      <w:r w:rsidRPr="007B79A6">
        <w:fldChar w:fldCharType="begin"/>
      </w:r>
      <w:r w:rsidRPr="007B79A6">
        <w:rPr>
          <w:vanish/>
          <w:color w:val="E0E0E0"/>
          <w:lang w:val="nl-NL"/>
        </w:rPr>
        <w:instrText xml:space="preserve"> HYPERLINK "https://www.rijksictdashboard.nl/" </w:instrText>
      </w:r>
      <w:r w:rsidRPr="007B79A6">
        <w:fldChar w:fldCharType="separate"/>
      </w:r>
      <w:r w:rsidRPr="007B79A6">
        <w:rPr>
          <w:rStyle w:val="Hyperlink"/>
          <w:vanish/>
          <w:color w:val="E0E0E0"/>
          <w:lang w:val="nl-NL"/>
        </w:rPr>
        <w:t>https://www.rijksictdashboard.nl/</w:t>
      </w:r>
      <w:r w:rsidRPr="007B79A6">
        <w:rPr>
          <w:rStyle w:val="Hyperlink"/>
          <w:vanish/>
          <w:color w:val="E0E0E0"/>
          <w:lang w:val="nl-NL"/>
        </w:rPr>
        <w:fldChar w:fldCharType="end"/>
      </w:r>
      <w:bookmarkEnd w:id="7"/>
      <w:r w:rsidRPr="00E40B9C">
        <w:rPr>
          <w:rFonts w:eastAsia="Times New Roman" w:cs="Arial"/>
          <w:vanish/>
          <w:color w:val="E0E0E0"/>
          <w:lang w:val="nl-NL"/>
        </w:rPr>
        <w:t xml:space="preserve"> wordt informatie, waaronder ICT-kosten, verstrekt over projecten met een ICT-component van meer dan € 5 miljoen. </w:t>
      </w:r>
    </w:p>
    <w:p w14:paraId="62582C1A" w14:textId="77777777" w:rsidR="006E4F30" w:rsidRPr="00E40B9C" w:rsidRDefault="006E4F30" w:rsidP="006E4F30">
      <w:pPr>
        <w:ind w:left="1134"/>
        <w:rPr>
          <w:vanish/>
          <w:color w:val="E0E0E0"/>
          <w:lang w:val="nl-NL"/>
        </w:rPr>
      </w:pPr>
    </w:p>
    <w:p w14:paraId="6BA0CC71" w14:textId="77777777" w:rsidR="006E4F30" w:rsidRPr="00E40B9C" w:rsidRDefault="006E4F30" w:rsidP="006E4F30">
      <w:pPr>
        <w:ind w:left="1134"/>
        <w:rPr>
          <w:vanish/>
          <w:color w:val="E0E0E0"/>
          <w:lang w:val="nl-NL"/>
        </w:rPr>
      </w:pPr>
      <w:r w:rsidRPr="00E40B9C">
        <w:rPr>
          <w:vanish/>
          <w:color w:val="E0E0E0"/>
          <w:lang w:val="nl-NL"/>
        </w:rPr>
        <w:t>De ICT-kosten t.b.v. het Rijks ICT-dashboard omvatten de volgende componenten voor zover zij onderdeel uitmaken van de inschrijvingssom (de door de opdrachtgever ter beschikking gestelde goederen en/of diensten vallen daar niet onder):</w:t>
      </w:r>
    </w:p>
    <w:p w14:paraId="12CFF394" w14:textId="77777777" w:rsidR="006E4F30" w:rsidRPr="00E40B9C" w:rsidRDefault="006E4F30" w:rsidP="006E4F30">
      <w:pPr>
        <w:ind w:left="1134"/>
        <w:rPr>
          <w:vanish/>
          <w:color w:val="E0E0E0"/>
          <w:lang w:val="nl-NL"/>
        </w:rPr>
      </w:pPr>
    </w:p>
    <w:p w14:paraId="4EC0373A" w14:textId="77777777" w:rsidR="006E4F30" w:rsidRPr="00E40B9C" w:rsidRDefault="006E4F30" w:rsidP="006E4F30">
      <w:pPr>
        <w:ind w:left="1134"/>
        <w:rPr>
          <w:vanish/>
          <w:color w:val="E0E0E0"/>
          <w:lang w:val="nl-NL"/>
        </w:rPr>
      </w:pPr>
      <w:r w:rsidRPr="00E40B9C">
        <w:rPr>
          <w:vanish/>
          <w:color w:val="E0E0E0"/>
          <w:lang w:val="nl-NL"/>
        </w:rPr>
        <w:t>A</w:t>
      </w:r>
      <w:r w:rsidRPr="00E40B9C">
        <w:rPr>
          <w:vanish/>
          <w:color w:val="E0E0E0"/>
          <w:lang w:val="nl-NL"/>
        </w:rPr>
        <w:tab/>
        <w:t>Kosten hardware, standaard programmatuur en spraak en data verbindingen</w:t>
      </w:r>
    </w:p>
    <w:p w14:paraId="3F138A55" w14:textId="77777777" w:rsidR="006E4F30" w:rsidRPr="00E40B9C" w:rsidRDefault="006E4F30" w:rsidP="006E4F30">
      <w:pPr>
        <w:ind w:left="1134"/>
        <w:rPr>
          <w:vanish/>
          <w:color w:val="E0E0E0"/>
          <w:lang w:val="nl-NL"/>
        </w:rPr>
      </w:pPr>
    </w:p>
    <w:p w14:paraId="6BAEA5AF" w14:textId="77777777" w:rsidR="006E4F30" w:rsidRPr="00E40B9C" w:rsidRDefault="006E4F30" w:rsidP="006E4F30">
      <w:pPr>
        <w:ind w:left="2058" w:hanging="357"/>
        <w:rPr>
          <w:vanish/>
          <w:color w:val="E0E0E0"/>
          <w:lang w:val="nl-NL"/>
        </w:rPr>
      </w:pPr>
      <w:r w:rsidRPr="00E40B9C">
        <w:rPr>
          <w:vanish/>
          <w:color w:val="E0E0E0"/>
          <w:lang w:val="nl-NL"/>
        </w:rPr>
        <w:t>Hardware</w:t>
      </w:r>
    </w:p>
    <w:p w14:paraId="26171D5E" w14:textId="77777777" w:rsidR="006E4F30" w:rsidRPr="00E40B9C" w:rsidRDefault="006E4F30" w:rsidP="006E4F30">
      <w:pPr>
        <w:pStyle w:val="ListParagraph"/>
        <w:numPr>
          <w:ilvl w:val="8"/>
          <w:numId w:val="2"/>
        </w:numPr>
        <w:ind w:left="2058" w:hanging="357"/>
        <w:contextualSpacing w:val="0"/>
        <w:rPr>
          <w:vanish/>
          <w:color w:val="E0E0E0"/>
          <w:lang w:val="nl-NL"/>
        </w:rPr>
      </w:pPr>
      <w:r w:rsidRPr="00E40B9C">
        <w:rPr>
          <w:vanish/>
          <w:color w:val="E0E0E0"/>
          <w:lang w:val="nl-NL"/>
        </w:rPr>
        <w:t xml:space="preserve">Alle kosten voor computer hardware en telefonie hardware. Hiertoe behoren de aanschaf, lease, afschrijvingen en kosten voor onderhoud van o.a. werkplek apparatuur, faxapparatuur, printers, vaste en mobiele telefoons, mainframes, servers en server racks, modems/routers/switches, telefooncentrales. Ook de uitgaven voor rekencentrumsoftware dienen op deze post verantwoord te worden; </w:t>
      </w:r>
    </w:p>
    <w:p w14:paraId="5FCE5D1D" w14:textId="77777777" w:rsidR="006E4F30" w:rsidRPr="00E40B9C" w:rsidRDefault="006E4F30" w:rsidP="006E4F30">
      <w:pPr>
        <w:pStyle w:val="ListParagraph"/>
        <w:numPr>
          <w:ilvl w:val="8"/>
          <w:numId w:val="2"/>
        </w:numPr>
        <w:ind w:left="2058" w:hanging="357"/>
        <w:contextualSpacing w:val="0"/>
        <w:rPr>
          <w:vanish/>
          <w:color w:val="E0E0E0"/>
          <w:lang w:val="nl-NL"/>
        </w:rPr>
      </w:pPr>
      <w:r w:rsidRPr="00E40B9C">
        <w:rPr>
          <w:vanish/>
          <w:color w:val="E0E0E0"/>
          <w:lang w:val="nl-NL"/>
        </w:rPr>
        <w:t xml:space="preserve">Op deze post worden de volgende uitgaven niet verantwoord: koelingsapparatuur, antennemasten, gebouwbekabeling, verkeerslichten, matrixborden, sensoren, camera’s. </w:t>
      </w:r>
    </w:p>
    <w:p w14:paraId="0AD703B2" w14:textId="77777777" w:rsidR="006E4F30" w:rsidRPr="00E40B9C" w:rsidRDefault="006E4F30" w:rsidP="006E4F30">
      <w:pPr>
        <w:pStyle w:val="Default"/>
        <w:spacing w:line="240" w:lineRule="atLeast"/>
        <w:ind w:left="2058" w:hanging="357"/>
        <w:rPr>
          <w:vanish/>
          <w:color w:val="E0E0E0"/>
          <w:sz w:val="18"/>
          <w:szCs w:val="18"/>
        </w:rPr>
      </w:pPr>
    </w:p>
    <w:p w14:paraId="75B57530" w14:textId="77777777" w:rsidR="006E4F30" w:rsidRPr="00E40B9C" w:rsidRDefault="006E4F30" w:rsidP="006E4F30">
      <w:pPr>
        <w:ind w:left="2058" w:hanging="357"/>
        <w:rPr>
          <w:vanish/>
          <w:color w:val="E0E0E0"/>
          <w:lang w:val="nl-NL"/>
        </w:rPr>
      </w:pPr>
      <w:r w:rsidRPr="00E40B9C">
        <w:rPr>
          <w:vanish/>
          <w:color w:val="E0E0E0"/>
          <w:lang w:val="nl-NL"/>
        </w:rPr>
        <w:t xml:space="preserve">Standaard programmatuur </w:t>
      </w:r>
    </w:p>
    <w:p w14:paraId="4D5DB51D" w14:textId="77777777" w:rsidR="006E4F30" w:rsidRPr="00E40B9C" w:rsidRDefault="006E4F30" w:rsidP="006E4F30">
      <w:pPr>
        <w:pStyle w:val="ListParagraph"/>
        <w:numPr>
          <w:ilvl w:val="8"/>
          <w:numId w:val="2"/>
        </w:numPr>
        <w:ind w:left="2058" w:hanging="357"/>
        <w:contextualSpacing w:val="0"/>
        <w:rPr>
          <w:vanish/>
          <w:color w:val="E0E0E0"/>
          <w:lang w:val="nl-NL"/>
        </w:rPr>
      </w:pPr>
      <w:r w:rsidRPr="00E40B9C">
        <w:rPr>
          <w:vanish/>
          <w:color w:val="E0E0E0"/>
          <w:lang w:val="nl-NL"/>
        </w:rPr>
        <w:t xml:space="preserve">Hieronder wordt verstaan de som van kosten voor aanschaf of afschrijving en onderhoud van licenties voor standaard (‘packaged’) programmatuur, kosten voor (abonnementen voor) SAAS- en IAAS-diensten (software as a service, Infrastructure as a service), kosten voor (broncode) Escrow. </w:t>
      </w:r>
    </w:p>
    <w:p w14:paraId="1EF9EAFC" w14:textId="77777777" w:rsidR="006E4F30" w:rsidRPr="00E40B9C" w:rsidRDefault="006E4F30" w:rsidP="006E4F30">
      <w:pPr>
        <w:ind w:left="2058" w:hanging="357"/>
        <w:rPr>
          <w:vanish/>
          <w:color w:val="E0E0E0"/>
          <w:lang w:val="nl-NL"/>
        </w:rPr>
      </w:pPr>
    </w:p>
    <w:p w14:paraId="74B88A07" w14:textId="77777777" w:rsidR="006E4F30" w:rsidRPr="00E40B9C" w:rsidRDefault="006E4F30" w:rsidP="006E4F30">
      <w:pPr>
        <w:ind w:left="2058" w:hanging="357"/>
        <w:rPr>
          <w:vanish/>
          <w:color w:val="E0E0E0"/>
          <w:lang w:val="nl-NL"/>
        </w:rPr>
      </w:pPr>
      <w:r w:rsidRPr="00E40B9C">
        <w:rPr>
          <w:vanish/>
          <w:color w:val="E0E0E0"/>
          <w:lang w:val="nl-NL"/>
        </w:rPr>
        <w:t xml:space="preserve">Spraak en data verbindingen </w:t>
      </w:r>
    </w:p>
    <w:p w14:paraId="66942F7E" w14:textId="77777777" w:rsidR="006E4F30" w:rsidRPr="00E40B9C" w:rsidRDefault="006E4F30" w:rsidP="006E4F30">
      <w:pPr>
        <w:pStyle w:val="ListParagraph"/>
        <w:numPr>
          <w:ilvl w:val="8"/>
          <w:numId w:val="2"/>
        </w:numPr>
        <w:ind w:left="2058" w:hanging="357"/>
        <w:contextualSpacing w:val="0"/>
        <w:rPr>
          <w:vanish/>
          <w:color w:val="E0E0E0"/>
          <w:lang w:val="nl-NL"/>
        </w:rPr>
      </w:pPr>
      <w:r w:rsidRPr="00E40B9C">
        <w:rPr>
          <w:vanish/>
          <w:color w:val="E0E0E0"/>
          <w:lang w:val="nl-NL"/>
        </w:rPr>
        <w:t xml:space="preserve">Alle uitgaven aan data communicatie waaronder: de kosten van externe data communicatie providers en abonnementen &amp; specifieke kosten voor spraak- en datagebruik (waaronder VoIP) op draagbare communicatie apparatuur. </w:t>
      </w:r>
    </w:p>
    <w:p w14:paraId="5DEEE5D7" w14:textId="77777777" w:rsidR="006E4F30" w:rsidRPr="00E40B9C" w:rsidRDefault="006E4F30" w:rsidP="006E4F30">
      <w:pPr>
        <w:pStyle w:val="Default"/>
        <w:ind w:left="2058" w:hanging="357"/>
        <w:rPr>
          <w:vanish/>
          <w:color w:val="E0E0E0"/>
          <w:sz w:val="18"/>
          <w:szCs w:val="18"/>
        </w:rPr>
      </w:pPr>
    </w:p>
    <w:p w14:paraId="30F4469E" w14:textId="77777777" w:rsidR="006E4F30" w:rsidRPr="00E40B9C" w:rsidRDefault="006E4F30" w:rsidP="006E4F30">
      <w:pPr>
        <w:ind w:left="1134"/>
        <w:rPr>
          <w:vanish/>
          <w:color w:val="E0E0E0"/>
          <w:lang w:val="nl-NL"/>
        </w:rPr>
      </w:pPr>
      <w:r w:rsidRPr="00E40B9C">
        <w:rPr>
          <w:vanish/>
          <w:color w:val="E0E0E0"/>
          <w:lang w:val="nl-NL"/>
        </w:rPr>
        <w:t>B</w:t>
      </w:r>
      <w:r w:rsidRPr="00E40B9C">
        <w:rPr>
          <w:vanish/>
          <w:color w:val="E0E0E0"/>
          <w:lang w:val="nl-NL"/>
        </w:rPr>
        <w:tab/>
        <w:t xml:space="preserve">Kosten personeel (waaronder inhuur) ten behoeve van ICT onderdelen. </w:t>
      </w:r>
    </w:p>
    <w:p w14:paraId="2645E940" w14:textId="77777777" w:rsidR="006E4F30" w:rsidRPr="00E40B9C" w:rsidRDefault="006E4F30" w:rsidP="006E4F30">
      <w:pPr>
        <w:ind w:left="1134"/>
        <w:rPr>
          <w:vanish/>
          <w:color w:val="E0E0E0"/>
          <w:lang w:val="nl-NL"/>
        </w:rPr>
      </w:pPr>
    </w:p>
    <w:p w14:paraId="63120B86" w14:textId="77777777" w:rsidR="006E4F30" w:rsidRPr="00E40B9C" w:rsidRDefault="006E4F30" w:rsidP="006E4F30">
      <w:pPr>
        <w:ind w:left="1134"/>
        <w:rPr>
          <w:vanish/>
          <w:color w:val="E0E0E0"/>
          <w:lang w:val="nl-NL"/>
        </w:rPr>
      </w:pPr>
      <w:r w:rsidRPr="00E40B9C">
        <w:rPr>
          <w:vanish/>
          <w:color w:val="E0E0E0"/>
          <w:lang w:val="nl-NL"/>
        </w:rPr>
        <w:t>C</w:t>
      </w:r>
      <w:r w:rsidRPr="00E40B9C">
        <w:rPr>
          <w:vanish/>
          <w:color w:val="E0E0E0"/>
          <w:lang w:val="nl-NL"/>
        </w:rPr>
        <w:tab/>
        <w:t xml:space="preserve">Kosten uitbestede ICT-diensten aan ICT leveranciers </w:t>
      </w:r>
    </w:p>
    <w:p w14:paraId="4650F443" w14:textId="77777777" w:rsidR="006E4F30" w:rsidRPr="00E40B9C" w:rsidRDefault="006E4F30" w:rsidP="006E4F30">
      <w:pPr>
        <w:pStyle w:val="ListParagraph"/>
        <w:numPr>
          <w:ilvl w:val="8"/>
          <w:numId w:val="2"/>
        </w:numPr>
        <w:ind w:left="2058" w:hanging="357"/>
        <w:contextualSpacing w:val="0"/>
        <w:rPr>
          <w:vanish/>
          <w:color w:val="E0E0E0"/>
          <w:lang w:val="nl-NL"/>
        </w:rPr>
      </w:pPr>
      <w:r w:rsidRPr="00E40B9C">
        <w:rPr>
          <w:vanish/>
          <w:color w:val="E0E0E0"/>
          <w:lang w:val="nl-NL"/>
        </w:rPr>
        <w:t xml:space="preserve">hosting diensten, huur datacenter ruimte, afschrijvingen van geactiveerde diensten en maatwerk programmatuur. </w:t>
      </w:r>
    </w:p>
    <w:p w14:paraId="2AB78D5A" w14:textId="77777777" w:rsidR="006E4F30" w:rsidRPr="00E40B9C" w:rsidRDefault="006E4F30" w:rsidP="006E4F30">
      <w:pPr>
        <w:ind w:left="2058" w:hanging="357"/>
        <w:rPr>
          <w:vanish/>
          <w:color w:val="E0E0E0"/>
          <w:lang w:val="nl-NL"/>
        </w:rPr>
      </w:pPr>
    </w:p>
    <w:p w14:paraId="5EB67575" w14:textId="77777777" w:rsidR="006E4F30" w:rsidRPr="00E40B9C" w:rsidRDefault="006E4F30" w:rsidP="006E4F30">
      <w:pPr>
        <w:ind w:left="1491" w:hanging="357"/>
        <w:rPr>
          <w:vanish/>
          <w:color w:val="E0E0E0"/>
          <w:lang w:val="nl-NL"/>
        </w:rPr>
      </w:pPr>
      <w:r w:rsidRPr="00E40B9C">
        <w:rPr>
          <w:vanish/>
          <w:color w:val="E0E0E0"/>
          <w:lang w:val="nl-NL"/>
        </w:rPr>
        <w:t>D</w:t>
      </w:r>
      <w:r w:rsidRPr="00E40B9C">
        <w:rPr>
          <w:vanish/>
          <w:color w:val="E0E0E0"/>
          <w:lang w:val="nl-NL"/>
        </w:rPr>
        <w:tab/>
        <w:t>Kosten voor opleiding van bediend personeel (van opdrachtgever).</w:t>
      </w:r>
    </w:p>
    <w:p w14:paraId="18C4F973" w14:textId="77777777" w:rsidR="006E4F30" w:rsidRPr="00E40B9C" w:rsidRDefault="006E4F30" w:rsidP="006E4F30">
      <w:pPr>
        <w:ind w:left="1491" w:hanging="357"/>
        <w:rPr>
          <w:vanish/>
          <w:color w:val="E0E0E0"/>
          <w:lang w:val="nl-NL"/>
        </w:rPr>
      </w:pPr>
    </w:p>
    <w:p w14:paraId="57A2727D" w14:textId="77777777" w:rsidR="006E4F30" w:rsidRPr="00E40B9C" w:rsidRDefault="006E4F30" w:rsidP="006E4F30">
      <w:pPr>
        <w:ind w:left="1491" w:hanging="357"/>
        <w:rPr>
          <w:vanish/>
          <w:color w:val="E0E0E0"/>
          <w:lang w:val="nl-NL"/>
        </w:rPr>
      </w:pPr>
      <w:r w:rsidRPr="00E40B9C">
        <w:rPr>
          <w:vanish/>
          <w:color w:val="E0E0E0"/>
          <w:lang w:val="nl-NL"/>
        </w:rPr>
        <w:t>E</w:t>
      </w:r>
      <w:r w:rsidRPr="00E40B9C">
        <w:rPr>
          <w:vanish/>
          <w:color w:val="E0E0E0"/>
          <w:lang w:val="nl-NL"/>
        </w:rPr>
        <w:tab/>
        <w:t>Opslag voor algemene kosten, winst en risico.</w:t>
      </w:r>
    </w:p>
    <w:p w14:paraId="0E0F0AB7" w14:textId="77777777" w:rsidR="006E4F30" w:rsidRPr="00E40B9C" w:rsidRDefault="006E4F30" w:rsidP="006E4F30">
      <w:pPr>
        <w:ind w:left="1491" w:hanging="357"/>
        <w:rPr>
          <w:vanish/>
          <w:color w:val="E0E0E0"/>
          <w:lang w:val="nl-NL"/>
        </w:rPr>
      </w:pPr>
    </w:p>
    <w:p w14:paraId="721AD822" w14:textId="77777777" w:rsidR="006E4F30" w:rsidRPr="00E40B9C" w:rsidRDefault="006E4F30" w:rsidP="006E4F30">
      <w:pPr>
        <w:ind w:left="1134"/>
        <w:rPr>
          <w:rFonts w:eastAsia="Times New Roman" w:cs="Arial"/>
          <w:vanish/>
          <w:color w:val="E0E0E0"/>
          <w:u w:val="single"/>
          <w:lang w:val="nl-NL"/>
        </w:rPr>
      </w:pPr>
      <w:r w:rsidRPr="00E40B9C">
        <w:rPr>
          <w:rFonts w:eastAsia="Times New Roman" w:cs="Arial"/>
          <w:vanish/>
          <w:color w:val="E0E0E0"/>
          <w:u w:val="single"/>
          <w:lang w:val="nl-NL"/>
        </w:rPr>
        <w:t xml:space="preserve">Nadere toelichting op A: </w:t>
      </w:r>
      <w:r w:rsidRPr="00E40B9C">
        <w:rPr>
          <w:vanish/>
          <w:color w:val="E0E0E0"/>
          <w:u w:val="single"/>
          <w:lang w:val="nl-NL"/>
        </w:rPr>
        <w:t>hardware, standaard programmatuur en spraak en data verbindingen.</w:t>
      </w:r>
    </w:p>
    <w:p w14:paraId="0AE27F66" w14:textId="77777777" w:rsidR="006E4F30" w:rsidRPr="00E40B9C" w:rsidRDefault="006E4F30" w:rsidP="006E4F30">
      <w:pPr>
        <w:ind w:left="1491" w:hanging="357"/>
        <w:rPr>
          <w:rFonts w:eastAsia="Times New Roman" w:cs="Arial"/>
          <w:vanish/>
          <w:color w:val="E0E0E0"/>
          <w:lang w:val="nl-NL"/>
        </w:rPr>
      </w:pPr>
    </w:p>
    <w:p w14:paraId="2E3E2706" w14:textId="77777777" w:rsidR="006E4F30" w:rsidRPr="00E40B9C" w:rsidRDefault="006E4F30" w:rsidP="006E4F30">
      <w:pPr>
        <w:ind w:left="1134"/>
        <w:rPr>
          <w:rFonts w:eastAsia="Times New Roman" w:cs="Arial"/>
          <w:vanish/>
          <w:color w:val="E0E0E0"/>
          <w:lang w:val="nl-NL"/>
        </w:rPr>
      </w:pPr>
      <w:r w:rsidRPr="00E40B9C">
        <w:rPr>
          <w:vanish/>
          <w:color w:val="E0E0E0"/>
          <w:lang w:val="nl-NL"/>
        </w:rPr>
        <w:t xml:space="preserve">Bij de GWW-projecten van Rijkswaterstaat is </w:t>
      </w:r>
      <w:r w:rsidRPr="00E40B9C">
        <w:rPr>
          <w:rFonts w:eastAsia="Times New Roman" w:cs="Arial"/>
          <w:vanish/>
          <w:color w:val="E0E0E0"/>
          <w:lang w:val="nl-NL"/>
        </w:rPr>
        <w:t>de ICT gekoppeld aan fysieke objecten c.q. installaties. Er is een beschrijving van het koppelvlak gemaakt, die door alle projecten gelijk kan worden gehanteerd.</w:t>
      </w:r>
    </w:p>
    <w:p w14:paraId="216BE926" w14:textId="77777777" w:rsidR="006E4F30" w:rsidRPr="00E40B9C" w:rsidRDefault="006E4F30" w:rsidP="006E4F30">
      <w:pPr>
        <w:ind w:left="1134"/>
        <w:rPr>
          <w:rFonts w:ascii="Arial" w:eastAsia="Times New Roman" w:hAnsi="Arial" w:cs="Arial"/>
          <w:b/>
          <w:vanish/>
          <w:color w:val="E0E0E0"/>
          <w:lang w:val="nl-NL"/>
        </w:rPr>
      </w:pPr>
    </w:p>
    <w:p w14:paraId="43DC13B9" w14:textId="77777777" w:rsidR="006E4F30" w:rsidRPr="00E40B9C" w:rsidRDefault="006E4F30" w:rsidP="006E4F30">
      <w:pPr>
        <w:ind w:left="1134"/>
        <w:rPr>
          <w:vanish/>
          <w:color w:val="E0E0E0"/>
          <w:lang w:val="nl-NL"/>
        </w:rPr>
      </w:pPr>
      <w:r w:rsidRPr="00E40B9C">
        <w:rPr>
          <w:vanish/>
          <w:color w:val="E0E0E0"/>
          <w:lang w:val="nl-NL"/>
        </w:rPr>
        <w:t xml:space="preserve">De ICT bij GWW-projecten omvat het bedienings- en besturingsdeel en de interactie met de bedienaar en de installaties. Er wordt het 3-lagen model gehanteerd, namelijk MMI (Mens Machine Interface), 3B (Bediening, Besturing, Bewaking) en LFV (Logische functie vervuller). Voor de ICT-kosten </w:t>
      </w:r>
      <w:r w:rsidRPr="00E40B9C">
        <w:rPr>
          <w:rFonts w:eastAsia="Times New Roman" w:cs="Arial"/>
          <w:vanish/>
          <w:color w:val="E0E0E0"/>
          <w:lang w:val="nl-NL"/>
        </w:rPr>
        <w:t>is afgesproken dat laag 1 en 2 (zie figuur hieronder) worden meegenomen. Laag 3 wordt uitgesloten omdat de financiële omvang van deze componenten (sensoren en actuatoren) zeer gering is en het gaat om standaardcomponenten die geïntegreerd zitten in de eigenlijke LFV (bijvoorbeeld een tunnelventilator die als geheel van de markt wordt betrokken).</w:t>
      </w:r>
    </w:p>
    <w:p w14:paraId="6CED6D88" w14:textId="77777777" w:rsidR="006E4F30" w:rsidRPr="00E40B9C" w:rsidRDefault="006E4F30" w:rsidP="006E4F30">
      <w:pPr>
        <w:numPr>
          <w:ilvl w:val="0"/>
          <w:numId w:val="3"/>
        </w:numPr>
        <w:tabs>
          <w:tab w:val="left" w:pos="527"/>
        </w:tabs>
        <w:autoSpaceDE w:val="0"/>
        <w:autoSpaceDN w:val="0"/>
        <w:adjustRightInd w:val="0"/>
        <w:spacing w:before="120"/>
        <w:ind w:left="1491" w:hanging="357"/>
        <w:rPr>
          <w:rFonts w:eastAsia="Times New Roman" w:cs="Arial"/>
          <w:vanish/>
          <w:color w:val="E0E0E0"/>
          <w:lang w:val="nl-NL"/>
        </w:rPr>
      </w:pPr>
      <w:r w:rsidRPr="00E40B9C">
        <w:rPr>
          <w:rFonts w:eastAsia="Times New Roman" w:cs="Arial"/>
          <w:vanish/>
          <w:color w:val="E0E0E0"/>
          <w:lang w:val="nl-NL"/>
        </w:rPr>
        <w:t>De bediening, die het technisch ICT systeem de operator biedt is de MMI (Mens Machine Interface). Deze MMI is in overeenstemming met het vastgestelde operationele bedieningsproces. De MMI wordt gewoonlijk gepresenteerd op een centrale werkplek. Bij uitval van de centrale bedienplek is er een fall-back bedienplek op het lokale object. De MMI omvat gewoonlijk het grafisch procesbeeld GUI (Graphical User Interface) van het SCADA systeem (zie hierna), videobeelden, audio voorziening voor communicatie, een eventuele noodstop of calamiteitenknop en specifieke knoppen voor knoppenbediening.</w:t>
      </w:r>
    </w:p>
    <w:p w14:paraId="6B8FE5A0" w14:textId="77777777" w:rsidR="006E4F30" w:rsidRPr="00E40B9C" w:rsidRDefault="006E4F30" w:rsidP="006E4F30">
      <w:pPr>
        <w:numPr>
          <w:ilvl w:val="0"/>
          <w:numId w:val="3"/>
        </w:numPr>
        <w:tabs>
          <w:tab w:val="left" w:pos="527"/>
        </w:tabs>
        <w:autoSpaceDE w:val="0"/>
        <w:autoSpaceDN w:val="0"/>
        <w:adjustRightInd w:val="0"/>
        <w:spacing w:before="120"/>
        <w:ind w:left="1491" w:hanging="357"/>
        <w:rPr>
          <w:rFonts w:eastAsia="Times New Roman" w:cs="Arial"/>
          <w:vanish/>
          <w:color w:val="E0E0E0"/>
          <w:lang w:val="nl-NL"/>
        </w:rPr>
      </w:pPr>
      <w:r w:rsidRPr="00E40B9C">
        <w:rPr>
          <w:rFonts w:eastAsia="Times New Roman" w:cs="Arial"/>
          <w:vanish/>
          <w:color w:val="E0E0E0"/>
          <w:lang w:val="nl-NL"/>
        </w:rPr>
        <w:t xml:space="preserve">Het technisch ICT systeem, ook bediening en besturingssysteem, kortweg besturingssysteem of 3B systeem (Bediening, Besturing, Bewaking) genoemd. Dit ICT systeem bestaat uit een bediening hardware/software (HW/SW) systeem dat de MMI verzorgt en een HW/SW systeem dat de besturing van de installatieonderdelen verzorgt. </w:t>
      </w:r>
    </w:p>
    <w:p w14:paraId="0A6928A2" w14:textId="77777777" w:rsidR="006E4F30" w:rsidRPr="00E40B9C" w:rsidRDefault="006E4F30" w:rsidP="006E4F30">
      <w:pPr>
        <w:numPr>
          <w:ilvl w:val="0"/>
          <w:numId w:val="4"/>
        </w:numPr>
        <w:autoSpaceDE w:val="0"/>
        <w:autoSpaceDN w:val="0"/>
        <w:adjustRightInd w:val="0"/>
        <w:spacing w:before="120"/>
        <w:ind w:left="1848" w:hanging="357"/>
        <w:rPr>
          <w:rFonts w:eastAsia="Times New Roman" w:cs="Arial"/>
          <w:vanish/>
          <w:color w:val="E0E0E0"/>
          <w:lang w:val="nl-NL"/>
        </w:rPr>
      </w:pPr>
      <w:r w:rsidRPr="00E40B9C">
        <w:rPr>
          <w:rFonts w:eastAsia="Times New Roman" w:cs="Arial"/>
          <w:vanish/>
          <w:color w:val="E0E0E0"/>
          <w:lang w:val="nl-NL"/>
        </w:rPr>
        <w:t>De procesbediening (HW/SW) van het te besturen industriële automatisering (IA) object is gericht op de mens. De bediening is gewoonlijk gerealiseerd op een SCADA systeem (Supervisory Control and Data Acquisition).</w:t>
      </w:r>
    </w:p>
    <w:p w14:paraId="7F488BEA" w14:textId="77777777" w:rsidR="006E4F30" w:rsidRPr="00E40B9C" w:rsidRDefault="006E4F30" w:rsidP="006E4F30">
      <w:pPr>
        <w:numPr>
          <w:ilvl w:val="0"/>
          <w:numId w:val="4"/>
        </w:numPr>
        <w:autoSpaceDE w:val="0"/>
        <w:autoSpaceDN w:val="0"/>
        <w:adjustRightInd w:val="0"/>
        <w:spacing w:before="120"/>
        <w:ind w:left="1848" w:hanging="357"/>
        <w:rPr>
          <w:rFonts w:eastAsia="Times New Roman" w:cs="Arial"/>
          <w:vanish/>
          <w:color w:val="E0E0E0"/>
          <w:lang w:val="nl-NL"/>
        </w:rPr>
      </w:pPr>
      <w:r w:rsidRPr="00E40B9C">
        <w:rPr>
          <w:rFonts w:eastAsia="Times New Roman" w:cs="Arial"/>
          <w:vanish/>
          <w:color w:val="E0E0E0"/>
          <w:lang w:val="nl-NL"/>
        </w:rPr>
        <w:t>De besturing van de installaties. Deze besturing is gewoonlijk gerealiseerd op PLC’s (Programmable Logic Controllers).</w:t>
      </w:r>
    </w:p>
    <w:p w14:paraId="1D2C91A3" w14:textId="77777777" w:rsidR="006E4F30" w:rsidRPr="00E40B9C" w:rsidRDefault="006E4F30" w:rsidP="006E4F30">
      <w:pPr>
        <w:numPr>
          <w:ilvl w:val="0"/>
          <w:numId w:val="3"/>
        </w:numPr>
        <w:tabs>
          <w:tab w:val="left" w:pos="527"/>
        </w:tabs>
        <w:autoSpaceDE w:val="0"/>
        <w:autoSpaceDN w:val="0"/>
        <w:adjustRightInd w:val="0"/>
        <w:spacing w:before="120"/>
        <w:ind w:left="1491" w:hanging="357"/>
        <w:rPr>
          <w:rFonts w:eastAsia="Times New Roman" w:cs="Arial"/>
          <w:vanish/>
          <w:color w:val="E0E0E0"/>
          <w:lang w:val="nl-NL"/>
        </w:rPr>
      </w:pPr>
      <w:r w:rsidRPr="00E40B9C">
        <w:rPr>
          <w:rFonts w:eastAsia="Times New Roman" w:cs="Arial"/>
          <w:vanish/>
          <w:color w:val="E0E0E0"/>
          <w:lang w:val="nl-NL"/>
        </w:rPr>
        <w:t xml:space="preserve">De installaties, de aansturing op het grensvlak met de fysieke installaties is functioneel beschreven als LFV (Logische Functie Vervuller) (bijv. de wijze waarop ventileren wordt aangestuurd, zonder een specifieke fysieke technische uitvoering van bijvoorbeeld fabrikant x te noemen). </w:t>
      </w:r>
    </w:p>
    <w:p w14:paraId="51DBD6FB" w14:textId="77777777" w:rsidR="006E4F30" w:rsidRPr="00E40B9C" w:rsidRDefault="006E4F30" w:rsidP="006E4F30">
      <w:pPr>
        <w:ind w:left="1491" w:hanging="357"/>
        <w:rPr>
          <w:rFonts w:eastAsia="Times New Roman" w:cs="Arial"/>
          <w:vanish/>
          <w:color w:val="E0E0E0"/>
          <w:lang w:val="nl-NL"/>
        </w:rPr>
      </w:pPr>
    </w:p>
    <w:p w14:paraId="79D340EF" w14:textId="77777777" w:rsidR="006E4F30" w:rsidRPr="00E40B9C" w:rsidRDefault="006E4F30" w:rsidP="006E4F30">
      <w:pPr>
        <w:ind w:left="1134"/>
        <w:rPr>
          <w:rFonts w:eastAsia="Times New Roman" w:cs="Arial"/>
          <w:vanish/>
          <w:color w:val="E0E0E0"/>
          <w:lang w:val="nl-NL"/>
        </w:rPr>
      </w:pPr>
      <w:r w:rsidRPr="00E40B9C">
        <w:rPr>
          <w:rFonts w:eastAsia="Times New Roman" w:cs="Arial"/>
          <w:vanish/>
          <w:color w:val="E0E0E0"/>
          <w:lang w:val="nl-NL"/>
        </w:rPr>
        <w:t>Onderstaand schema illustreert bovenstaande beschrijving, waarbij de roodomrande gedeelten tot de ICT componenten in een GWW-project worden gerekend.</w:t>
      </w:r>
    </w:p>
    <w:p w14:paraId="386F044A" w14:textId="77777777" w:rsidR="006E4F30" w:rsidRPr="00E40B9C" w:rsidRDefault="006E4F30" w:rsidP="006E4F30">
      <w:pPr>
        <w:ind w:left="1134"/>
        <w:rPr>
          <w:rFonts w:eastAsia="Times New Roman" w:cs="Arial"/>
          <w:b/>
          <w:vanish/>
          <w:color w:val="E0E0E0"/>
          <w:lang w:val="nl-NL"/>
        </w:rPr>
      </w:pPr>
    </w:p>
    <w:p w14:paraId="16046147" w14:textId="77777777" w:rsidR="006E4F30" w:rsidRPr="00E40B9C" w:rsidRDefault="006E4F30" w:rsidP="006E4F30">
      <w:pPr>
        <w:ind w:left="1134"/>
        <w:rPr>
          <w:rFonts w:eastAsia="Times New Roman" w:cs="Arial"/>
          <w:vanish/>
          <w:color w:val="E0E0E0"/>
          <w:lang w:val="nl-NL"/>
        </w:rPr>
      </w:pPr>
      <w:r w:rsidRPr="00E40B9C">
        <w:rPr>
          <w:noProof/>
          <w:vanish/>
          <w:color w:val="E0E0E0"/>
          <w:lang w:val="nl-NL" w:eastAsia="nl-NL"/>
        </w:rPr>
        <w:drawing>
          <wp:anchor distT="0" distB="0" distL="114300" distR="114300" simplePos="0" relativeHeight="251659264" behindDoc="0" locked="0" layoutInCell="1" allowOverlap="1" wp14:anchorId="0679A736" wp14:editId="0410751F">
            <wp:simplePos x="0" y="0"/>
            <wp:positionH relativeFrom="margin">
              <wp:posOffset>703580</wp:posOffset>
            </wp:positionH>
            <wp:positionV relativeFrom="margin">
              <wp:posOffset>-48260</wp:posOffset>
            </wp:positionV>
            <wp:extent cx="5212715" cy="4046220"/>
            <wp:effectExtent l="19050" t="19050" r="6985"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extLst>
                        <a:ext uri="{28A0092B-C50C-407E-A947-70E740481C1C}">
                          <a14:useLocalDpi xmlns:a14="http://schemas.microsoft.com/office/drawing/2010/main" val="0"/>
                        </a:ext>
                      </a:extLst>
                    </a:blip>
                    <a:srcRect l="59248" t="21445" r="12246" b="5484"/>
                    <a:stretch/>
                  </pic:blipFill>
                  <pic:spPr bwMode="auto">
                    <a:xfrm>
                      <a:off x="0" y="0"/>
                      <a:ext cx="5212715" cy="4046220"/>
                    </a:xfrm>
                    <a:prstGeom prst="rect">
                      <a:avLst/>
                    </a:prstGeom>
                    <a:ln>
                      <a:solidFill>
                        <a:schemeClr val="tx2"/>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14A4D4" w14:textId="77777777" w:rsidR="006E4F30" w:rsidRPr="00E40B9C" w:rsidRDefault="006E4F30" w:rsidP="006E4F30">
      <w:pPr>
        <w:ind w:left="1134"/>
        <w:rPr>
          <w:rFonts w:eastAsia="Times New Roman" w:cs="Arial"/>
          <w:vanish/>
          <w:color w:val="E0E0E0"/>
          <w:lang w:val="nl-NL"/>
        </w:rPr>
      </w:pPr>
    </w:p>
    <w:p w14:paraId="50043028" w14:textId="77777777" w:rsidR="006E4F30" w:rsidRPr="00E40B9C" w:rsidRDefault="006E4F30" w:rsidP="006E4F30">
      <w:pPr>
        <w:ind w:left="1134"/>
        <w:rPr>
          <w:rFonts w:eastAsia="Times New Roman"/>
          <w:vanish/>
          <w:color w:val="E0E0E0"/>
          <w:lang w:val="nl-NL"/>
        </w:rPr>
      </w:pPr>
      <w:r w:rsidRPr="00E40B9C">
        <w:rPr>
          <w:rFonts w:eastAsia="Times New Roman"/>
          <w:vanish/>
          <w:color w:val="E0E0E0"/>
          <w:lang w:val="nl-NL"/>
        </w:rPr>
        <w:t>Onderstaande tabel refer</w:t>
      </w:r>
    </w:p>
    <w:p w14:paraId="4BB851E3" w14:textId="77777777" w:rsidR="006E4F30" w:rsidRPr="00E40B9C" w:rsidRDefault="006E4F30" w:rsidP="006E4F30">
      <w:pPr>
        <w:ind w:left="1134"/>
        <w:rPr>
          <w:rFonts w:eastAsia="Times New Roman"/>
          <w:vanish/>
          <w:color w:val="E0E0E0"/>
          <w:lang w:val="nl-NL"/>
        </w:rPr>
      </w:pPr>
    </w:p>
    <w:p w14:paraId="792A45C2" w14:textId="77777777" w:rsidR="006E4F30" w:rsidRPr="00E40B9C" w:rsidRDefault="006E4F30" w:rsidP="006E4F30">
      <w:pPr>
        <w:ind w:left="1134"/>
        <w:rPr>
          <w:rFonts w:eastAsia="Times New Roman"/>
          <w:vanish/>
          <w:color w:val="E0E0E0"/>
          <w:lang w:val="nl-NL"/>
        </w:rPr>
      </w:pPr>
      <w:r w:rsidRPr="00E40B9C">
        <w:rPr>
          <w:rFonts w:eastAsia="Times New Roman"/>
          <w:vanish/>
          <w:color w:val="E0E0E0"/>
          <w:lang w:val="nl-NL"/>
        </w:rPr>
        <w:t>Onderstaande tabel refereert aan de nummering in de figuur. De gearceerde vlakken behoren tot de ICT in een GWW-project.</w:t>
      </w:r>
    </w:p>
    <w:p w14:paraId="65C30A93" w14:textId="77777777" w:rsidR="006E4F30" w:rsidRPr="00E40B9C" w:rsidRDefault="006E4F30" w:rsidP="006E4F30">
      <w:pPr>
        <w:ind w:left="1134"/>
        <w:rPr>
          <w:rFonts w:eastAsia="Times New Roman"/>
          <w:vanish/>
          <w:color w:val="E0E0E0"/>
          <w:lang w:val="nl-NL"/>
        </w:rPr>
      </w:pPr>
    </w:p>
    <w:p w14:paraId="051C0CEF" w14:textId="77777777" w:rsidR="006E4F30" w:rsidRDefault="006E4F30"/>
    <w:sectPr w:rsidR="006E4F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645AB"/>
    <w:multiLevelType w:val="multilevel"/>
    <w:tmpl w:val="C452FC14"/>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rPr>
        <w:sz w:val="18"/>
        <w:szCs w:val="18"/>
      </w:rPr>
    </w:lvl>
  </w:abstractNum>
  <w:abstractNum w:abstractNumId="1" w15:restartNumberingAfterBreak="0">
    <w:nsid w:val="235E000C"/>
    <w:multiLevelType w:val="hybridMultilevel"/>
    <w:tmpl w:val="05D4D976"/>
    <w:lvl w:ilvl="0" w:tplc="04130001">
      <w:start w:val="1"/>
      <w:numFmt w:val="bullet"/>
      <w:lvlText w:val=""/>
      <w:lvlJc w:val="left"/>
      <w:pPr>
        <w:tabs>
          <w:tab w:val="num" w:pos="720"/>
        </w:tabs>
        <w:ind w:left="720" w:hanging="360"/>
      </w:pPr>
      <w:rPr>
        <w:rFonts w:ascii="Symbol" w:hAnsi="Symbol" w:hint="default"/>
      </w:rPr>
    </w:lvl>
    <w:lvl w:ilvl="1" w:tplc="04130005">
      <w:start w:val="1"/>
      <w:numFmt w:val="bullet"/>
      <w:lvlText w:val=""/>
      <w:lvlJc w:val="left"/>
      <w:pPr>
        <w:tabs>
          <w:tab w:val="num" w:pos="1440"/>
        </w:tabs>
        <w:ind w:left="1440" w:hanging="360"/>
      </w:pPr>
      <w:rPr>
        <w:rFonts w:ascii="Wingdings" w:hAnsi="Wingding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25770466"/>
    <w:multiLevelType w:val="multilevel"/>
    <w:tmpl w:val="7366706A"/>
    <w:lvl w:ilvl="0">
      <w:start w:val="1"/>
      <w:numFmt w:val="upperLetter"/>
      <w:pStyle w:val="BijlageGenummerdKop"/>
      <w:lvlText w:val="Bijlage %1"/>
      <w:lvlJc w:val="left"/>
      <w:pPr>
        <w:tabs>
          <w:tab w:val="num" w:pos="2126"/>
        </w:tabs>
        <w:ind w:left="2126"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 w15:restartNumberingAfterBreak="0">
    <w:nsid w:val="31A95DFC"/>
    <w:multiLevelType w:val="hybridMultilevel"/>
    <w:tmpl w:val="CBB20662"/>
    <w:lvl w:ilvl="0" w:tplc="98E4E630">
      <w:start w:val="1"/>
      <w:numFmt w:val="decimal"/>
      <w:pStyle w:val="ListParagraph"/>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5EEB308B"/>
    <w:multiLevelType w:val="hybridMultilevel"/>
    <w:tmpl w:val="8F342E70"/>
    <w:lvl w:ilvl="0" w:tplc="0413000F">
      <w:start w:val="1"/>
      <w:numFmt w:val="decimal"/>
      <w:lvlText w:val="%1."/>
      <w:lvlJc w:val="left"/>
      <w:pPr>
        <w:tabs>
          <w:tab w:val="num" w:pos="360"/>
        </w:tabs>
        <w:ind w:left="360" w:hanging="360"/>
      </w:pPr>
    </w:lvl>
    <w:lvl w:ilvl="1" w:tplc="04130005">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30"/>
    <w:rsid w:val="003A27A8"/>
    <w:rsid w:val="00522C8B"/>
    <w:rsid w:val="006E4F30"/>
    <w:rsid w:val="00A414A8"/>
    <w:rsid w:val="00B402CB"/>
    <w:rsid w:val="00C7721C"/>
    <w:rsid w:val="00EF50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02BB"/>
  <w15:chartTrackingRefBased/>
  <w15:docId w15:val="{ED678754-038C-4DDF-8CC7-35198B45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1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6"/>
    <w:rsid w:val="006E4F30"/>
    <w:pPr>
      <w:spacing w:after="0" w:line="240" w:lineRule="atLeast"/>
    </w:pPr>
    <w:rPr>
      <w:rFonts w:ascii="Verdana" w:hAnsi="Verdana"/>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jlageGenummerdParagraaf">
    <w:name w:val="BijlageGenummerdParagraaf"/>
    <w:basedOn w:val="Normal"/>
    <w:next w:val="Normal"/>
    <w:uiPriority w:val="12"/>
    <w:qFormat/>
    <w:rsid w:val="006E4F30"/>
    <w:pPr>
      <w:numPr>
        <w:ilvl w:val="1"/>
        <w:numId w:val="1"/>
      </w:numPr>
      <w:tabs>
        <w:tab w:val="left" w:pos="227"/>
        <w:tab w:val="left" w:pos="454"/>
        <w:tab w:val="left" w:pos="680"/>
      </w:tabs>
      <w:autoSpaceDE w:val="0"/>
      <w:autoSpaceDN w:val="0"/>
      <w:adjustRightInd w:val="0"/>
      <w:spacing w:before="240"/>
      <w:outlineLvl w:val="1"/>
    </w:pPr>
    <w:rPr>
      <w:b/>
    </w:rPr>
  </w:style>
  <w:style w:type="paragraph" w:customStyle="1" w:styleId="BijlageGenummerdSubparagraaf">
    <w:name w:val="BijlageGenummerdSubparagraaf"/>
    <w:basedOn w:val="Normal"/>
    <w:next w:val="Normal"/>
    <w:uiPriority w:val="12"/>
    <w:qFormat/>
    <w:rsid w:val="006E4F30"/>
    <w:pPr>
      <w:numPr>
        <w:ilvl w:val="2"/>
        <w:numId w:val="1"/>
      </w:numPr>
      <w:tabs>
        <w:tab w:val="left" w:pos="227"/>
        <w:tab w:val="left" w:pos="454"/>
        <w:tab w:val="left" w:pos="680"/>
      </w:tabs>
      <w:autoSpaceDE w:val="0"/>
      <w:autoSpaceDN w:val="0"/>
      <w:adjustRightInd w:val="0"/>
      <w:spacing w:before="240"/>
      <w:outlineLvl w:val="2"/>
    </w:pPr>
    <w:rPr>
      <w:i/>
    </w:rPr>
  </w:style>
  <w:style w:type="paragraph" w:customStyle="1" w:styleId="BijlageGenummerdKop">
    <w:name w:val="BijlageGenummerdKop"/>
    <w:next w:val="Normal"/>
    <w:uiPriority w:val="12"/>
    <w:qFormat/>
    <w:rsid w:val="006E4F30"/>
    <w:pPr>
      <w:pageBreakBefore/>
      <w:numPr>
        <w:numId w:val="1"/>
      </w:numPr>
      <w:tabs>
        <w:tab w:val="clear" w:pos="2126"/>
        <w:tab w:val="num" w:pos="0"/>
      </w:tabs>
      <w:spacing w:after="660" w:line="300" w:lineRule="atLeast"/>
      <w:ind w:left="0"/>
      <w:outlineLvl w:val="0"/>
    </w:pPr>
    <w:rPr>
      <w:rFonts w:ascii="Verdana" w:eastAsia="DejaVu Sans" w:hAnsi="Verdana" w:cs="Times New Roman"/>
      <w:color w:val="000000"/>
      <w:sz w:val="24"/>
      <w:szCs w:val="18"/>
      <w:lang w:eastAsia="nl-NL"/>
    </w:rPr>
  </w:style>
  <w:style w:type="paragraph" w:customStyle="1" w:styleId="BijlageGenummerdKop2">
    <w:name w:val="BijlageGenummerdKop2"/>
    <w:basedOn w:val="BijlageGenummerdKop"/>
    <w:uiPriority w:val="16"/>
    <w:rsid w:val="006E4F30"/>
    <w:pPr>
      <w:spacing w:line="240" w:lineRule="atLeast"/>
      <w:ind w:left="1134"/>
    </w:pPr>
  </w:style>
  <w:style w:type="table" w:styleId="TableGrid">
    <w:name w:val="Table Grid"/>
    <w:basedOn w:val="TableNormal"/>
    <w:uiPriority w:val="59"/>
    <w:rsid w:val="006E4F30"/>
    <w:pPr>
      <w:spacing w:after="0" w:line="240" w:lineRule="auto"/>
    </w:pPr>
    <w:rPr>
      <w:rFonts w:ascii="Times New Roman" w:eastAsia="DejaVu Sans" w:hAnsi="Times New Roman" w:cs="Lohit Hindi"/>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E4F30"/>
    <w:rPr>
      <w:rFonts w:cs="Times New Roman"/>
      <w:color w:val="0000FF"/>
      <w:u w:val="single"/>
    </w:rPr>
  </w:style>
  <w:style w:type="paragraph" w:styleId="ListParagraph">
    <w:name w:val="List Paragraph"/>
    <w:basedOn w:val="Normal"/>
    <w:link w:val="ListParagraphChar"/>
    <w:uiPriority w:val="34"/>
    <w:qFormat/>
    <w:rsid w:val="006E4F30"/>
    <w:pPr>
      <w:numPr>
        <w:numId w:val="5"/>
      </w:numPr>
      <w:contextualSpacing/>
    </w:pPr>
  </w:style>
  <w:style w:type="paragraph" w:customStyle="1" w:styleId="Default">
    <w:name w:val="Default"/>
    <w:rsid w:val="006E4F30"/>
    <w:pPr>
      <w:autoSpaceDE w:val="0"/>
      <w:autoSpaceDN w:val="0"/>
      <w:adjustRightInd w:val="0"/>
      <w:spacing w:after="0" w:line="240" w:lineRule="auto"/>
    </w:pPr>
    <w:rPr>
      <w:rFonts w:ascii="Arial" w:eastAsia="Times New Roman" w:hAnsi="Arial" w:cs="Arial"/>
      <w:color w:val="000000"/>
      <w:sz w:val="24"/>
      <w:szCs w:val="24"/>
      <w:lang w:eastAsia="nl-NL"/>
    </w:rPr>
  </w:style>
  <w:style w:type="character" w:customStyle="1" w:styleId="ListParagraphChar">
    <w:name w:val="List Paragraph Char"/>
    <w:basedOn w:val="DefaultParagraphFont"/>
    <w:link w:val="ListParagraph"/>
    <w:uiPriority w:val="34"/>
    <w:rsid w:val="006E4F30"/>
    <w:rPr>
      <w:rFonts w:ascii="Verdana" w:hAnsi="Verdan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1053</Words>
  <Characters>5797</Characters>
  <Application>Microsoft Office Word</Application>
  <DocSecurity>0</DocSecurity>
  <Lines>48</Lines>
  <Paragraphs>13</Paragraphs>
  <ScaleCrop>false</ScaleCrop>
  <Company>Royal Haskoning</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Luco Boot</dc:creator>
  <cp:keywords/>
  <dc:description/>
  <cp:lastModifiedBy>Luco Boot</cp:lastModifiedBy>
  <cp:revision>3</cp:revision>
  <dcterms:created xsi:type="dcterms:W3CDTF">2022-04-11T10:01:00Z</dcterms:created>
  <dcterms:modified xsi:type="dcterms:W3CDTF">2022-04-12T07:22:00Z</dcterms:modified>
</cp:coreProperties>
</file>