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62" w:rsidRDefault="00A31762">
      <w:pPr>
        <w:pStyle w:val="plattetekst"/>
        <w:spacing w:line="240" w:lineRule="auto"/>
      </w:pPr>
      <w:r>
        <w:t>Ondergetekende:</w:t>
      </w:r>
    </w:p>
    <w:p w:rsidR="00A31762" w:rsidRDefault="00A31762">
      <w:pPr>
        <w:pStyle w:val="plattetekst"/>
        <w:tabs>
          <w:tab w:val="left" w:pos="2880"/>
        </w:tabs>
        <w:spacing w:line="240" w:lineRule="auto"/>
      </w:pPr>
      <w:r>
        <w:t>Naam</w:t>
      </w:r>
      <w:r>
        <w:tab/>
        <w:t>_______________________________________________________</w:t>
      </w:r>
    </w:p>
    <w:p w:rsidR="00A31762" w:rsidRDefault="00A31762">
      <w:pPr>
        <w:pStyle w:val="plattetekst"/>
        <w:tabs>
          <w:tab w:val="left" w:pos="2880"/>
        </w:tabs>
        <w:spacing w:line="240" w:lineRule="auto"/>
      </w:pPr>
    </w:p>
    <w:p w:rsidR="00A31762" w:rsidRDefault="00A31762">
      <w:pPr>
        <w:pStyle w:val="plattetekst"/>
        <w:tabs>
          <w:tab w:val="left" w:pos="2880"/>
        </w:tabs>
        <w:spacing w:line="240" w:lineRule="auto"/>
      </w:pPr>
      <w:r>
        <w:t>Geboren</w:t>
      </w:r>
      <w:r>
        <w:tab/>
        <w:t>__________________ te___________________________________</w:t>
      </w:r>
    </w:p>
    <w:p w:rsidR="00A31762" w:rsidRDefault="00A31762">
      <w:pPr>
        <w:pStyle w:val="plattetekst"/>
        <w:tabs>
          <w:tab w:val="left" w:pos="2880"/>
        </w:tabs>
        <w:spacing w:line="240" w:lineRule="auto"/>
      </w:pPr>
    </w:p>
    <w:p w:rsidR="00A31762" w:rsidRDefault="00A31762">
      <w:pPr>
        <w:pStyle w:val="plattetekst"/>
        <w:tabs>
          <w:tab w:val="left" w:pos="2880"/>
        </w:tabs>
        <w:spacing w:line="240" w:lineRule="auto"/>
      </w:pPr>
      <w:r>
        <w:t xml:space="preserve">Werkzaam via </w:t>
      </w:r>
      <w:r w:rsidR="000801F3">
        <w:t>project</w:t>
      </w:r>
      <w:bookmarkStart w:id="0" w:name="_GoBack"/>
      <w:bookmarkEnd w:id="0"/>
      <w:r>
        <w:t>nummer</w:t>
      </w:r>
      <w:r>
        <w:tab/>
        <w:t>_______________________________________________________</w:t>
      </w:r>
    </w:p>
    <w:p w:rsidR="00A31762" w:rsidRDefault="00A31762">
      <w:pPr>
        <w:pStyle w:val="plattetekst"/>
        <w:tabs>
          <w:tab w:val="left" w:pos="2880"/>
        </w:tabs>
        <w:spacing w:line="240" w:lineRule="auto"/>
      </w:pPr>
    </w:p>
    <w:p w:rsidR="00A31762" w:rsidRDefault="00A31762">
      <w:pPr>
        <w:pStyle w:val="plattetekst"/>
        <w:tabs>
          <w:tab w:val="left" w:pos="2880"/>
        </w:tabs>
        <w:spacing w:line="240" w:lineRule="auto"/>
      </w:pPr>
      <w:r>
        <w:t>Opdrachtnemer/firma</w:t>
      </w:r>
      <w:r>
        <w:tab/>
        <w:t>_______________________________________________________</w:t>
      </w:r>
    </w:p>
    <w:p w:rsidR="00A31762" w:rsidRDefault="00A31762">
      <w:pPr>
        <w:pStyle w:val="plattetekst"/>
        <w:spacing w:line="240" w:lineRule="auto"/>
      </w:pPr>
    </w:p>
    <w:p w:rsidR="00A31762" w:rsidRDefault="00A31762">
      <w:pPr>
        <w:rPr>
          <w:rFonts w:cs="Arial"/>
        </w:rPr>
      </w:pPr>
    </w:p>
    <w:p w:rsidR="00A31762" w:rsidRDefault="00A31762">
      <w:pPr>
        <w:spacing w:line="264" w:lineRule="auto"/>
        <w:rPr>
          <w:rFonts w:cs="Arial"/>
        </w:rPr>
      </w:pPr>
      <w:r>
        <w:rPr>
          <w:rFonts w:cs="Arial"/>
        </w:rPr>
        <w:t xml:space="preserve">Tijdelijk werkzaam bij </w:t>
      </w:r>
      <w:r w:rsidR="003A2A5D">
        <w:rPr>
          <w:rFonts w:cs="Arial"/>
        </w:rPr>
        <w:t xml:space="preserve">of ten behoeve van </w:t>
      </w:r>
      <w:r w:rsidR="00B03B5D">
        <w:rPr>
          <w:rFonts w:cs="Arial"/>
        </w:rPr>
        <w:t xml:space="preserve">het </w:t>
      </w:r>
      <w:r>
        <w:rPr>
          <w:rFonts w:cs="Arial"/>
        </w:rPr>
        <w:t xml:space="preserve"> Rijks</w:t>
      </w:r>
      <w:r w:rsidR="00B03B5D">
        <w:rPr>
          <w:rFonts w:cs="Arial"/>
        </w:rPr>
        <w:t>vastgoedbedrijf</w:t>
      </w:r>
      <w:r w:rsidR="00663DCC">
        <w:rPr>
          <w:rFonts w:cs="Arial"/>
        </w:rPr>
        <w:t xml:space="preserve"> </w:t>
      </w:r>
      <w:r>
        <w:rPr>
          <w:rFonts w:cs="Arial"/>
        </w:rPr>
        <w:t xml:space="preserve">(Ministerie van </w:t>
      </w:r>
      <w:r w:rsidR="0070261E">
        <w:rPr>
          <w:rFonts w:cs="Arial"/>
        </w:rPr>
        <w:t>Binnenlandse Zaken en Koninkrijksrelaties</w:t>
      </w:r>
      <w:r>
        <w:rPr>
          <w:rFonts w:cs="Arial"/>
        </w:rPr>
        <w:t>)</w:t>
      </w:r>
      <w:r w:rsidR="00922C53">
        <w:rPr>
          <w:rFonts w:cs="Arial"/>
        </w:rPr>
        <w:t xml:space="preserve"> en/of diens klanten</w:t>
      </w:r>
      <w:r>
        <w:rPr>
          <w:rFonts w:cs="Arial"/>
        </w:rPr>
        <w:t xml:space="preserve">, verplicht zich tot geheimhouding van alle daarvoor in aanmerking komende aangelegenheden, waarvan zij/hij kennisneemt uit hoofde van haar/zijn </w:t>
      </w:r>
      <w:r w:rsidR="003A2A5D">
        <w:rPr>
          <w:rFonts w:cs="Arial"/>
        </w:rPr>
        <w:t xml:space="preserve"> </w:t>
      </w:r>
      <w:r w:rsidR="00922C53">
        <w:rPr>
          <w:rFonts w:cs="Arial"/>
        </w:rPr>
        <w:t>w</w:t>
      </w:r>
      <w:r w:rsidR="003A2A5D">
        <w:rPr>
          <w:rFonts w:cs="Arial"/>
        </w:rPr>
        <w:t>erkzaamheden bij of ten behoeve van</w:t>
      </w:r>
      <w:r>
        <w:rPr>
          <w:rFonts w:cs="Arial"/>
        </w:rPr>
        <w:t xml:space="preserve"> eerdergenoemd ministerie.</w:t>
      </w:r>
    </w:p>
    <w:p w:rsidR="00A31762" w:rsidRDefault="00A31762">
      <w:pPr>
        <w:spacing w:line="264" w:lineRule="auto"/>
        <w:rPr>
          <w:rFonts w:cs="Arial"/>
        </w:rPr>
      </w:pPr>
      <w:r>
        <w:rPr>
          <w:rFonts w:cs="Arial"/>
        </w:rPr>
        <w:t>Hieronder wordt onder andere begrepen informatie over de organisatie, informatie ten aanzien van de toepassing en (mogelijk) gebruik van de bij genoemd ministerie (in ontwikkeling) zijnde systemen, de werking van apparatuur, bestanden en programmatuur.</w:t>
      </w:r>
    </w:p>
    <w:p w:rsidR="00A31762" w:rsidRDefault="00A31762">
      <w:pPr>
        <w:spacing w:line="264" w:lineRule="auto"/>
        <w:rPr>
          <w:rFonts w:cs="Arial"/>
        </w:rPr>
      </w:pPr>
      <w:r>
        <w:rPr>
          <w:rFonts w:cs="Arial"/>
        </w:rPr>
        <w:t>Zij/hij zal bovendien geheimhouding in acht nemen ter zake van alle vertrouwelijke informatie welke haar/hem bekend is, of nog ter kennis komt, van genoemd ministerie.</w:t>
      </w:r>
    </w:p>
    <w:p w:rsidR="007C5DAD" w:rsidRDefault="00F0786D">
      <w:pPr>
        <w:spacing w:line="264" w:lineRule="auto"/>
        <w:rPr>
          <w:rFonts w:cs="Arial"/>
        </w:rPr>
      </w:pPr>
      <w:r>
        <w:rPr>
          <w:rFonts w:cs="Arial"/>
        </w:rPr>
        <w:t>Bij</w:t>
      </w:r>
      <w:r w:rsidR="00922C53">
        <w:rPr>
          <w:rFonts w:cs="Arial"/>
        </w:rPr>
        <w:t xml:space="preserve"> geïntegreerde contracten zoals </w:t>
      </w:r>
      <w:r w:rsidR="00A7375F">
        <w:rPr>
          <w:rFonts w:cs="Arial"/>
        </w:rPr>
        <w:t>DB</w:t>
      </w:r>
      <w:r w:rsidR="00922C53">
        <w:rPr>
          <w:rFonts w:cs="Arial"/>
        </w:rPr>
        <w:t>(</w:t>
      </w:r>
      <w:r w:rsidR="00A7375F">
        <w:rPr>
          <w:rFonts w:cs="Arial"/>
        </w:rPr>
        <w:t>F</w:t>
      </w:r>
      <w:r w:rsidR="00922C53">
        <w:rPr>
          <w:rFonts w:cs="Arial"/>
        </w:rPr>
        <w:t>)(</w:t>
      </w:r>
      <w:r w:rsidR="00A7375F">
        <w:rPr>
          <w:rFonts w:cs="Arial"/>
        </w:rPr>
        <w:t>M</w:t>
      </w:r>
      <w:r w:rsidR="00922C53">
        <w:rPr>
          <w:rFonts w:cs="Arial"/>
        </w:rPr>
        <w:t>)(</w:t>
      </w:r>
      <w:r w:rsidR="00A7375F">
        <w:rPr>
          <w:rFonts w:cs="Arial"/>
        </w:rPr>
        <w:t>O</w:t>
      </w:r>
      <w:r w:rsidR="00922C53">
        <w:rPr>
          <w:rFonts w:cs="Arial"/>
        </w:rPr>
        <w:t xml:space="preserve">) </w:t>
      </w:r>
      <w:r w:rsidR="00A7375F">
        <w:rPr>
          <w:rFonts w:cs="Arial"/>
        </w:rPr>
        <w:t>b</w:t>
      </w:r>
      <w:r>
        <w:rPr>
          <w:rFonts w:cs="Arial"/>
        </w:rPr>
        <w:t xml:space="preserve">etreft dit met name de aanbestedingsdocumenten en </w:t>
      </w:r>
      <w:r w:rsidR="00922C53">
        <w:rPr>
          <w:rFonts w:cs="Arial"/>
        </w:rPr>
        <w:t xml:space="preserve">de </w:t>
      </w:r>
      <w:r>
        <w:rPr>
          <w:rFonts w:cs="Arial"/>
        </w:rPr>
        <w:t>dialoogproducten.</w:t>
      </w:r>
    </w:p>
    <w:p w:rsidR="00A31762" w:rsidRDefault="00A31762">
      <w:pPr>
        <w:spacing w:line="264" w:lineRule="auto"/>
        <w:rPr>
          <w:rFonts w:cs="Arial"/>
        </w:rPr>
      </w:pPr>
      <w:r>
        <w:rPr>
          <w:rFonts w:cs="Arial"/>
        </w:rPr>
        <w:t>De informatie en gegevensdragers die haar/hem ter beschikking staan zal zij/hij niet aan derden ter beschikking stellen, doch uitsluitend persoonlijk gebruiken op de afgesproken werkplek en met de afgesproken apparatuur en software.</w:t>
      </w:r>
    </w:p>
    <w:p w:rsidR="00EE7985" w:rsidRDefault="00EE7985">
      <w:pPr>
        <w:spacing w:line="264" w:lineRule="auto"/>
        <w:rPr>
          <w:rFonts w:cs="Arial"/>
        </w:rPr>
      </w:pPr>
      <w:r>
        <w:rPr>
          <w:rFonts w:cs="Arial"/>
        </w:rPr>
        <w:t>Indien aan haar/hem inlogcodes worden verstrekt zal zij/hij deze uitsluitend gebruiken ten behoeve van en voor</w:t>
      </w:r>
      <w:r w:rsidR="000D00B6">
        <w:rPr>
          <w:rFonts w:cs="Arial"/>
        </w:rPr>
        <w:t xml:space="preserve"> </w:t>
      </w:r>
      <w:r>
        <w:rPr>
          <w:rFonts w:cs="Arial"/>
        </w:rPr>
        <w:t>zover noodzakelijk voor de overeengekomen werkzaamheden.</w:t>
      </w:r>
      <w:r w:rsidR="00A7375F">
        <w:rPr>
          <w:rFonts w:cs="Arial"/>
        </w:rPr>
        <w:t xml:space="preserve"> </w:t>
      </w:r>
      <w:r w:rsidR="00B03B5D">
        <w:rPr>
          <w:rFonts w:cs="Arial"/>
        </w:rPr>
        <w:t>Het Rijksvastgoedbedrijf</w:t>
      </w:r>
      <w:r w:rsidR="00A7375F">
        <w:rPr>
          <w:rFonts w:cs="Arial"/>
        </w:rPr>
        <w:t xml:space="preserve"> heeft het recht om dit steekproefsgewijs te controleren.</w:t>
      </w:r>
    </w:p>
    <w:p w:rsidR="007C5DAD" w:rsidRDefault="00A31762">
      <w:pPr>
        <w:spacing w:line="264" w:lineRule="auto"/>
        <w:rPr>
          <w:rFonts w:cs="Arial"/>
        </w:rPr>
      </w:pPr>
      <w:r>
        <w:rPr>
          <w:rFonts w:cs="Arial"/>
        </w:rPr>
        <w:t xml:space="preserve">Informatie en gegevensdragers zijn eigendom van </w:t>
      </w:r>
      <w:r w:rsidR="00B03B5D">
        <w:rPr>
          <w:rFonts w:cs="Arial"/>
        </w:rPr>
        <w:t xml:space="preserve">het </w:t>
      </w:r>
      <w:r w:rsidR="00922C53">
        <w:rPr>
          <w:rFonts w:cs="Arial"/>
        </w:rPr>
        <w:t>Rijks</w:t>
      </w:r>
      <w:r w:rsidR="00B03B5D">
        <w:rPr>
          <w:rFonts w:cs="Arial"/>
        </w:rPr>
        <w:t>vastgoedbedrijf</w:t>
      </w:r>
      <w:r w:rsidR="00922C53">
        <w:rPr>
          <w:rFonts w:cs="Arial"/>
        </w:rPr>
        <w:t xml:space="preserve">. </w:t>
      </w:r>
      <w:r w:rsidR="007C5DAD">
        <w:rPr>
          <w:rFonts w:cs="Arial"/>
        </w:rPr>
        <w:t xml:space="preserve">Het gebruik van kennis of informatie van </w:t>
      </w:r>
      <w:r w:rsidR="00B03B5D">
        <w:rPr>
          <w:rFonts w:cs="Arial"/>
        </w:rPr>
        <w:t xml:space="preserve">het </w:t>
      </w:r>
      <w:r w:rsidR="007C5DAD">
        <w:rPr>
          <w:rFonts w:cs="Arial"/>
        </w:rPr>
        <w:t>Rijks</w:t>
      </w:r>
      <w:r w:rsidR="00B03B5D">
        <w:rPr>
          <w:rFonts w:cs="Arial"/>
        </w:rPr>
        <w:t>vastgoedbedrijf</w:t>
      </w:r>
      <w:r w:rsidR="007C5DAD">
        <w:rPr>
          <w:rFonts w:cs="Arial"/>
        </w:rPr>
        <w:t xml:space="preserve"> en/of </w:t>
      </w:r>
      <w:r w:rsidR="00B0488F">
        <w:rPr>
          <w:rFonts w:cs="Arial"/>
        </w:rPr>
        <w:t>diens</w:t>
      </w:r>
      <w:r w:rsidR="007C5DAD">
        <w:rPr>
          <w:rFonts w:cs="Arial"/>
        </w:rPr>
        <w:t xml:space="preserve"> klanten voor externe publicitaire doeleinden of reclame-uitingen is slechts toegestaan na schriftelijke toestemming.</w:t>
      </w:r>
    </w:p>
    <w:p w:rsidR="00A31762" w:rsidRDefault="00A31762">
      <w:pPr>
        <w:spacing w:line="264" w:lineRule="auto"/>
        <w:rPr>
          <w:rFonts w:cs="Arial"/>
        </w:rPr>
      </w:pPr>
      <w:r>
        <w:rPr>
          <w:rFonts w:cs="Arial"/>
        </w:rPr>
        <w:t>Zij/hij zal geen kopieën maken anders dan voor de overeengekomen prestaties noodzakelijk is en zij/hij zal deze, behoudens uitdrukkelijke afspraken, uitsluitend op de afgesproken werkplek gebruiken/bewaren en niet naar elders meenemen of anderszins naar buiten brengen.</w:t>
      </w:r>
    </w:p>
    <w:p w:rsidR="00A31762" w:rsidRDefault="00A31762">
      <w:pPr>
        <w:spacing w:line="264" w:lineRule="auto"/>
        <w:rPr>
          <w:rFonts w:cs="Arial"/>
        </w:rPr>
      </w:pPr>
      <w:r>
        <w:rPr>
          <w:rFonts w:cs="Arial"/>
        </w:rPr>
        <w:t xml:space="preserve">Hetzelfde geldt voor producten van </w:t>
      </w:r>
      <w:r w:rsidR="00B03B5D">
        <w:rPr>
          <w:rFonts w:cs="Arial"/>
        </w:rPr>
        <w:t xml:space="preserve">het </w:t>
      </w:r>
      <w:r>
        <w:rPr>
          <w:rFonts w:cs="Arial"/>
        </w:rPr>
        <w:t>Rijks</w:t>
      </w:r>
      <w:r w:rsidR="00B03B5D">
        <w:rPr>
          <w:rFonts w:cs="Arial"/>
        </w:rPr>
        <w:t>vastgoedbedrijf</w:t>
      </w:r>
      <w:r>
        <w:rPr>
          <w:rFonts w:cs="Arial"/>
        </w:rPr>
        <w:t xml:space="preserve"> zoals documentatie of handboeken.</w:t>
      </w:r>
    </w:p>
    <w:p w:rsidR="007C5DAD" w:rsidRDefault="007C5DAD">
      <w:pPr>
        <w:spacing w:line="264" w:lineRule="auto"/>
        <w:rPr>
          <w:rFonts w:cs="Arial"/>
        </w:rPr>
      </w:pPr>
      <w:r>
        <w:rPr>
          <w:rFonts w:cs="Arial"/>
        </w:rPr>
        <w:t>Ondergetekende verklaart deze geheimhoudingsplicht van toepassing op alle door of namens haar/hem ingeschakelde of in te schakelen derden en/of ondergeschikten.</w:t>
      </w:r>
    </w:p>
    <w:p w:rsidR="00A31762" w:rsidRDefault="00A31762">
      <w:pPr>
        <w:spacing w:line="264" w:lineRule="auto"/>
        <w:rPr>
          <w:rFonts w:cs="Arial"/>
        </w:rPr>
      </w:pPr>
    </w:p>
    <w:p w:rsidR="00A31762" w:rsidRDefault="00A31762">
      <w:pPr>
        <w:spacing w:line="264" w:lineRule="auto"/>
        <w:rPr>
          <w:rFonts w:cs="Arial"/>
        </w:rPr>
      </w:pPr>
      <w:r>
        <w:rPr>
          <w:rFonts w:cs="Arial"/>
        </w:rPr>
        <w:t>Ook na het beëindigen van de werkzaamheden zal deze geheimhoudingsplicht van kracht blijven.</w:t>
      </w:r>
      <w:r w:rsidR="00B13725">
        <w:rPr>
          <w:rFonts w:cs="Arial"/>
        </w:rPr>
        <w:t xml:space="preserve"> </w:t>
      </w:r>
    </w:p>
    <w:p w:rsidR="00B13725" w:rsidRDefault="00922C53">
      <w:pPr>
        <w:spacing w:line="264" w:lineRule="auto"/>
        <w:rPr>
          <w:rFonts w:cs="Arial"/>
        </w:rPr>
      </w:pPr>
      <w:r>
        <w:rPr>
          <w:rFonts w:cs="Arial"/>
        </w:rPr>
        <w:t xml:space="preserve">In het geval </w:t>
      </w:r>
      <w:r w:rsidR="00B13725">
        <w:rPr>
          <w:rFonts w:cs="Arial"/>
        </w:rPr>
        <w:t xml:space="preserve">ondergetekende wenst deel te nemen aan </w:t>
      </w:r>
      <w:r w:rsidR="004F4538">
        <w:rPr>
          <w:rFonts w:cs="Arial"/>
        </w:rPr>
        <w:t>een aanbesteding</w:t>
      </w:r>
      <w:r w:rsidR="003B760B">
        <w:rPr>
          <w:rFonts w:cs="Arial"/>
        </w:rPr>
        <w:t>,</w:t>
      </w:r>
      <w:r w:rsidR="00B13725">
        <w:rPr>
          <w:rFonts w:cs="Arial"/>
        </w:rPr>
        <w:t xml:space="preserve"> terwijl zij/hij betrokken is geweest bij de voorbereidingen van diezelfde aanbesteding, dan geldt </w:t>
      </w:r>
      <w:r w:rsidR="00201727">
        <w:rPr>
          <w:rFonts w:cs="Arial"/>
        </w:rPr>
        <w:t xml:space="preserve">bovendien </w:t>
      </w:r>
      <w:r w:rsidR="00B13725">
        <w:rPr>
          <w:rFonts w:cs="Arial"/>
        </w:rPr>
        <w:t>de code “Zo doen we zaken</w:t>
      </w:r>
      <w:r w:rsidR="002D42B4">
        <w:rPr>
          <w:rStyle w:val="Voetnootmarkering"/>
          <w:rFonts w:cs="Arial"/>
        </w:rPr>
        <w:footnoteReference w:id="1"/>
      </w:r>
      <w:r w:rsidR="00B13725">
        <w:rPr>
          <w:rFonts w:cs="Arial"/>
        </w:rPr>
        <w:t>.”</w:t>
      </w:r>
    </w:p>
    <w:p w:rsidR="00197700" w:rsidRDefault="00197700" w:rsidP="003E5426">
      <w:pPr>
        <w:rPr>
          <w:rFonts w:cs="Arial"/>
        </w:rPr>
      </w:pPr>
      <w:r>
        <w:rPr>
          <w:rFonts w:cs="Arial"/>
        </w:rPr>
        <w:t>Bij schending van de geheimhoudingsplicht is ondergetekende</w:t>
      </w:r>
      <w:r w:rsidR="003B6130">
        <w:rPr>
          <w:rFonts w:cs="Arial"/>
        </w:rPr>
        <w:t xml:space="preserve"> die</w:t>
      </w:r>
      <w:r w:rsidR="00425D11">
        <w:rPr>
          <w:rFonts w:cs="Arial"/>
        </w:rPr>
        <w:t xml:space="preserve"> – hiertoe bevoegd - </w:t>
      </w:r>
      <w:r w:rsidR="003B6130">
        <w:rPr>
          <w:rFonts w:cs="Arial"/>
        </w:rPr>
        <w:t xml:space="preserve"> </w:t>
      </w:r>
      <w:r w:rsidR="008E09F7">
        <w:rPr>
          <w:rFonts w:cs="Arial"/>
        </w:rPr>
        <w:t>namens</w:t>
      </w:r>
      <w:r w:rsidR="003B6130">
        <w:rPr>
          <w:rFonts w:cs="Arial"/>
        </w:rPr>
        <w:t xml:space="preserve"> een rechtspersoon </w:t>
      </w:r>
      <w:r w:rsidR="008E09F7">
        <w:rPr>
          <w:rFonts w:cs="Arial"/>
        </w:rPr>
        <w:t>tekent</w:t>
      </w:r>
      <w:r w:rsidR="003B6130">
        <w:rPr>
          <w:rFonts w:cs="Arial"/>
        </w:rPr>
        <w:t>,</w:t>
      </w:r>
      <w:r>
        <w:rPr>
          <w:rFonts w:cs="Arial"/>
        </w:rPr>
        <w:t xml:space="preserve"> aan de Rijks</w:t>
      </w:r>
      <w:r w:rsidR="00B03B5D">
        <w:rPr>
          <w:rFonts w:cs="Arial"/>
        </w:rPr>
        <w:t>vastgoedbedrijf</w:t>
      </w:r>
      <w:r w:rsidR="00B03B5D" w:rsidRPr="00B03B5D">
        <w:rPr>
          <w:rFonts w:cs="Arial"/>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-9032240</wp:posOffset>
            </wp:positionV>
            <wp:extent cx="5400675" cy="1457325"/>
            <wp:effectExtent l="0" t="0" r="0" b="0"/>
            <wp:wrapNone/>
            <wp:docPr id="4" name="Afbeelding 2"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B_Logo_Kop"/>
                    <pic:cNvPicPr>
                      <a:picLocks noChangeAspect="1" noChangeArrowheads="1"/>
                    </pic:cNvPicPr>
                  </pic:nvPicPr>
                  <pic:blipFill>
                    <a:blip r:embed="rId8" cstate="print"/>
                    <a:srcRect/>
                    <a:stretch>
                      <a:fillRect/>
                    </a:stretch>
                  </pic:blipFill>
                  <pic:spPr bwMode="auto">
                    <a:xfrm>
                      <a:off x="0" y="0"/>
                      <a:ext cx="5400675" cy="1457325"/>
                    </a:xfrm>
                    <a:prstGeom prst="rect">
                      <a:avLst/>
                    </a:prstGeom>
                    <a:noFill/>
                    <a:ln w="9525">
                      <a:noFill/>
                      <a:miter lim="800000"/>
                      <a:headEnd/>
                      <a:tailEnd/>
                    </a:ln>
                  </pic:spPr>
                </pic:pic>
              </a:graphicData>
            </a:graphic>
          </wp:anchor>
        </w:drawing>
      </w:r>
      <w:r>
        <w:rPr>
          <w:rFonts w:cs="Arial"/>
        </w:rPr>
        <w:t xml:space="preserve"> een boete verschuldigd van </w:t>
      </w:r>
      <w:r w:rsidR="00B209E1">
        <w:rPr>
          <w:rFonts w:cs="Arial"/>
        </w:rPr>
        <w:t xml:space="preserve">€ </w:t>
      </w:r>
      <w:r>
        <w:rPr>
          <w:rFonts w:cs="Arial"/>
        </w:rPr>
        <w:t>50.000 per gebeurtenis</w:t>
      </w:r>
      <w:r w:rsidR="0095015A">
        <w:t>.</w:t>
      </w:r>
    </w:p>
    <w:p w:rsidR="00197700" w:rsidRDefault="00197700">
      <w:pPr>
        <w:spacing w:line="264" w:lineRule="auto"/>
        <w:rPr>
          <w:rFonts w:cs="Arial"/>
        </w:rPr>
      </w:pPr>
    </w:p>
    <w:p w:rsidR="00A31762" w:rsidRDefault="00A31762">
      <w:pPr>
        <w:spacing w:line="264" w:lineRule="auto"/>
        <w:rPr>
          <w:rFonts w:cs="Arial"/>
        </w:rPr>
      </w:pPr>
      <w:r>
        <w:rPr>
          <w:rFonts w:cs="Arial"/>
        </w:rPr>
        <w:t xml:space="preserve">Zij/hij is verplicht de binnen </w:t>
      </w:r>
      <w:r w:rsidR="00B03B5D">
        <w:rPr>
          <w:rFonts w:cs="Arial"/>
        </w:rPr>
        <w:t xml:space="preserve">het Rijksvastgoedbedrijf </w:t>
      </w:r>
      <w:r>
        <w:rPr>
          <w:rFonts w:cs="Arial"/>
        </w:rPr>
        <w:t>(</w:t>
      </w:r>
      <w:r w:rsidR="0070261E">
        <w:rPr>
          <w:rFonts w:cs="Arial"/>
        </w:rPr>
        <w:t>Ministerie van Binnenlandse Zaken en Koninkrijksrelaties</w:t>
      </w:r>
      <w:r>
        <w:rPr>
          <w:rFonts w:cs="Arial"/>
        </w:rPr>
        <w:t>) geldende beveiligingsvoorschriften</w:t>
      </w:r>
      <w:r w:rsidR="00F15143">
        <w:rPr>
          <w:rStyle w:val="Voetnootmarkering"/>
          <w:rFonts w:cs="Arial"/>
        </w:rPr>
        <w:footnoteReference w:id="2"/>
      </w:r>
      <w:r>
        <w:rPr>
          <w:rFonts w:cs="Arial"/>
        </w:rPr>
        <w:t xml:space="preserve"> in acht te nemen.</w:t>
      </w:r>
    </w:p>
    <w:p w:rsidR="000E7873" w:rsidRDefault="000E7873">
      <w:pPr>
        <w:spacing w:line="264" w:lineRule="auto"/>
        <w:rPr>
          <w:rFonts w:cs="Arial"/>
        </w:rPr>
      </w:pPr>
    </w:p>
    <w:p w:rsidR="00A31762" w:rsidRDefault="00A31762">
      <w:pPr>
        <w:spacing w:line="264" w:lineRule="auto"/>
        <w:rPr>
          <w:rFonts w:cs="Arial"/>
        </w:rPr>
      </w:pPr>
      <w:r>
        <w:rPr>
          <w:rFonts w:cs="Arial"/>
        </w:rPr>
        <w:t>Zij/hij verklaart uitdrukkelijk op de hoogte te zijn gebracht met de artikelen 80ter, 98 t/m 98c, 272 en 429quinquis van het Wetboek van Strafrecht</w:t>
      </w:r>
      <w:r>
        <w:rPr>
          <w:rStyle w:val="Voetnootmarkering"/>
          <w:rFonts w:cs="Arial"/>
        </w:rPr>
        <w:footnoteReference w:id="3"/>
      </w:r>
      <w:r>
        <w:rPr>
          <w:rFonts w:cs="Arial"/>
        </w:rPr>
        <w:t>.</w:t>
      </w:r>
    </w:p>
    <w:p w:rsidR="00A31762" w:rsidRDefault="00A31762">
      <w:pPr>
        <w:pStyle w:val="plattetekst"/>
        <w:spacing w:line="264" w:lineRule="auto"/>
      </w:pPr>
    </w:p>
    <w:p w:rsidR="00A31762" w:rsidRDefault="00A31762">
      <w:pPr>
        <w:pStyle w:val="plattetekst"/>
        <w:spacing w:line="240" w:lineRule="auto"/>
      </w:pPr>
    </w:p>
    <w:p w:rsidR="00A31762" w:rsidRDefault="00A31762">
      <w:pPr>
        <w:pStyle w:val="plattetekst"/>
        <w:spacing w:line="240" w:lineRule="auto"/>
      </w:pPr>
      <w:r>
        <w:t>___________________________________</w:t>
      </w:r>
      <w:r>
        <w:tab/>
      </w:r>
      <w:r>
        <w:tab/>
        <w:t>_____________________________________</w:t>
      </w:r>
    </w:p>
    <w:p w:rsidR="00A31762" w:rsidRDefault="00A31762">
      <w:pPr>
        <w:pStyle w:val="plattetekst"/>
        <w:tabs>
          <w:tab w:val="left" w:pos="4860"/>
        </w:tabs>
        <w:spacing w:line="240" w:lineRule="auto"/>
      </w:pPr>
      <w:r>
        <w:t>Plaats</w:t>
      </w:r>
      <w:r>
        <w:tab/>
      </w:r>
      <w:r>
        <w:tab/>
        <w:t>Datum</w:t>
      </w:r>
    </w:p>
    <w:p w:rsidR="00A31762" w:rsidRDefault="00A31762">
      <w:pPr>
        <w:pStyle w:val="plattetekst"/>
        <w:spacing w:line="240" w:lineRule="auto"/>
      </w:pPr>
    </w:p>
    <w:p w:rsidR="00A31762" w:rsidRDefault="00A31762">
      <w:pPr>
        <w:pStyle w:val="plattetekst"/>
        <w:spacing w:line="240" w:lineRule="auto"/>
      </w:pPr>
    </w:p>
    <w:p w:rsidR="00A31762" w:rsidRDefault="00A31762">
      <w:pPr>
        <w:pStyle w:val="plattetekst"/>
        <w:spacing w:line="240" w:lineRule="auto"/>
      </w:pPr>
    </w:p>
    <w:p w:rsidR="00A31762" w:rsidRDefault="00A31762">
      <w:pPr>
        <w:pStyle w:val="plattetekst"/>
        <w:spacing w:line="240" w:lineRule="auto"/>
      </w:pPr>
    </w:p>
    <w:p w:rsidR="00A31762" w:rsidRDefault="00A31762">
      <w:pPr>
        <w:pStyle w:val="plattetekst"/>
        <w:spacing w:line="240" w:lineRule="auto"/>
      </w:pPr>
      <w:r>
        <w:t>___________________________________</w:t>
      </w:r>
    </w:p>
    <w:p w:rsidR="00A31762" w:rsidRDefault="00A31762">
      <w:pPr>
        <w:pStyle w:val="plattetekst"/>
        <w:spacing w:line="240" w:lineRule="auto"/>
        <w:rPr>
          <w:rFonts w:cs="Times New Roman"/>
        </w:rPr>
      </w:pPr>
      <w:r>
        <w:t xml:space="preserve">Handtekening   </w:t>
      </w:r>
    </w:p>
    <w:p w:rsidR="00A31762" w:rsidRDefault="00A31762"/>
    <w:p w:rsidR="00A31762" w:rsidRDefault="00A31762">
      <w:pPr>
        <w:sectPr w:rsidR="00A31762">
          <w:headerReference w:type="default" r:id="rId9"/>
          <w:footerReference w:type="default" r:id="rId10"/>
          <w:pgSz w:w="11906" w:h="16838"/>
          <w:pgMar w:top="4082" w:right="1106" w:bottom="902" w:left="1440" w:header="709" w:footer="680" w:gutter="0"/>
          <w:cols w:space="708"/>
          <w:docGrid w:linePitch="360"/>
        </w:sectPr>
      </w:pPr>
    </w:p>
    <w:p w:rsidR="00A31762" w:rsidRDefault="00A31762"/>
    <w:p w:rsidR="00A31762" w:rsidRDefault="00A31762">
      <w:pPr>
        <w:spacing w:line="264" w:lineRule="auto"/>
      </w:pPr>
      <w:r>
        <w:t>De artikelen 80ter, 98 t/m 98c, 272 en 429quinquis van het Wetboek van Strafrecht luiden als volgt:</w:t>
      </w:r>
    </w:p>
    <w:p w:rsidR="00A31762" w:rsidRDefault="00A31762">
      <w:pPr>
        <w:pStyle w:val="Kop2"/>
        <w:numPr>
          <w:ilvl w:val="0"/>
          <w:numId w:val="0"/>
        </w:numPr>
        <w:spacing w:line="264" w:lineRule="auto"/>
      </w:pPr>
      <w:r>
        <w:t>Artikel 80 ter</w:t>
      </w:r>
    </w:p>
    <w:p w:rsidR="00A31762" w:rsidRDefault="00A31762">
      <w:pPr>
        <w:spacing w:line="264" w:lineRule="auto"/>
      </w:pPr>
      <w:r>
        <w:t>Onder verboden plaats wordt verstaan iedere plaats die als verboden plaats is aangewezen ingevolge de Wet bescherming staatsgeheimen.</w:t>
      </w:r>
    </w:p>
    <w:p w:rsidR="00A31762" w:rsidRDefault="00A31762">
      <w:pPr>
        <w:pStyle w:val="Kop2"/>
        <w:numPr>
          <w:ilvl w:val="0"/>
          <w:numId w:val="0"/>
        </w:numPr>
        <w:spacing w:line="264" w:lineRule="auto"/>
      </w:pPr>
      <w:r>
        <w:t>Artikel 98</w:t>
      </w:r>
    </w:p>
    <w:p w:rsidR="00A31762" w:rsidRDefault="00A31762">
      <w:pPr>
        <w:numPr>
          <w:ilvl w:val="0"/>
          <w:numId w:val="5"/>
        </w:numPr>
        <w:spacing w:line="264" w:lineRule="auto"/>
      </w:pPr>
      <w:r>
        <w:t>Hij die een inlichting waarvan de geheimhouding door het belang van de staat of van zijn bondgenoten wordt geboden, een voorwerp waaraan een zodanige inlichting kan worden ontleend, of zodanige gegevens opzettelijk verstrekt aan of ter beschikking stelt van een tot kennisneming daarvan niet gerechtigd persoon of lichaam, wordt, indien hij weet of redelijkerwijs moet vermoeden dat het een zodanige inlichting, een zodanig voorwerp of zodanige gegevens betreft, gestraft met gevangenisstraf van ten hoogste zes jaren of geldboete van de vijfde categorie.</w:t>
      </w:r>
    </w:p>
    <w:p w:rsidR="00A31762" w:rsidRDefault="00A31762">
      <w:pPr>
        <w:numPr>
          <w:ilvl w:val="0"/>
          <w:numId w:val="5"/>
        </w:numPr>
        <w:spacing w:line="264" w:lineRule="auto"/>
      </w:pPr>
      <w:r>
        <w:t>Met dezelfde straf wordt gestraft hij die een inlichting die van een verboden plaats afkomstig is en tot de veiligheid van de staat of van zijn bondgenoten in betrekking staat, een voorwerp waaraan een zodanige inlichting kan worden ontleend, of zodanige gegevens opzettelijk verstrekt aan of ter beschikking stelt van een tot kennisneming daarvan niet gerechtigd persoon of lichaam, indien hij weet of redelijkerwijs moet vermoeden dat het een zodanige inlichting, een zodanig voorwerp of zodanige gegevens betreft.</w:t>
      </w:r>
    </w:p>
    <w:p w:rsidR="00A31762" w:rsidRDefault="00A31762">
      <w:pPr>
        <w:pStyle w:val="Kop2"/>
        <w:numPr>
          <w:ilvl w:val="0"/>
          <w:numId w:val="0"/>
        </w:numPr>
        <w:spacing w:line="264" w:lineRule="auto"/>
      </w:pPr>
      <w:r>
        <w:t>Artikel 98a</w:t>
      </w:r>
    </w:p>
    <w:p w:rsidR="00A31762" w:rsidRDefault="00A31762">
      <w:pPr>
        <w:numPr>
          <w:ilvl w:val="0"/>
          <w:numId w:val="6"/>
        </w:numPr>
        <w:spacing w:line="264" w:lineRule="auto"/>
      </w:pPr>
      <w:r>
        <w:t>Hij die een inlichting, een voorwerp of gegevens als bedoeld in artikel 98, hetzij opzettelijk openbaar maakt, hetzij zonder daartoe gerechtigd te zijn opzettelijk verstrekt aan of ter beschikking stelt van een buitenlandse mogendheid, een in het buitenland gevestigd persoon of lichaam, dan wel een zodanig persoon of lichaam dat gevaar ontstaat dat de inlichting of de gegevens aan een buitenlandse mogendheid of aan een in het buitenland gevestigd persoon of lichaam bekend wordt, wordt, indien hij weet of redelijkerwijs moet vermoeden dat het een zodanige inlichting of zodanige gegevens betreft, gestraft met gevangenisstraf van ten hoogste vijftien jaren of geldboete van de vijfde categorie.</w:t>
      </w:r>
    </w:p>
    <w:p w:rsidR="00A31762" w:rsidRDefault="00A31762">
      <w:pPr>
        <w:numPr>
          <w:ilvl w:val="0"/>
          <w:numId w:val="6"/>
        </w:numPr>
        <w:spacing w:line="264" w:lineRule="auto"/>
      </w:pPr>
      <w:r>
        <w:t xml:space="preserve">Indien de schuldige heeft gehandeld in tijd van oorlog dan wel in dienst of in opdracht van een buitenlandse mogendheid of van een in het buitenland gevestigd persoon of lichaam, kan levenslange gevangenisstraf of tijdelijke van ten hoogste </w:t>
      </w:r>
      <w:r w:rsidR="004A6983">
        <w:t>der</w:t>
      </w:r>
      <w:r>
        <w:t>tig jaren of geldboete van de vijfde categorie worden opgelegd.</w:t>
      </w:r>
    </w:p>
    <w:p w:rsidR="00A31762" w:rsidRDefault="00A31762">
      <w:pPr>
        <w:numPr>
          <w:ilvl w:val="0"/>
          <w:numId w:val="6"/>
        </w:numPr>
        <w:spacing w:line="264" w:lineRule="auto"/>
      </w:pPr>
      <w:r>
        <w:t>Handelingen gepleegd ter voorbereiding van een misdrijf als omschreven in de voorgaande leden worden gestraft met gevangenisstraf van ten hoogste zes jaren of geldboete van de vijfde categorie.</w:t>
      </w:r>
    </w:p>
    <w:p w:rsidR="00A31762" w:rsidRDefault="00A31762">
      <w:pPr>
        <w:pStyle w:val="Kop2"/>
        <w:numPr>
          <w:ilvl w:val="0"/>
          <w:numId w:val="0"/>
        </w:numPr>
        <w:spacing w:line="264" w:lineRule="auto"/>
      </w:pPr>
      <w:r>
        <w:t>Artikel 98b</w:t>
      </w:r>
    </w:p>
    <w:p w:rsidR="00A31762" w:rsidRDefault="00A31762">
      <w:pPr>
        <w:spacing w:line="264" w:lineRule="auto"/>
      </w:pPr>
      <w:r>
        <w:t>Hij aan wiens schuld te wijten is dat een inlichting, een voorwerp of gegevens als bedoeld in artikel 98, openbaar worden gemaakt of ter beschikking komt van een tot kennisneming daarvan niet gerechtigd persoon of lichaam, wordt gestraft met gevangenisstraf van ten hoogste een jaar of geldboete van de derde categorie.</w:t>
      </w:r>
    </w:p>
    <w:p w:rsidR="00A31762" w:rsidRDefault="00A31762">
      <w:pPr>
        <w:spacing w:line="264" w:lineRule="auto"/>
      </w:pPr>
    </w:p>
    <w:p w:rsidR="00A31762" w:rsidRDefault="00A31762">
      <w:pPr>
        <w:pStyle w:val="Kop2"/>
        <w:numPr>
          <w:ilvl w:val="0"/>
          <w:numId w:val="0"/>
        </w:numPr>
        <w:spacing w:line="264" w:lineRule="auto"/>
        <w:sectPr w:rsidR="00A31762">
          <w:headerReference w:type="default" r:id="rId11"/>
          <w:pgSz w:w="11906" w:h="16838"/>
          <w:pgMar w:top="3721" w:right="1106" w:bottom="899" w:left="1440" w:header="708" w:footer="708" w:gutter="0"/>
          <w:cols w:space="708"/>
          <w:docGrid w:linePitch="360"/>
        </w:sectPr>
      </w:pPr>
    </w:p>
    <w:p w:rsidR="00A31762" w:rsidRDefault="00A31762">
      <w:pPr>
        <w:pStyle w:val="Kop2"/>
        <w:numPr>
          <w:ilvl w:val="0"/>
          <w:numId w:val="0"/>
        </w:numPr>
        <w:spacing w:line="264" w:lineRule="auto"/>
      </w:pPr>
      <w:r>
        <w:lastRenderedPageBreak/>
        <w:t>Artikel 98c</w:t>
      </w:r>
    </w:p>
    <w:p w:rsidR="00A31762" w:rsidRDefault="00A31762">
      <w:pPr>
        <w:numPr>
          <w:ilvl w:val="0"/>
          <w:numId w:val="7"/>
        </w:numPr>
        <w:tabs>
          <w:tab w:val="clear" w:pos="720"/>
          <w:tab w:val="num" w:pos="360"/>
        </w:tabs>
        <w:spacing w:line="264" w:lineRule="auto"/>
        <w:ind w:left="360"/>
      </w:pPr>
      <w:r>
        <w:t>Met gevangenisstraf van ten hoogste zes jaren of geldboete van de vijfde categorie wordt gestraft:</w:t>
      </w:r>
    </w:p>
    <w:p w:rsidR="00A31762" w:rsidRDefault="00A31762">
      <w:pPr>
        <w:spacing w:line="264" w:lineRule="auto"/>
        <w:ind w:left="360"/>
      </w:pPr>
      <w:r>
        <w:t>1°. hij die opzettelijk een inlichting, een voorwerp of gegevens als bedoeld in artikel 98, zonder daartoe gerechtigd te zijn, onder zich neemt of houdt;</w:t>
      </w:r>
    </w:p>
    <w:p w:rsidR="00A31762" w:rsidRDefault="00A31762">
      <w:pPr>
        <w:spacing w:line="264" w:lineRule="auto"/>
        <w:ind w:left="360"/>
      </w:pPr>
      <w:r>
        <w:t>2°. hij die enige handeling verricht, ondernomen met het oogmerk om, zonder daartoe gerechtigd te zijn, de beschikking te krijgen over een inlichting, een voorwerp of gegevens als bedoeld in artikel 98;</w:t>
      </w:r>
    </w:p>
    <w:p w:rsidR="00A31762" w:rsidRDefault="00A31762">
      <w:pPr>
        <w:spacing w:line="264" w:lineRule="auto"/>
        <w:ind w:left="360"/>
      </w:pPr>
      <w:r>
        <w:t>3°. hij die tersluik, onder een vals voorgeven, door middel van een vermomming of langs een andere dan de gewone toegang op of in een verboden plaats komt of tracht te komen, aldaar in dier voege aanwezig is, of zich op een van die wijzen of door een van die middelen vandaar verwijdert of tracht te verwijderen.</w:t>
      </w:r>
    </w:p>
    <w:p w:rsidR="00A31762" w:rsidRDefault="00A31762">
      <w:pPr>
        <w:numPr>
          <w:ilvl w:val="0"/>
          <w:numId w:val="7"/>
        </w:numPr>
        <w:tabs>
          <w:tab w:val="clear" w:pos="720"/>
          <w:tab w:val="num" w:pos="360"/>
        </w:tabs>
        <w:spacing w:line="264" w:lineRule="auto"/>
        <w:ind w:left="360"/>
      </w:pPr>
      <w:r>
        <w:t>De bepaling onder 3° is niet toepasselijk, indien de rechter blijkt dat de dader niet heeft gehandeld met het oogmerk bedoeld onder 2°.</w:t>
      </w:r>
    </w:p>
    <w:p w:rsidR="00A31762" w:rsidRDefault="00A31762">
      <w:pPr>
        <w:pStyle w:val="Kop2"/>
        <w:numPr>
          <w:ilvl w:val="0"/>
          <w:numId w:val="0"/>
        </w:numPr>
        <w:spacing w:line="264" w:lineRule="auto"/>
      </w:pPr>
      <w:r>
        <w:t>Artikel 272</w:t>
      </w:r>
    </w:p>
    <w:p w:rsidR="00A31762" w:rsidRDefault="00A31762">
      <w:pPr>
        <w:numPr>
          <w:ilvl w:val="0"/>
          <w:numId w:val="8"/>
        </w:numPr>
        <w:spacing w:line="264" w:lineRule="auto"/>
      </w:pPr>
      <w: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rsidR="00A31762" w:rsidRDefault="00A31762">
      <w:pPr>
        <w:numPr>
          <w:ilvl w:val="0"/>
          <w:numId w:val="8"/>
        </w:numPr>
        <w:spacing w:line="264" w:lineRule="auto"/>
      </w:pPr>
      <w:r>
        <w:t>Indien dit misdrijf tegen een bepaald persoon gepleegd is, wordt het slechts vervolgd op diens klacht.</w:t>
      </w:r>
    </w:p>
    <w:p w:rsidR="00A31762" w:rsidRDefault="00A31762">
      <w:pPr>
        <w:pStyle w:val="Kop2"/>
        <w:numPr>
          <w:ilvl w:val="0"/>
          <w:numId w:val="0"/>
        </w:numPr>
        <w:spacing w:line="264" w:lineRule="auto"/>
      </w:pPr>
      <w:r>
        <w:t>Artikel 429quinquies</w:t>
      </w:r>
    </w:p>
    <w:p w:rsidR="00A31762" w:rsidRDefault="00A31762">
      <w:r>
        <w:t>Hij die zonder daartoe gerechtigd te zijn zich op een verboden plaats bevindt, wordt gestraft met hechtenis van ten hoogste zes maanden of geldboete van de derde categorie.</w:t>
      </w:r>
    </w:p>
    <w:p w:rsidR="00A31762" w:rsidRDefault="00A31762">
      <w:pPr>
        <w:pStyle w:val="Koptekst"/>
        <w:tabs>
          <w:tab w:val="clear" w:pos="4153"/>
          <w:tab w:val="clear" w:pos="8306"/>
        </w:tabs>
        <w:spacing w:line="264" w:lineRule="auto"/>
      </w:pPr>
    </w:p>
    <w:sectPr w:rsidR="00A31762" w:rsidSect="00D1177E">
      <w:headerReference w:type="default" r:id="rId12"/>
      <w:pgSz w:w="11906" w:h="16838"/>
      <w:pgMar w:top="1438" w:right="1106"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04B" w:rsidRDefault="00E5604B">
      <w:r>
        <w:separator/>
      </w:r>
    </w:p>
  </w:endnote>
  <w:endnote w:type="continuationSeparator" w:id="0">
    <w:p w:rsidR="00E5604B" w:rsidRDefault="00E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2B" w:rsidRDefault="0051432B">
    <w:pPr>
      <w:pStyle w:val="Voettekst"/>
      <w:tabs>
        <w:tab w:val="clear" w:pos="4153"/>
        <w:tab w:val="clear" w:pos="8306"/>
        <w:tab w:val="center" w:pos="4680"/>
        <w:tab w:val="right" w:pos="9180"/>
      </w:tabs>
      <w:rPr>
        <w:sz w:val="14"/>
      </w:rPr>
    </w:pPr>
    <w:r>
      <w:rPr>
        <w:sz w:val="14"/>
      </w:rPr>
      <w:t>Rijks</w:t>
    </w:r>
    <w:r w:rsidR="00B03B5D">
      <w:rPr>
        <w:sz w:val="14"/>
      </w:rPr>
      <w:t>vastgoedbedrijf</w:t>
    </w:r>
    <w:r>
      <w:rPr>
        <w:sz w:val="14"/>
      </w:rPr>
      <w:t xml:space="preserve"> </w:t>
    </w:r>
    <w:r>
      <w:rPr>
        <w:sz w:val="14"/>
      </w:rPr>
      <w:tab/>
      <w:t xml:space="preserve">Geheimhoudingsverklaring </w:t>
    </w:r>
    <w:r>
      <w:rPr>
        <w:sz w:val="14"/>
      </w:rPr>
      <w:tab/>
      <w:t xml:space="preserve">Pagina </w:t>
    </w:r>
    <w:r w:rsidR="002B2BC3">
      <w:rPr>
        <w:rStyle w:val="Paginanummer"/>
        <w:sz w:val="14"/>
      </w:rPr>
      <w:fldChar w:fldCharType="begin"/>
    </w:r>
    <w:r>
      <w:rPr>
        <w:rStyle w:val="Paginanummer"/>
        <w:sz w:val="14"/>
      </w:rPr>
      <w:instrText xml:space="preserve"> PAGE </w:instrText>
    </w:r>
    <w:r w:rsidR="002B2BC3">
      <w:rPr>
        <w:rStyle w:val="Paginanummer"/>
        <w:sz w:val="14"/>
      </w:rPr>
      <w:fldChar w:fldCharType="separate"/>
    </w:r>
    <w:r w:rsidR="000801F3">
      <w:rPr>
        <w:rStyle w:val="Paginanummer"/>
        <w:noProof/>
        <w:sz w:val="14"/>
      </w:rPr>
      <w:t>1</w:t>
    </w:r>
    <w:r w:rsidR="002B2BC3">
      <w:rPr>
        <w:rStyle w:val="Paginanummer"/>
        <w:sz w:val="14"/>
      </w:rPr>
      <w:fldChar w:fldCharType="end"/>
    </w:r>
    <w:r>
      <w:rPr>
        <w:rStyle w:val="Paginanummer"/>
        <w:sz w:val="14"/>
      </w:rPr>
      <w:t xml:space="preserve"> </w:t>
    </w:r>
    <w:r>
      <w:rPr>
        <w:sz w:val="14"/>
      </w:rPr>
      <w:t xml:space="preserve">van </w:t>
    </w:r>
    <w:r w:rsidR="002B2BC3">
      <w:rPr>
        <w:rStyle w:val="Paginanummer"/>
        <w:sz w:val="14"/>
      </w:rPr>
      <w:fldChar w:fldCharType="begin"/>
    </w:r>
    <w:r>
      <w:rPr>
        <w:rStyle w:val="Paginanummer"/>
        <w:sz w:val="14"/>
      </w:rPr>
      <w:instrText xml:space="preserve"> NUMPAGES </w:instrText>
    </w:r>
    <w:r w:rsidR="002B2BC3">
      <w:rPr>
        <w:rStyle w:val="Paginanummer"/>
        <w:sz w:val="14"/>
      </w:rPr>
      <w:fldChar w:fldCharType="separate"/>
    </w:r>
    <w:r w:rsidR="000801F3">
      <w:rPr>
        <w:rStyle w:val="Paginanummer"/>
        <w:noProof/>
        <w:sz w:val="14"/>
      </w:rPr>
      <w:t>4</w:t>
    </w:r>
    <w:r w:rsidR="002B2BC3">
      <w:rPr>
        <w:rStyle w:val="Paginanummer"/>
        <w:sz w:val="14"/>
      </w:rPr>
      <w:fldChar w:fldCharType="end"/>
    </w:r>
  </w:p>
  <w:p w:rsidR="0051432B" w:rsidRDefault="005143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04B" w:rsidRDefault="00E5604B">
      <w:r>
        <w:separator/>
      </w:r>
    </w:p>
  </w:footnote>
  <w:footnote w:type="continuationSeparator" w:id="0">
    <w:p w:rsidR="00E5604B" w:rsidRDefault="00E5604B">
      <w:r>
        <w:continuationSeparator/>
      </w:r>
    </w:p>
  </w:footnote>
  <w:footnote w:id="1">
    <w:p w:rsidR="0051432B" w:rsidRDefault="0051432B">
      <w:pPr>
        <w:pStyle w:val="Voetnoottekst"/>
      </w:pPr>
      <w:r>
        <w:rPr>
          <w:rStyle w:val="Voetnootmarkering"/>
        </w:rPr>
        <w:footnoteRef/>
      </w:r>
      <w:r>
        <w:t xml:space="preserve">Te downloaden op </w:t>
      </w:r>
      <w:r w:rsidRPr="002D42B4">
        <w:t>http://www.</w:t>
      </w:r>
      <w:r w:rsidR="00A5766D">
        <w:t>rijksvastgoedbedrijf.nl/documenten</w:t>
      </w:r>
    </w:p>
  </w:footnote>
  <w:footnote w:id="2">
    <w:p w:rsidR="0051432B" w:rsidRDefault="0051432B">
      <w:pPr>
        <w:pStyle w:val="Voetnoottekst"/>
      </w:pPr>
      <w:r>
        <w:rPr>
          <w:rStyle w:val="Voetnootmarkering"/>
        </w:rPr>
        <w:footnoteRef/>
      </w:r>
      <w:r>
        <w:t xml:space="preserve"> Met name de voorschriften die betrekking hebben op informatiebeveiliging, zie o.a. “Beveiligingsvoorschrift rijksdienst 2005”</w:t>
      </w:r>
      <w:r w:rsidR="00BF5B60">
        <w:t>,</w:t>
      </w:r>
      <w:r>
        <w:t xml:space="preserve"> “Basisreglement integrale beveiliging B</w:t>
      </w:r>
      <w:r w:rsidR="00BF5B60">
        <w:t>ZK (2009)” en</w:t>
      </w:r>
      <w:r>
        <w:t xml:space="preserve"> </w:t>
      </w:r>
      <w:r w:rsidR="00BF5B60">
        <w:t>het Besluit voorschrift informatiebeveiliging rijksdienst - bijzondere informatie (Vir-bi)</w:t>
      </w:r>
    </w:p>
  </w:footnote>
  <w:footnote w:id="3">
    <w:p w:rsidR="0051432B" w:rsidRDefault="0051432B">
      <w:pPr>
        <w:pStyle w:val="Voetnoottekst"/>
      </w:pPr>
      <w:r>
        <w:rPr>
          <w:rStyle w:val="Voetnootmarkering"/>
        </w:rPr>
        <w:footnoteRef/>
      </w:r>
      <w:r>
        <w:t xml:space="preserve">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2B" w:rsidRDefault="0051432B">
    <w:pPr>
      <w:pStyle w:val="Koptekst"/>
    </w:pPr>
    <w:r>
      <w:rPr>
        <w:noProof/>
        <w:sz w:val="20"/>
      </w:rPr>
      <w:drawing>
        <wp:anchor distT="0" distB="0" distL="114300" distR="114300" simplePos="0" relativeHeight="251656192" behindDoc="0" locked="0" layoutInCell="1" allowOverlap="1">
          <wp:simplePos x="0" y="0"/>
          <wp:positionH relativeFrom="column">
            <wp:posOffset>-20320</wp:posOffset>
          </wp:positionH>
          <wp:positionV relativeFrom="paragraph">
            <wp:posOffset>1402715</wp:posOffset>
          </wp:positionV>
          <wp:extent cx="4800600" cy="464820"/>
          <wp:effectExtent l="1905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6000"/>
                  </a:blip>
                  <a:srcRect/>
                  <a:stretch>
                    <a:fillRect/>
                  </a:stretch>
                </pic:blipFill>
                <pic:spPr bwMode="auto">
                  <a:xfrm>
                    <a:off x="0" y="0"/>
                    <a:ext cx="4800600" cy="46482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2B" w:rsidRDefault="005F38CA">
    <w:pPr>
      <w:pStyle w:val="Koptekst"/>
    </w:pPr>
    <w:r w:rsidRPr="005F38CA">
      <w:rPr>
        <w:noProof/>
        <w:sz w:val="20"/>
      </w:rPr>
      <w:drawing>
        <wp:anchor distT="0" distB="0" distL="114300" distR="114300" simplePos="0" relativeHeight="251664384" behindDoc="0" locked="0" layoutInCell="1" allowOverlap="1">
          <wp:simplePos x="0" y="0"/>
          <wp:positionH relativeFrom="column">
            <wp:posOffset>247816</wp:posOffset>
          </wp:positionH>
          <wp:positionV relativeFrom="paragraph">
            <wp:posOffset>-615232</wp:posOffset>
          </wp:positionV>
          <wp:extent cx="5398935" cy="1455089"/>
          <wp:effectExtent l="0" t="0" r="0" b="0"/>
          <wp:wrapNone/>
          <wp:docPr id="2" name="Afbeelding 2"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B_Logo_Kop"/>
                  <pic:cNvPicPr>
                    <a:picLocks noChangeAspect="1" noChangeArrowheads="1"/>
                  </pic:cNvPicPr>
                </pic:nvPicPr>
                <pic:blipFill>
                  <a:blip r:embed="rId1" cstate="print"/>
                  <a:srcRect/>
                  <a:stretch>
                    <a:fillRect/>
                  </a:stretch>
                </pic:blipFill>
                <pic:spPr bwMode="auto">
                  <a:xfrm>
                    <a:off x="0" y="0"/>
                    <a:ext cx="5400675" cy="1457325"/>
                  </a:xfrm>
                  <a:prstGeom prst="rect">
                    <a:avLst/>
                  </a:prstGeom>
                  <a:noFill/>
                  <a:ln w="9525">
                    <a:noFill/>
                    <a:miter lim="800000"/>
                    <a:headEnd/>
                    <a:tailEnd/>
                  </a:ln>
                </pic:spPr>
              </pic:pic>
            </a:graphicData>
          </a:graphic>
        </wp:anchor>
      </w:drawing>
    </w:r>
    <w:r w:rsidR="0051432B">
      <w:rPr>
        <w:noProof/>
        <w:sz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1227455</wp:posOffset>
          </wp:positionV>
          <wp:extent cx="1067435" cy="524510"/>
          <wp:effectExtent l="1905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067435" cy="5245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2B" w:rsidRDefault="00514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FC9"/>
    <w:multiLevelType w:val="hybridMultilevel"/>
    <w:tmpl w:val="C630D6A2"/>
    <w:lvl w:ilvl="0" w:tplc="5DFAB6C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04426A5"/>
    <w:multiLevelType w:val="hybridMultilevel"/>
    <w:tmpl w:val="FC887252"/>
    <w:lvl w:ilvl="0" w:tplc="5DFAB6C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52DD308B"/>
    <w:multiLevelType w:val="multilevel"/>
    <w:tmpl w:val="A15276D0"/>
    <w:lvl w:ilvl="0">
      <w:start w:val="1"/>
      <w:numFmt w:val="decimal"/>
      <w:lvlText w:val="%1"/>
      <w:lvlJc w:val="left"/>
      <w:pPr>
        <w:tabs>
          <w:tab w:val="num" w:pos="1512"/>
        </w:tabs>
        <w:ind w:left="1512" w:hanging="432"/>
      </w:pPr>
      <w:rPr>
        <w:rFonts w:hint="default"/>
      </w:rPr>
    </w:lvl>
    <w:lvl w:ilvl="1">
      <w:start w:val="1"/>
      <w:numFmt w:val="decimal"/>
      <w:pStyle w:val="Kop2"/>
      <w:lvlText w:val="%1.%2"/>
      <w:lvlJc w:val="left"/>
      <w:pPr>
        <w:tabs>
          <w:tab w:val="num" w:pos="936"/>
        </w:tabs>
        <w:ind w:left="93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4D02D4D"/>
    <w:multiLevelType w:val="hybridMultilevel"/>
    <w:tmpl w:val="AD288A2C"/>
    <w:lvl w:ilvl="0" w:tplc="5DFAB6C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53B1BCC"/>
    <w:multiLevelType w:val="hybridMultilevel"/>
    <w:tmpl w:val="D840C5DC"/>
    <w:lvl w:ilvl="0" w:tplc="79982020">
      <w:start w:val="1"/>
      <w:numFmt w:val="decimal"/>
      <w:lvlText w:val="%1"/>
      <w:lvlJc w:val="left"/>
      <w:pPr>
        <w:tabs>
          <w:tab w:val="num" w:pos="360"/>
        </w:tabs>
        <w:ind w:left="360" w:hanging="360"/>
      </w:pPr>
      <w:rPr>
        <w:rFonts w:hint="default"/>
      </w:rPr>
    </w:lvl>
    <w:lvl w:ilvl="1" w:tplc="EE06F170">
      <w:start w:val="7"/>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85952BA"/>
    <w:multiLevelType w:val="hybridMultilevel"/>
    <w:tmpl w:val="C74A0C42"/>
    <w:lvl w:ilvl="0" w:tplc="5DFAB6C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2"/>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177E"/>
    <w:rsid w:val="00011273"/>
    <w:rsid w:val="000801F3"/>
    <w:rsid w:val="000D00B6"/>
    <w:rsid w:val="000E7873"/>
    <w:rsid w:val="001151E1"/>
    <w:rsid w:val="00152FC2"/>
    <w:rsid w:val="00197700"/>
    <w:rsid w:val="00201727"/>
    <w:rsid w:val="00230F01"/>
    <w:rsid w:val="00256979"/>
    <w:rsid w:val="0027067D"/>
    <w:rsid w:val="00274DA3"/>
    <w:rsid w:val="002B2BC3"/>
    <w:rsid w:val="002D42B4"/>
    <w:rsid w:val="00372ADE"/>
    <w:rsid w:val="003A2A5D"/>
    <w:rsid w:val="003B6130"/>
    <w:rsid w:val="003B760B"/>
    <w:rsid w:val="003E5426"/>
    <w:rsid w:val="00425D11"/>
    <w:rsid w:val="00497973"/>
    <w:rsid w:val="004A6983"/>
    <w:rsid w:val="004F4538"/>
    <w:rsid w:val="00507379"/>
    <w:rsid w:val="0051432B"/>
    <w:rsid w:val="00541BD0"/>
    <w:rsid w:val="005443F0"/>
    <w:rsid w:val="00566D34"/>
    <w:rsid w:val="005F38CA"/>
    <w:rsid w:val="00646C33"/>
    <w:rsid w:val="00663DCC"/>
    <w:rsid w:val="006A4BEE"/>
    <w:rsid w:val="006B4943"/>
    <w:rsid w:val="0070261E"/>
    <w:rsid w:val="00742023"/>
    <w:rsid w:val="007C5DAD"/>
    <w:rsid w:val="00803716"/>
    <w:rsid w:val="00836D52"/>
    <w:rsid w:val="00840FB3"/>
    <w:rsid w:val="008B02F1"/>
    <w:rsid w:val="008D00B1"/>
    <w:rsid w:val="008E09F7"/>
    <w:rsid w:val="008E5E36"/>
    <w:rsid w:val="009003D0"/>
    <w:rsid w:val="00922C53"/>
    <w:rsid w:val="00922E95"/>
    <w:rsid w:val="00934DE4"/>
    <w:rsid w:val="0095015A"/>
    <w:rsid w:val="00A31762"/>
    <w:rsid w:val="00A5766D"/>
    <w:rsid w:val="00A7244A"/>
    <w:rsid w:val="00A7375F"/>
    <w:rsid w:val="00AE6AFC"/>
    <w:rsid w:val="00B0227F"/>
    <w:rsid w:val="00B03B5D"/>
    <w:rsid w:val="00B0488F"/>
    <w:rsid w:val="00B13725"/>
    <w:rsid w:val="00B209E1"/>
    <w:rsid w:val="00BD31A5"/>
    <w:rsid w:val="00BF5B60"/>
    <w:rsid w:val="00CB736A"/>
    <w:rsid w:val="00CB7A12"/>
    <w:rsid w:val="00D0789E"/>
    <w:rsid w:val="00D1177E"/>
    <w:rsid w:val="00D36F28"/>
    <w:rsid w:val="00D40673"/>
    <w:rsid w:val="00E5604B"/>
    <w:rsid w:val="00E84C38"/>
    <w:rsid w:val="00EB3FA1"/>
    <w:rsid w:val="00EE7985"/>
    <w:rsid w:val="00F0786D"/>
    <w:rsid w:val="00F15143"/>
    <w:rsid w:val="00F2266B"/>
    <w:rsid w:val="00F3238D"/>
    <w:rsid w:val="00F33B5B"/>
    <w:rsid w:val="00F37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CF4BC"/>
  <w15:docId w15:val="{BC4B288B-2098-48C0-9E54-CC0DD67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177E"/>
    <w:rPr>
      <w:rFonts w:ascii="Verdana" w:hAnsi="Verdana"/>
      <w:sz w:val="18"/>
      <w:szCs w:val="24"/>
    </w:rPr>
  </w:style>
  <w:style w:type="paragraph" w:styleId="Kop1">
    <w:name w:val="heading 1"/>
    <w:aliases w:val="Artikelkop"/>
    <w:basedOn w:val="Standaard"/>
    <w:next w:val="Standaard"/>
    <w:autoRedefine/>
    <w:qFormat/>
    <w:rsid w:val="00D1177E"/>
    <w:pPr>
      <w:keepNext/>
      <w:spacing w:before="120"/>
      <w:outlineLvl w:val="0"/>
    </w:pPr>
    <w:rPr>
      <w:rFonts w:ascii="Arial" w:hAnsi="Arial" w:cs="Arial"/>
      <w:b/>
      <w:sz w:val="20"/>
    </w:rPr>
  </w:style>
  <w:style w:type="paragraph" w:styleId="Kop2">
    <w:name w:val="heading 2"/>
    <w:aliases w:val="Paragraafkop"/>
    <w:basedOn w:val="Standaard"/>
    <w:next w:val="Standaard"/>
    <w:qFormat/>
    <w:rsid w:val="00D1177E"/>
    <w:pPr>
      <w:keepNext/>
      <w:numPr>
        <w:ilvl w:val="1"/>
        <w:numId w:val="3"/>
      </w:numPr>
      <w:spacing w:before="240" w:after="60" w:line="240" w:lineRule="atLeast"/>
      <w:outlineLvl w:val="1"/>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D1177E"/>
    <w:rPr>
      <w:rFonts w:ascii="Arial" w:hAnsi="Arial"/>
      <w:color w:val="3366FF"/>
      <w:sz w:val="22"/>
    </w:rPr>
  </w:style>
  <w:style w:type="character" w:styleId="GevolgdeHyperlink">
    <w:name w:val="FollowedHyperlink"/>
    <w:basedOn w:val="Standaardalinea-lettertype"/>
    <w:semiHidden/>
    <w:rsid w:val="00D1177E"/>
    <w:rPr>
      <w:rFonts w:ascii="Verdana" w:hAnsi="Verdana"/>
      <w:dstrike w:val="0"/>
      <w:color w:val="3366FF"/>
      <w:sz w:val="20"/>
      <w:u w:val="none"/>
      <w:effect w:val="none"/>
    </w:rPr>
  </w:style>
  <w:style w:type="paragraph" w:styleId="Koptekst">
    <w:name w:val="header"/>
    <w:basedOn w:val="Standaard"/>
    <w:semiHidden/>
    <w:rsid w:val="00D1177E"/>
    <w:pPr>
      <w:tabs>
        <w:tab w:val="center" w:pos="4153"/>
        <w:tab w:val="right" w:pos="8306"/>
      </w:tabs>
    </w:pPr>
  </w:style>
  <w:style w:type="paragraph" w:styleId="Voettekst">
    <w:name w:val="footer"/>
    <w:basedOn w:val="Standaard"/>
    <w:semiHidden/>
    <w:rsid w:val="00D1177E"/>
    <w:pPr>
      <w:tabs>
        <w:tab w:val="center" w:pos="4153"/>
        <w:tab w:val="right" w:pos="8306"/>
      </w:tabs>
    </w:pPr>
  </w:style>
  <w:style w:type="character" w:styleId="Voetnootmarkering">
    <w:name w:val="footnote reference"/>
    <w:basedOn w:val="Standaardalinea-lettertype"/>
    <w:semiHidden/>
    <w:rsid w:val="00D1177E"/>
    <w:rPr>
      <w:rFonts w:ascii="Verdana" w:hAnsi="Verdana"/>
      <w:vertAlign w:val="superscript"/>
    </w:rPr>
  </w:style>
  <w:style w:type="paragraph" w:styleId="Voetnoottekst">
    <w:name w:val="footnote text"/>
    <w:basedOn w:val="Standaard"/>
    <w:autoRedefine/>
    <w:semiHidden/>
    <w:rsid w:val="00D1177E"/>
    <w:pPr>
      <w:spacing w:line="240" w:lineRule="atLeast"/>
    </w:pPr>
    <w:rPr>
      <w:sz w:val="13"/>
      <w:szCs w:val="20"/>
    </w:rPr>
  </w:style>
  <w:style w:type="paragraph" w:customStyle="1" w:styleId="plattetekst">
    <w:name w:val="platte tekst"/>
    <w:basedOn w:val="Standaard"/>
    <w:rsid w:val="00D1177E"/>
    <w:pPr>
      <w:spacing w:line="295" w:lineRule="auto"/>
    </w:pPr>
    <w:rPr>
      <w:rFonts w:cs="Arial"/>
      <w:szCs w:val="20"/>
    </w:rPr>
  </w:style>
  <w:style w:type="paragraph" w:styleId="Plattetekstinspringen3">
    <w:name w:val="Body Text Indent 3"/>
    <w:basedOn w:val="Standaard"/>
    <w:semiHidden/>
    <w:rsid w:val="00D1177E"/>
    <w:pPr>
      <w:spacing w:line="295" w:lineRule="auto"/>
      <w:ind w:left="708"/>
    </w:pPr>
    <w:rPr>
      <w:rFonts w:ascii="Arial" w:hAnsi="Arial"/>
      <w:sz w:val="20"/>
    </w:rPr>
  </w:style>
  <w:style w:type="character" w:styleId="Paginanummer">
    <w:name w:val="page number"/>
    <w:basedOn w:val="Standaardalinea-lettertype"/>
    <w:semiHidden/>
    <w:rsid w:val="00D1177E"/>
  </w:style>
  <w:style w:type="paragraph" w:styleId="Ballontekst">
    <w:name w:val="Balloon Text"/>
    <w:basedOn w:val="Standaard"/>
    <w:link w:val="BallontekstChar"/>
    <w:uiPriority w:val="99"/>
    <w:semiHidden/>
    <w:unhideWhenUsed/>
    <w:rsid w:val="006B4943"/>
    <w:rPr>
      <w:rFonts w:ascii="Tahoma" w:hAnsi="Tahoma" w:cs="Tahoma"/>
      <w:sz w:val="16"/>
      <w:szCs w:val="16"/>
    </w:rPr>
  </w:style>
  <w:style w:type="character" w:customStyle="1" w:styleId="BallontekstChar">
    <w:name w:val="Ballontekst Char"/>
    <w:basedOn w:val="Standaardalinea-lettertype"/>
    <w:link w:val="Ballontekst"/>
    <w:uiPriority w:val="99"/>
    <w:semiHidden/>
    <w:rsid w:val="006B4943"/>
    <w:rPr>
      <w:rFonts w:ascii="Tahoma" w:hAnsi="Tahoma" w:cs="Tahoma"/>
      <w:sz w:val="16"/>
      <w:szCs w:val="16"/>
    </w:rPr>
  </w:style>
  <w:style w:type="character" w:styleId="Verwijzingopmerking">
    <w:name w:val="annotation reference"/>
    <w:basedOn w:val="Standaardalinea-lettertype"/>
    <w:uiPriority w:val="99"/>
    <w:semiHidden/>
    <w:unhideWhenUsed/>
    <w:rsid w:val="005443F0"/>
    <w:rPr>
      <w:sz w:val="16"/>
      <w:szCs w:val="16"/>
    </w:rPr>
  </w:style>
  <w:style w:type="paragraph" w:styleId="Tekstopmerking">
    <w:name w:val="annotation text"/>
    <w:basedOn w:val="Standaard"/>
    <w:link w:val="TekstopmerkingChar"/>
    <w:uiPriority w:val="99"/>
    <w:semiHidden/>
    <w:unhideWhenUsed/>
    <w:rsid w:val="005443F0"/>
    <w:rPr>
      <w:sz w:val="20"/>
      <w:szCs w:val="20"/>
    </w:rPr>
  </w:style>
  <w:style w:type="character" w:customStyle="1" w:styleId="TekstopmerkingChar">
    <w:name w:val="Tekst opmerking Char"/>
    <w:basedOn w:val="Standaardalinea-lettertype"/>
    <w:link w:val="Tekstopmerking"/>
    <w:uiPriority w:val="99"/>
    <w:semiHidden/>
    <w:rsid w:val="005443F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443F0"/>
    <w:rPr>
      <w:b/>
      <w:bCs/>
    </w:rPr>
  </w:style>
  <w:style w:type="character" w:customStyle="1" w:styleId="OnderwerpvanopmerkingChar">
    <w:name w:val="Onderwerp van opmerking Char"/>
    <w:basedOn w:val="TekstopmerkingChar"/>
    <w:link w:val="Onderwerpvanopmerking"/>
    <w:uiPriority w:val="99"/>
    <w:semiHidden/>
    <w:rsid w:val="005443F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KERSSE\Local%20Settings\Temporary%20Internet%20Files\Content.Outlook\9S6M4T9U\Geheimhoudingsverklaring%20(2).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D6BB-9FDD-4759-B787-914E640A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Geheimhoudingsverklaring (2)</Template>
  <TotalTime>0</TotalTime>
  <Pages>4</Pages>
  <Words>1211</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Ondergetekende:</vt:lpstr>
    </vt:vector>
  </TitlesOfParts>
  <Company>Ministerie van VROM</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Ondergetekende:</dc:title>
  <dc:creator>Ministerie van VROM</dc:creator>
  <cp:lastModifiedBy>Capelleveen, René van</cp:lastModifiedBy>
  <cp:revision>6</cp:revision>
  <cp:lastPrinted>2017-04-11T07:52:00Z</cp:lastPrinted>
  <dcterms:created xsi:type="dcterms:W3CDTF">2014-07-30T08:07:00Z</dcterms:created>
  <dcterms:modified xsi:type="dcterms:W3CDTF">2020-03-17T18:34:00Z</dcterms:modified>
</cp:coreProperties>
</file>