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6909" w:rsidRDefault="00501084" w:rsidP="001B6909">
      <w:pPr>
        <w:pStyle w:val="Kop1"/>
      </w:pPr>
      <w:r>
        <w:t>Werkwijze</w:t>
      </w:r>
      <w:r w:rsidR="004C4063">
        <w:t xml:space="preserve"> </w:t>
      </w:r>
      <w:r w:rsidR="003F22C4">
        <w:t>resultaat</w:t>
      </w:r>
      <w:r w:rsidR="00F2102B">
        <w:t>gerichte</w:t>
      </w:r>
      <w:r w:rsidR="003F22C4">
        <w:t xml:space="preserve"> bekostiging</w:t>
      </w:r>
    </w:p>
    <w:p w:rsidR="00501084" w:rsidRDefault="008C0F6E">
      <w:r>
        <w:t xml:space="preserve">Deze werkwijze </w:t>
      </w:r>
      <w:r w:rsidR="001771D5">
        <w:t>berichtenverkeer</w:t>
      </w:r>
      <w:r w:rsidR="00501084">
        <w:t xml:space="preserve"> geldt voor de volgende </w:t>
      </w:r>
      <w:r w:rsidR="00B6683C">
        <w:t>percelen</w:t>
      </w:r>
      <w:r w:rsidR="001B6909">
        <w:t>:</w:t>
      </w:r>
    </w:p>
    <w:p w:rsidR="004D1B1F" w:rsidRDefault="004D1B1F" w:rsidP="00B6683C">
      <w:pPr>
        <w:pStyle w:val="Lijstalinea"/>
        <w:numPr>
          <w:ilvl w:val="0"/>
          <w:numId w:val="2"/>
        </w:numPr>
      </w:pPr>
      <w:r>
        <w:t xml:space="preserve">Wmo: </w:t>
      </w:r>
      <w:r w:rsidRPr="00C47E42">
        <w:t>Begeleiding</w:t>
      </w:r>
    </w:p>
    <w:p w:rsidR="004D1B1F" w:rsidRPr="00B6683C" w:rsidRDefault="004D1B1F" w:rsidP="00B6683C">
      <w:pPr>
        <w:pStyle w:val="Lijstalinea"/>
        <w:numPr>
          <w:ilvl w:val="0"/>
          <w:numId w:val="2"/>
        </w:numPr>
      </w:pPr>
      <w:r>
        <w:t xml:space="preserve">Wmo: </w:t>
      </w:r>
      <w:r w:rsidR="00F2102B">
        <w:t>Arbeidsmatige d</w:t>
      </w:r>
      <w:r>
        <w:t xml:space="preserve">agactiviteiten </w:t>
      </w:r>
    </w:p>
    <w:p w:rsidR="00B6683C" w:rsidRDefault="00B6683C"/>
    <w:p w:rsidR="001B6909" w:rsidRDefault="001B6909">
      <w:r>
        <w:t>Binnen deze percelen worden de trajecttarieven op de volgende manier bepaald:</w:t>
      </w:r>
    </w:p>
    <w:p w:rsidR="001B6909" w:rsidRDefault="001B6909" w:rsidP="001B6909">
      <w:pPr>
        <w:pStyle w:val="Lijstalinea"/>
        <w:numPr>
          <w:ilvl w:val="0"/>
          <w:numId w:val="3"/>
        </w:numPr>
      </w:pPr>
      <w:r>
        <w:t>Productcodes waar voor elke client hetzelfde periode tarief geldt (Vast tarief)</w:t>
      </w:r>
    </w:p>
    <w:p w:rsidR="001B6909" w:rsidRDefault="001B6909" w:rsidP="001B6909">
      <w:pPr>
        <w:pStyle w:val="Lijstalinea"/>
        <w:numPr>
          <w:ilvl w:val="0"/>
          <w:numId w:val="3"/>
        </w:numPr>
      </w:pPr>
      <w:r>
        <w:t>Productcodes waar per client voor een periode aan ander tarief kan gelden (Variabel tarief)</w:t>
      </w:r>
    </w:p>
    <w:p w:rsidR="001B6909" w:rsidRDefault="001B6909" w:rsidP="00AE0355"/>
    <w:p w:rsidR="00501084" w:rsidRDefault="00501084">
      <w:r>
        <w:t xml:space="preserve">Wanneer de aanbieder de doelen met de </w:t>
      </w:r>
      <w:r w:rsidR="001771D5">
        <w:t>cliënt</w:t>
      </w:r>
      <w:r>
        <w:t xml:space="preserve"> sneller heeft afgerond dan de toegewezen periode, dan kan </w:t>
      </w:r>
      <w:r w:rsidR="00C206D6">
        <w:t xml:space="preserve">de aanbieder </w:t>
      </w:r>
      <w:r>
        <w:t xml:space="preserve">in de laatste periode de nog openstaande volume declareren. </w:t>
      </w:r>
    </w:p>
    <w:p w:rsidR="00501084" w:rsidRDefault="00501084"/>
    <w:p w:rsidR="00501084" w:rsidRDefault="00501084">
      <w:r>
        <w:t>Wanneer de aanbieder binnen de afgegeven periode de doelen niet haalt, zal de gemeente de toewijzing met maximaal de helft van eerder afgegeven toewijzing verlengen. Het volume blijft hetzelfde, hierdoor kan de aanbieder geen extra declaratie meer indienen.</w:t>
      </w:r>
    </w:p>
    <w:p w:rsidR="00C206D6" w:rsidRDefault="00C206D6"/>
    <w:p w:rsidR="00C206D6" w:rsidRDefault="00C206D6">
      <w:r>
        <w:t>Voor de berichten volgen wij (op moment van schrijven) het SAP outputgericht versie 3.0.1:</w:t>
      </w:r>
    </w:p>
    <w:p w:rsidR="00C206D6" w:rsidRDefault="00AE0355">
      <w:hyperlink r:id="rId6" w:history="1">
        <w:r w:rsidR="00C206D6" w:rsidRPr="00E66F09">
          <w:rPr>
            <w:rStyle w:val="Hyperlink"/>
          </w:rPr>
          <w:t>https://i-sociaaldomein.nl/cms/view/57979259/wat-zijn-standaard-a</w:t>
        </w:r>
        <w:r w:rsidR="00C206D6" w:rsidRPr="00E66F09">
          <w:rPr>
            <w:rStyle w:val="Hyperlink"/>
          </w:rPr>
          <w:t>d</w:t>
        </w:r>
        <w:r w:rsidR="00C206D6" w:rsidRPr="00E66F09">
          <w:rPr>
            <w:rStyle w:val="Hyperlink"/>
          </w:rPr>
          <w:t>ministratieprotocollen/57979376</w:t>
        </w:r>
      </w:hyperlink>
    </w:p>
    <w:p w:rsidR="00C206D6" w:rsidRDefault="00C206D6"/>
    <w:p w:rsidR="00C206D6" w:rsidRDefault="00C206D6">
      <w:r>
        <w:t>Dit document beschrijft nog enkele voorbeelden hoe de gekozen werkwijze in de praktijk gebruikt gaat worden.</w:t>
      </w:r>
    </w:p>
    <w:p w:rsidR="00501084" w:rsidRDefault="00501084"/>
    <w:p w:rsidR="001B6909" w:rsidRDefault="001B6909" w:rsidP="001B6909">
      <w:pPr>
        <w:pStyle w:val="Kop2"/>
      </w:pPr>
      <w:r>
        <w:t>Producten met een ‘vast’ tarief</w:t>
      </w:r>
    </w:p>
    <w:p w:rsidR="001B6909" w:rsidRDefault="001B6909" w:rsidP="001B6909">
      <w:r>
        <w:t>Voor deze producten geeft de gemeente een toewijzing af voor een bepaalde periode. Binnen deze periode kan de aanbieder per maand een evenredig deel declareren. De werkafspraak is elke maand 1</w:t>
      </w:r>
      <w:r w:rsidRPr="00501084">
        <w:t xml:space="preserve"> </w:t>
      </w:r>
      <w:r>
        <w:t>Stuks (output</w:t>
      </w:r>
      <w:r w:rsidRPr="004E6F80">
        <w:t>)</w:t>
      </w:r>
      <w:r>
        <w:t>.</w:t>
      </w:r>
      <w:r>
        <w:t xml:space="preserve"> Het gebruikte periode tarief is voor elke client hetzelfde.</w:t>
      </w:r>
    </w:p>
    <w:p w:rsidR="001B6909" w:rsidRPr="00AE0355" w:rsidRDefault="001B6909" w:rsidP="00AE0355"/>
    <w:p w:rsidR="00501084" w:rsidRPr="00501084" w:rsidRDefault="001B6909" w:rsidP="00AE0355">
      <w:pPr>
        <w:pStyle w:val="Kop3"/>
      </w:pPr>
      <w:r>
        <w:t>Toewijzing</w:t>
      </w:r>
    </w:p>
    <w:p w:rsidR="004E6F80" w:rsidRDefault="001B6909">
      <w:r>
        <w:t xml:space="preserve">De toewijzing wordt afgegeven voor bepaalde tijd. </w:t>
      </w:r>
      <w:r w:rsidR="004E6F80">
        <w:t>Bij een eerste indicatie wordt de vol</w:t>
      </w:r>
      <w:r w:rsidR="00501084">
        <w:t>g</w:t>
      </w:r>
      <w:r w:rsidR="004E6F80">
        <w:t xml:space="preserve">ende toewijzing aangemaakt </w:t>
      </w:r>
      <w:r w:rsidR="00501084">
        <w:t xml:space="preserve">door de gemeente en naar de </w:t>
      </w:r>
      <w:r w:rsidR="004E6F80">
        <w:t>aanbieder</w:t>
      </w:r>
      <w:r w:rsidR="00501084">
        <w:t xml:space="preserve"> gestuurd:</w:t>
      </w:r>
    </w:p>
    <w:p w:rsidR="004E6F80" w:rsidRDefault="004E6F80"/>
    <w:p w:rsidR="004E6F80" w:rsidRDefault="004E6F80"/>
    <w:tbl>
      <w:tblPr>
        <w:tblStyle w:val="Tabelraster"/>
        <w:tblW w:w="14220" w:type="dxa"/>
        <w:tblLook w:val="04A0" w:firstRow="1" w:lastRow="0" w:firstColumn="1" w:lastColumn="0" w:noHBand="0" w:noVBand="1"/>
      </w:tblPr>
      <w:tblGrid>
        <w:gridCol w:w="1400"/>
        <w:gridCol w:w="1578"/>
        <w:gridCol w:w="1526"/>
        <w:gridCol w:w="1394"/>
        <w:gridCol w:w="1794"/>
        <w:gridCol w:w="3427"/>
        <w:gridCol w:w="3101"/>
      </w:tblGrid>
      <w:tr w:rsidR="004E6F80" w:rsidTr="004E6F80">
        <w:tc>
          <w:tcPr>
            <w:tcW w:w="1400" w:type="dxa"/>
          </w:tcPr>
          <w:p w:rsidR="004E6F80" w:rsidRDefault="004E6F80">
            <w:r>
              <w:t>Product</w:t>
            </w:r>
          </w:p>
        </w:tc>
        <w:tc>
          <w:tcPr>
            <w:tcW w:w="1578" w:type="dxa"/>
          </w:tcPr>
          <w:p w:rsidR="004E6F80" w:rsidRDefault="004E6F80">
            <w:r>
              <w:t>Begindatum</w:t>
            </w:r>
          </w:p>
        </w:tc>
        <w:tc>
          <w:tcPr>
            <w:tcW w:w="1526" w:type="dxa"/>
          </w:tcPr>
          <w:p w:rsidR="004E6F80" w:rsidRDefault="004E6F80">
            <w:r>
              <w:t>Einddatum</w:t>
            </w:r>
          </w:p>
        </w:tc>
        <w:tc>
          <w:tcPr>
            <w:tcW w:w="1394" w:type="dxa"/>
          </w:tcPr>
          <w:p w:rsidR="004E6F80" w:rsidRDefault="004E6F80">
            <w:r>
              <w:t>Volume</w:t>
            </w:r>
          </w:p>
        </w:tc>
        <w:tc>
          <w:tcPr>
            <w:tcW w:w="1794" w:type="dxa"/>
          </w:tcPr>
          <w:p w:rsidR="004E6F80" w:rsidRDefault="004E6F80">
            <w:r>
              <w:t>Eenheid</w:t>
            </w:r>
          </w:p>
        </w:tc>
        <w:tc>
          <w:tcPr>
            <w:tcW w:w="3427" w:type="dxa"/>
          </w:tcPr>
          <w:p w:rsidR="004E6F80" w:rsidRDefault="004E6F80">
            <w:r>
              <w:t>Frequentie</w:t>
            </w:r>
          </w:p>
        </w:tc>
        <w:tc>
          <w:tcPr>
            <w:tcW w:w="3101" w:type="dxa"/>
          </w:tcPr>
          <w:p w:rsidR="004E6F80" w:rsidRDefault="004E6F80">
            <w:r>
              <w:t>Toewijzingnummer</w:t>
            </w:r>
          </w:p>
        </w:tc>
      </w:tr>
      <w:tr w:rsidR="004E6F80" w:rsidTr="004E6F80">
        <w:tc>
          <w:tcPr>
            <w:tcW w:w="1400" w:type="dxa"/>
          </w:tcPr>
          <w:p w:rsidR="004E6F80" w:rsidRDefault="004E6F80">
            <w:r>
              <w:t>XXXX1</w:t>
            </w:r>
          </w:p>
        </w:tc>
        <w:tc>
          <w:tcPr>
            <w:tcW w:w="1578" w:type="dxa"/>
          </w:tcPr>
          <w:p w:rsidR="004E6F80" w:rsidRDefault="004E6F80">
            <w:r>
              <w:t>1-1-2022</w:t>
            </w:r>
          </w:p>
        </w:tc>
        <w:tc>
          <w:tcPr>
            <w:tcW w:w="1526" w:type="dxa"/>
          </w:tcPr>
          <w:p w:rsidR="004E6F80" w:rsidRDefault="000240EA">
            <w:r>
              <w:t>31-12-2022</w:t>
            </w:r>
          </w:p>
        </w:tc>
        <w:tc>
          <w:tcPr>
            <w:tcW w:w="1394" w:type="dxa"/>
          </w:tcPr>
          <w:p w:rsidR="004E6F80" w:rsidRDefault="004E6F80">
            <w:r>
              <w:t>12</w:t>
            </w:r>
          </w:p>
        </w:tc>
        <w:tc>
          <w:tcPr>
            <w:tcW w:w="1794" w:type="dxa"/>
          </w:tcPr>
          <w:p w:rsidR="004E6F80" w:rsidRDefault="004D1B1F" w:rsidP="004D1B1F">
            <w:r>
              <w:t>Stuks (output</w:t>
            </w:r>
            <w:r w:rsidR="004E6F80" w:rsidRPr="004E6F80">
              <w:t>)</w:t>
            </w:r>
          </w:p>
        </w:tc>
        <w:tc>
          <w:tcPr>
            <w:tcW w:w="3427" w:type="dxa"/>
          </w:tcPr>
          <w:p w:rsidR="004E6F80" w:rsidRDefault="004E6F80">
            <w:r w:rsidRPr="004E6F80">
              <w:t>Totaal binnen geldigheidsduur toewijzing</w:t>
            </w:r>
          </w:p>
        </w:tc>
        <w:tc>
          <w:tcPr>
            <w:tcW w:w="3101" w:type="dxa"/>
          </w:tcPr>
          <w:p w:rsidR="004E6F80" w:rsidRPr="004E6F80" w:rsidRDefault="004E6F80">
            <w:r>
              <w:t>12345</w:t>
            </w:r>
          </w:p>
        </w:tc>
      </w:tr>
    </w:tbl>
    <w:p w:rsidR="004E6F80" w:rsidRDefault="004E6F80"/>
    <w:p w:rsidR="009E3D13" w:rsidRDefault="009E3D13">
      <w:r>
        <w:t>Volume is gebaseerd op het aantal maanden dat de toewijzing duurt. Per ‘Stuks (</w:t>
      </w:r>
      <w:r w:rsidR="00C817B9">
        <w:t>output</w:t>
      </w:r>
      <w:r>
        <w:t>)</w:t>
      </w:r>
      <w:r w:rsidR="00104FFE">
        <w:t>’</w:t>
      </w:r>
      <w:r>
        <w:t xml:space="preserve"> is contractueel een vaste prijs afgesproken. </w:t>
      </w:r>
    </w:p>
    <w:p w:rsidR="004C4063" w:rsidRDefault="004C4063"/>
    <w:p w:rsidR="004C4063" w:rsidRDefault="004C4063">
      <w:r>
        <w:t xml:space="preserve">Het grootste voordeel van deze manier van toewijzen is dat deze flexibel is. Zowel het volume als </w:t>
      </w:r>
      <w:r w:rsidR="009251CE">
        <w:t xml:space="preserve">de </w:t>
      </w:r>
      <w:r>
        <w:t>einddatum kan aangepast worden zonder een toewijzing te moeten afgeven met een nieuw toewijz</w:t>
      </w:r>
      <w:r w:rsidR="009251CE">
        <w:t>in</w:t>
      </w:r>
      <w:r>
        <w:t>gsnummer. Hierdoor hoeft de aanbieder bij eventuele verlen</w:t>
      </w:r>
      <w:r w:rsidR="001B6909">
        <w:t>g</w:t>
      </w:r>
      <w:r>
        <w:t>ingen ook geen stopberichten en nieuwe startberichten te sturen.</w:t>
      </w:r>
    </w:p>
    <w:p w:rsidR="00501084" w:rsidRDefault="00501084"/>
    <w:p w:rsidR="009E3D13" w:rsidRPr="009E3D13" w:rsidRDefault="009E3D13" w:rsidP="00AE0355">
      <w:pPr>
        <w:pStyle w:val="Kop3"/>
      </w:pPr>
      <w:r w:rsidRPr="009E3D13">
        <w:lastRenderedPageBreak/>
        <w:t>Aanbieder haalt de doelen in exact de afgegeven periode</w:t>
      </w:r>
    </w:p>
    <w:p w:rsidR="009E3D13" w:rsidRDefault="009E3D13">
      <w:r>
        <w:t>Wanneer de aanbieder exact de tijd nodig heeft van de toewijzing. In dit voorbeeld 12 maanden, dan is er verder niets aan de hand. Aanbieder heeft elke maand gedeclareerd.</w:t>
      </w:r>
    </w:p>
    <w:p w:rsidR="009E3D13" w:rsidRDefault="009E3D13"/>
    <w:p w:rsidR="009E3D13" w:rsidRDefault="009E3D13" w:rsidP="00AE0355">
      <w:pPr>
        <w:pStyle w:val="Kop3"/>
      </w:pPr>
      <w:r w:rsidRPr="009E3D13">
        <w:t>Aanbieder haalt de doelen eerder dan de afg</w:t>
      </w:r>
      <w:r w:rsidR="000240EA">
        <w:t>egeven</w:t>
      </w:r>
      <w:r w:rsidRPr="009E3D13">
        <w:t xml:space="preserve"> periode</w:t>
      </w:r>
    </w:p>
    <w:p w:rsidR="000240EA" w:rsidRPr="000240EA" w:rsidRDefault="000240EA">
      <w:r>
        <w:t>De</w:t>
      </w:r>
      <w:r w:rsidR="00501084">
        <w:t xml:space="preserve"> eerder afgegeven</w:t>
      </w:r>
      <w:r>
        <w:t xml:space="preserve"> toewijzing wordt ingekort</w:t>
      </w:r>
      <w:r w:rsidR="00501084">
        <w:t xml:space="preserve"> door de gemeente (eventuele op basis van een stopbericht van de aanbieder)</w:t>
      </w:r>
      <w:r>
        <w:t>, maar het volume blijft gelijk. Hieronder de aangepaste toewijzing</w:t>
      </w:r>
    </w:p>
    <w:tbl>
      <w:tblPr>
        <w:tblStyle w:val="Tabelraster"/>
        <w:tblW w:w="14220" w:type="dxa"/>
        <w:tblLook w:val="04A0" w:firstRow="1" w:lastRow="0" w:firstColumn="1" w:lastColumn="0" w:noHBand="0" w:noVBand="1"/>
      </w:tblPr>
      <w:tblGrid>
        <w:gridCol w:w="1400"/>
        <w:gridCol w:w="1578"/>
        <w:gridCol w:w="1526"/>
        <w:gridCol w:w="1394"/>
        <w:gridCol w:w="1794"/>
        <w:gridCol w:w="3427"/>
        <w:gridCol w:w="3101"/>
      </w:tblGrid>
      <w:tr w:rsidR="009E3D13" w:rsidTr="009E3D13">
        <w:tc>
          <w:tcPr>
            <w:tcW w:w="1400" w:type="dxa"/>
          </w:tcPr>
          <w:p w:rsidR="009E3D13" w:rsidRDefault="009E3D13" w:rsidP="009E3D13">
            <w:r>
              <w:t>Product</w:t>
            </w:r>
          </w:p>
        </w:tc>
        <w:tc>
          <w:tcPr>
            <w:tcW w:w="1578" w:type="dxa"/>
          </w:tcPr>
          <w:p w:rsidR="009E3D13" w:rsidRDefault="009E3D13" w:rsidP="009E3D13">
            <w:r>
              <w:t>Begindatum</w:t>
            </w:r>
          </w:p>
        </w:tc>
        <w:tc>
          <w:tcPr>
            <w:tcW w:w="1526" w:type="dxa"/>
          </w:tcPr>
          <w:p w:rsidR="009E3D13" w:rsidRDefault="009E3D13" w:rsidP="009E3D13">
            <w:r>
              <w:t>Einddatum</w:t>
            </w:r>
          </w:p>
        </w:tc>
        <w:tc>
          <w:tcPr>
            <w:tcW w:w="1394" w:type="dxa"/>
          </w:tcPr>
          <w:p w:rsidR="009E3D13" w:rsidRDefault="009E3D13" w:rsidP="009E3D13">
            <w:r>
              <w:t>Volume</w:t>
            </w:r>
          </w:p>
        </w:tc>
        <w:tc>
          <w:tcPr>
            <w:tcW w:w="1794" w:type="dxa"/>
          </w:tcPr>
          <w:p w:rsidR="009E3D13" w:rsidRDefault="009E3D13" w:rsidP="009E3D13">
            <w:r>
              <w:t>Eenheid</w:t>
            </w:r>
          </w:p>
        </w:tc>
        <w:tc>
          <w:tcPr>
            <w:tcW w:w="3427" w:type="dxa"/>
          </w:tcPr>
          <w:p w:rsidR="009E3D13" w:rsidRDefault="009E3D13" w:rsidP="009E3D13">
            <w:r>
              <w:t>Frequentie</w:t>
            </w:r>
          </w:p>
        </w:tc>
        <w:tc>
          <w:tcPr>
            <w:tcW w:w="3101" w:type="dxa"/>
          </w:tcPr>
          <w:p w:rsidR="009E3D13" w:rsidRDefault="009E3D13" w:rsidP="009E3D13">
            <w:r>
              <w:t>Toewijzingnummer</w:t>
            </w:r>
          </w:p>
        </w:tc>
      </w:tr>
      <w:tr w:rsidR="009E3D13" w:rsidTr="009E3D13">
        <w:tc>
          <w:tcPr>
            <w:tcW w:w="1400" w:type="dxa"/>
          </w:tcPr>
          <w:p w:rsidR="009E3D13" w:rsidRDefault="009E3D13" w:rsidP="009E3D13">
            <w:r>
              <w:t>XXXX1</w:t>
            </w:r>
          </w:p>
        </w:tc>
        <w:tc>
          <w:tcPr>
            <w:tcW w:w="1578" w:type="dxa"/>
          </w:tcPr>
          <w:p w:rsidR="009E3D13" w:rsidRDefault="009E3D13" w:rsidP="009E3D13">
            <w:r>
              <w:t>1-1-2022</w:t>
            </w:r>
          </w:p>
        </w:tc>
        <w:tc>
          <w:tcPr>
            <w:tcW w:w="1526" w:type="dxa"/>
          </w:tcPr>
          <w:p w:rsidR="009E3D13" w:rsidRDefault="009E3D13" w:rsidP="000240EA">
            <w:r>
              <w:t>31-</w:t>
            </w:r>
            <w:r w:rsidR="000240EA">
              <w:t>10</w:t>
            </w:r>
            <w:r>
              <w:t>-202</w:t>
            </w:r>
            <w:r w:rsidR="000240EA">
              <w:t>2</w:t>
            </w:r>
          </w:p>
        </w:tc>
        <w:tc>
          <w:tcPr>
            <w:tcW w:w="1394" w:type="dxa"/>
          </w:tcPr>
          <w:p w:rsidR="009E3D13" w:rsidRDefault="009E3D13" w:rsidP="009E3D13">
            <w:r>
              <w:t>12</w:t>
            </w:r>
          </w:p>
        </w:tc>
        <w:tc>
          <w:tcPr>
            <w:tcW w:w="1794" w:type="dxa"/>
          </w:tcPr>
          <w:p w:rsidR="009E3D13" w:rsidRDefault="004D1B1F" w:rsidP="004D1B1F">
            <w:r>
              <w:t>Stuks (output</w:t>
            </w:r>
            <w:r w:rsidR="009E3D13" w:rsidRPr="004E6F80">
              <w:t>)</w:t>
            </w:r>
          </w:p>
        </w:tc>
        <w:tc>
          <w:tcPr>
            <w:tcW w:w="3427" w:type="dxa"/>
          </w:tcPr>
          <w:p w:rsidR="009E3D13" w:rsidRDefault="009E3D13" w:rsidP="009E3D13">
            <w:r w:rsidRPr="004E6F80">
              <w:t>Totaal binnen geldigheidsduur toewijzing</w:t>
            </w:r>
          </w:p>
        </w:tc>
        <w:tc>
          <w:tcPr>
            <w:tcW w:w="3101" w:type="dxa"/>
          </w:tcPr>
          <w:p w:rsidR="009E3D13" w:rsidRPr="004E6F80" w:rsidRDefault="009E3D13" w:rsidP="009E3D13">
            <w:r>
              <w:t>12345</w:t>
            </w:r>
          </w:p>
        </w:tc>
      </w:tr>
    </w:tbl>
    <w:p w:rsidR="009E3D13" w:rsidRDefault="009E3D13"/>
    <w:p w:rsidR="009E3D13" w:rsidRDefault="000240EA">
      <w:r>
        <w:t>De eerder afgegeven toewijzing korten we in maar we houden het volume gelijk. Hierdoor kan de aanbieder de eerste</w:t>
      </w:r>
      <w:r w:rsidR="00C206D6">
        <w:t xml:space="preserve"> 9 maanden elke maand 1 stuks (output</w:t>
      </w:r>
      <w:r>
        <w:t>) declareren en in oktober nog 3 stuks (</w:t>
      </w:r>
      <w:r w:rsidR="00C817B9">
        <w:t>output</w:t>
      </w:r>
      <w:r>
        <w:t>). Op deze manier heeft de aanbieder</w:t>
      </w:r>
      <w:r w:rsidR="00C206D6">
        <w:t xml:space="preserve"> het</w:t>
      </w:r>
      <w:r>
        <w:t xml:space="preserve"> totale traject kunnen declareren en is de toewijzing wel op de juiste datums beëindigd.</w:t>
      </w:r>
    </w:p>
    <w:p w:rsidR="000240EA" w:rsidRDefault="000240EA"/>
    <w:p w:rsidR="000240EA" w:rsidRDefault="000240EA" w:rsidP="00AE0355">
      <w:pPr>
        <w:pStyle w:val="Kop3"/>
      </w:pPr>
      <w:r w:rsidRPr="009E3D13">
        <w:t>Aanbieder haalt de d</w:t>
      </w:r>
      <w:r>
        <w:t>oelen niet binnen de afge</w:t>
      </w:r>
      <w:r w:rsidR="00C206D6">
        <w:t>geven</w:t>
      </w:r>
      <w:r w:rsidRPr="009E3D13">
        <w:t xml:space="preserve"> periode</w:t>
      </w:r>
    </w:p>
    <w:p w:rsidR="000240EA" w:rsidRPr="000240EA" w:rsidRDefault="000240EA" w:rsidP="000240EA">
      <w:r>
        <w:t xml:space="preserve">De </w:t>
      </w:r>
      <w:r w:rsidR="00501084">
        <w:t xml:space="preserve">eerder afgegeven </w:t>
      </w:r>
      <w:r>
        <w:t xml:space="preserve">toewijzing wordt </w:t>
      </w:r>
      <w:r w:rsidR="001771D5">
        <w:t>verlengd</w:t>
      </w:r>
      <w:r>
        <w:t>, maar het volume blijft gelijk. Hieronder de aangepaste toewijzing</w:t>
      </w:r>
    </w:p>
    <w:tbl>
      <w:tblPr>
        <w:tblStyle w:val="Tabelraster"/>
        <w:tblW w:w="14220" w:type="dxa"/>
        <w:tblLook w:val="04A0" w:firstRow="1" w:lastRow="0" w:firstColumn="1" w:lastColumn="0" w:noHBand="0" w:noVBand="1"/>
      </w:tblPr>
      <w:tblGrid>
        <w:gridCol w:w="1400"/>
        <w:gridCol w:w="1578"/>
        <w:gridCol w:w="1526"/>
        <w:gridCol w:w="1394"/>
        <w:gridCol w:w="1794"/>
        <w:gridCol w:w="3427"/>
        <w:gridCol w:w="3101"/>
      </w:tblGrid>
      <w:tr w:rsidR="000240EA" w:rsidTr="000240EA">
        <w:tc>
          <w:tcPr>
            <w:tcW w:w="1400" w:type="dxa"/>
          </w:tcPr>
          <w:p w:rsidR="000240EA" w:rsidRDefault="000240EA" w:rsidP="000240EA">
            <w:r>
              <w:t>Product</w:t>
            </w:r>
          </w:p>
        </w:tc>
        <w:tc>
          <w:tcPr>
            <w:tcW w:w="1578" w:type="dxa"/>
          </w:tcPr>
          <w:p w:rsidR="000240EA" w:rsidRDefault="000240EA" w:rsidP="000240EA">
            <w:r>
              <w:t>Begindatum</w:t>
            </w:r>
          </w:p>
        </w:tc>
        <w:tc>
          <w:tcPr>
            <w:tcW w:w="1526" w:type="dxa"/>
          </w:tcPr>
          <w:p w:rsidR="000240EA" w:rsidRDefault="000240EA" w:rsidP="000240EA">
            <w:r>
              <w:t>Einddatum</w:t>
            </w:r>
          </w:p>
        </w:tc>
        <w:tc>
          <w:tcPr>
            <w:tcW w:w="1394" w:type="dxa"/>
          </w:tcPr>
          <w:p w:rsidR="000240EA" w:rsidRDefault="000240EA" w:rsidP="000240EA">
            <w:r>
              <w:t>Volume</w:t>
            </w:r>
          </w:p>
        </w:tc>
        <w:tc>
          <w:tcPr>
            <w:tcW w:w="1794" w:type="dxa"/>
          </w:tcPr>
          <w:p w:rsidR="000240EA" w:rsidRDefault="000240EA" w:rsidP="000240EA">
            <w:r>
              <w:t>Eenheid</w:t>
            </w:r>
          </w:p>
        </w:tc>
        <w:tc>
          <w:tcPr>
            <w:tcW w:w="3427" w:type="dxa"/>
          </w:tcPr>
          <w:p w:rsidR="000240EA" w:rsidRDefault="000240EA" w:rsidP="000240EA">
            <w:r>
              <w:t>Frequentie</w:t>
            </w:r>
          </w:p>
        </w:tc>
        <w:tc>
          <w:tcPr>
            <w:tcW w:w="3101" w:type="dxa"/>
          </w:tcPr>
          <w:p w:rsidR="000240EA" w:rsidRDefault="000240EA" w:rsidP="000240EA">
            <w:r>
              <w:t>Toewijzingnummer</w:t>
            </w:r>
          </w:p>
        </w:tc>
      </w:tr>
      <w:tr w:rsidR="000240EA" w:rsidTr="000240EA">
        <w:tc>
          <w:tcPr>
            <w:tcW w:w="1400" w:type="dxa"/>
          </w:tcPr>
          <w:p w:rsidR="000240EA" w:rsidRDefault="000240EA" w:rsidP="000240EA">
            <w:r>
              <w:t>XXXX1</w:t>
            </w:r>
          </w:p>
        </w:tc>
        <w:tc>
          <w:tcPr>
            <w:tcW w:w="1578" w:type="dxa"/>
          </w:tcPr>
          <w:p w:rsidR="000240EA" w:rsidRDefault="000240EA" w:rsidP="000240EA">
            <w:r>
              <w:t>1-1-2022</w:t>
            </w:r>
          </w:p>
        </w:tc>
        <w:tc>
          <w:tcPr>
            <w:tcW w:w="1526" w:type="dxa"/>
          </w:tcPr>
          <w:p w:rsidR="000240EA" w:rsidRDefault="00501084" w:rsidP="00501084">
            <w:r>
              <w:t>30</w:t>
            </w:r>
            <w:r w:rsidR="000240EA">
              <w:t>-0</w:t>
            </w:r>
            <w:r>
              <w:t>6</w:t>
            </w:r>
            <w:r w:rsidR="000240EA">
              <w:t>-2023</w:t>
            </w:r>
          </w:p>
        </w:tc>
        <w:tc>
          <w:tcPr>
            <w:tcW w:w="1394" w:type="dxa"/>
          </w:tcPr>
          <w:p w:rsidR="000240EA" w:rsidRDefault="000240EA" w:rsidP="000240EA">
            <w:r>
              <w:t>12</w:t>
            </w:r>
          </w:p>
        </w:tc>
        <w:tc>
          <w:tcPr>
            <w:tcW w:w="1794" w:type="dxa"/>
          </w:tcPr>
          <w:p w:rsidR="000240EA" w:rsidRDefault="004D1B1F" w:rsidP="004D1B1F">
            <w:r>
              <w:t>Stuks (output</w:t>
            </w:r>
            <w:r w:rsidR="000240EA" w:rsidRPr="004E6F80">
              <w:t>)</w:t>
            </w:r>
          </w:p>
        </w:tc>
        <w:tc>
          <w:tcPr>
            <w:tcW w:w="3427" w:type="dxa"/>
          </w:tcPr>
          <w:p w:rsidR="000240EA" w:rsidRDefault="000240EA" w:rsidP="000240EA">
            <w:r w:rsidRPr="004E6F80">
              <w:t>Totaal binnen geldigheidsduur toewijzing</w:t>
            </w:r>
          </w:p>
        </w:tc>
        <w:tc>
          <w:tcPr>
            <w:tcW w:w="3101" w:type="dxa"/>
          </w:tcPr>
          <w:p w:rsidR="000240EA" w:rsidRPr="004E6F80" w:rsidRDefault="000240EA" w:rsidP="000240EA">
            <w:r>
              <w:t>12345</w:t>
            </w:r>
          </w:p>
        </w:tc>
      </w:tr>
    </w:tbl>
    <w:p w:rsidR="000240EA" w:rsidRDefault="000240EA" w:rsidP="000240EA"/>
    <w:p w:rsidR="000240EA" w:rsidRDefault="00501084" w:rsidP="000240EA">
      <w:r>
        <w:t>De gemeente verlengt de eerder afgegeven toewijzing (met maximaal de helft van de originele periode) maar het volume blijft</w:t>
      </w:r>
      <w:r w:rsidR="000240EA">
        <w:t xml:space="preserve"> gelijk. Hierdoor kan de aanbieder niet meer </w:t>
      </w:r>
      <w:r w:rsidR="00C817B9">
        <w:t>dan eerder afgegeven 12 stuks (output</w:t>
      </w:r>
      <w:r w:rsidR="000240EA">
        <w:t xml:space="preserve">) declareren ook al duurt de toewijzing nu langer. Op deze manier heeft de aanbieder voor de reguliere periode alles kunnen declareren maar niet voor de extra tijd die ze krijgen en de toewijzing heeft wel de juiste einddatum tot wanneer de aanbieder met de </w:t>
      </w:r>
      <w:r w:rsidR="001771D5">
        <w:t>cliënt</w:t>
      </w:r>
      <w:r w:rsidR="000240EA">
        <w:t xml:space="preserve"> bezig is.</w:t>
      </w:r>
    </w:p>
    <w:p w:rsidR="000240EA" w:rsidRDefault="000240EA" w:rsidP="000240EA"/>
    <w:p w:rsidR="000240EA" w:rsidRDefault="000240EA" w:rsidP="00AE0355">
      <w:pPr>
        <w:pStyle w:val="Kop3"/>
      </w:pPr>
      <w:r>
        <w:t>Het traject wordt door externe factoren afgebroken</w:t>
      </w:r>
    </w:p>
    <w:p w:rsidR="000240EA" w:rsidRDefault="000240EA" w:rsidP="000240EA">
      <w:r>
        <w:t xml:space="preserve">Het kan voorkomen dat een </w:t>
      </w:r>
      <w:r w:rsidR="001771D5">
        <w:t>cliënt</w:t>
      </w:r>
      <w:r>
        <w:t xml:space="preserve"> verhuist, overlijdt of er zijn ander (nog te benoemen) factoren waardoor de toewijzing abrupt stopt. Hieronder de toewijzing als de </w:t>
      </w:r>
      <w:r w:rsidR="001771D5">
        <w:t>cliënt</w:t>
      </w:r>
      <w:r>
        <w:t xml:space="preserve"> na 6 maanden verhuist.</w:t>
      </w:r>
    </w:p>
    <w:tbl>
      <w:tblPr>
        <w:tblStyle w:val="Tabelraster"/>
        <w:tblW w:w="14220" w:type="dxa"/>
        <w:tblLook w:val="04A0" w:firstRow="1" w:lastRow="0" w:firstColumn="1" w:lastColumn="0" w:noHBand="0" w:noVBand="1"/>
      </w:tblPr>
      <w:tblGrid>
        <w:gridCol w:w="1400"/>
        <w:gridCol w:w="1578"/>
        <w:gridCol w:w="1526"/>
        <w:gridCol w:w="1394"/>
        <w:gridCol w:w="1794"/>
        <w:gridCol w:w="3427"/>
        <w:gridCol w:w="3101"/>
      </w:tblGrid>
      <w:tr w:rsidR="000240EA" w:rsidTr="000240EA">
        <w:tc>
          <w:tcPr>
            <w:tcW w:w="1400" w:type="dxa"/>
          </w:tcPr>
          <w:p w:rsidR="000240EA" w:rsidRDefault="000240EA" w:rsidP="000240EA">
            <w:r>
              <w:t>Product</w:t>
            </w:r>
          </w:p>
        </w:tc>
        <w:tc>
          <w:tcPr>
            <w:tcW w:w="1578" w:type="dxa"/>
          </w:tcPr>
          <w:p w:rsidR="000240EA" w:rsidRDefault="000240EA" w:rsidP="000240EA">
            <w:r>
              <w:t>Begindatum</w:t>
            </w:r>
          </w:p>
        </w:tc>
        <w:tc>
          <w:tcPr>
            <w:tcW w:w="1526" w:type="dxa"/>
          </w:tcPr>
          <w:p w:rsidR="000240EA" w:rsidRDefault="000240EA" w:rsidP="000240EA">
            <w:r>
              <w:t>Einddatum</w:t>
            </w:r>
          </w:p>
        </w:tc>
        <w:tc>
          <w:tcPr>
            <w:tcW w:w="1394" w:type="dxa"/>
          </w:tcPr>
          <w:p w:rsidR="000240EA" w:rsidRDefault="000240EA" w:rsidP="000240EA">
            <w:r>
              <w:t>Volume</w:t>
            </w:r>
          </w:p>
        </w:tc>
        <w:tc>
          <w:tcPr>
            <w:tcW w:w="1794" w:type="dxa"/>
          </w:tcPr>
          <w:p w:rsidR="000240EA" w:rsidRDefault="000240EA" w:rsidP="000240EA">
            <w:r>
              <w:t>Eenheid</w:t>
            </w:r>
          </w:p>
        </w:tc>
        <w:tc>
          <w:tcPr>
            <w:tcW w:w="3427" w:type="dxa"/>
          </w:tcPr>
          <w:p w:rsidR="000240EA" w:rsidRDefault="000240EA" w:rsidP="000240EA">
            <w:r>
              <w:t>Frequentie</w:t>
            </w:r>
          </w:p>
        </w:tc>
        <w:tc>
          <w:tcPr>
            <w:tcW w:w="3101" w:type="dxa"/>
          </w:tcPr>
          <w:p w:rsidR="000240EA" w:rsidRDefault="000240EA" w:rsidP="000240EA">
            <w:r>
              <w:t>Toewijzingnummer</w:t>
            </w:r>
          </w:p>
        </w:tc>
      </w:tr>
      <w:tr w:rsidR="000240EA" w:rsidTr="000240EA">
        <w:tc>
          <w:tcPr>
            <w:tcW w:w="1400" w:type="dxa"/>
          </w:tcPr>
          <w:p w:rsidR="000240EA" w:rsidRDefault="000240EA" w:rsidP="000240EA">
            <w:r>
              <w:t>XXXX1</w:t>
            </w:r>
          </w:p>
        </w:tc>
        <w:tc>
          <w:tcPr>
            <w:tcW w:w="1578" w:type="dxa"/>
          </w:tcPr>
          <w:p w:rsidR="000240EA" w:rsidRDefault="000240EA" w:rsidP="000240EA">
            <w:r>
              <w:t>1-1-2022</w:t>
            </w:r>
          </w:p>
        </w:tc>
        <w:tc>
          <w:tcPr>
            <w:tcW w:w="1526" w:type="dxa"/>
          </w:tcPr>
          <w:p w:rsidR="000240EA" w:rsidRDefault="000240EA" w:rsidP="008C0F6E">
            <w:r>
              <w:t>30-6-202</w:t>
            </w:r>
            <w:r w:rsidR="008C0F6E">
              <w:t>2</w:t>
            </w:r>
          </w:p>
        </w:tc>
        <w:tc>
          <w:tcPr>
            <w:tcW w:w="1394" w:type="dxa"/>
          </w:tcPr>
          <w:p w:rsidR="000240EA" w:rsidRDefault="000240EA" w:rsidP="000240EA">
            <w:r>
              <w:t>6</w:t>
            </w:r>
          </w:p>
        </w:tc>
        <w:tc>
          <w:tcPr>
            <w:tcW w:w="1794" w:type="dxa"/>
          </w:tcPr>
          <w:p w:rsidR="000240EA" w:rsidRDefault="000240EA" w:rsidP="004D1B1F">
            <w:r w:rsidRPr="004E6F80">
              <w:t xml:space="preserve">Stuks </w:t>
            </w:r>
            <w:r w:rsidR="004D1B1F">
              <w:t>(output</w:t>
            </w:r>
            <w:r w:rsidRPr="004E6F80">
              <w:t>)</w:t>
            </w:r>
          </w:p>
        </w:tc>
        <w:tc>
          <w:tcPr>
            <w:tcW w:w="3427" w:type="dxa"/>
          </w:tcPr>
          <w:p w:rsidR="000240EA" w:rsidRDefault="000240EA" w:rsidP="000240EA">
            <w:r w:rsidRPr="004E6F80">
              <w:t>Totaal binnen geldigheidsduur toewijzing</w:t>
            </w:r>
          </w:p>
        </w:tc>
        <w:tc>
          <w:tcPr>
            <w:tcW w:w="3101" w:type="dxa"/>
          </w:tcPr>
          <w:p w:rsidR="000240EA" w:rsidRPr="004E6F80" w:rsidRDefault="000240EA" w:rsidP="000240EA">
            <w:r>
              <w:t>12345</w:t>
            </w:r>
          </w:p>
        </w:tc>
      </w:tr>
    </w:tbl>
    <w:p w:rsidR="000240EA" w:rsidRDefault="000240EA" w:rsidP="000240EA"/>
    <w:p w:rsidR="000240EA" w:rsidRDefault="000240EA" w:rsidP="000240EA">
      <w:r>
        <w:lastRenderedPageBreak/>
        <w:t>Naast dat de toewijzing nu eerder wordt beëindigd</w:t>
      </w:r>
      <w:r w:rsidR="00A240F5">
        <w:t xml:space="preserve"> </w:t>
      </w:r>
      <w:r w:rsidR="004C4063">
        <w:t>past de gemeente ook</w:t>
      </w:r>
      <w:r w:rsidR="00A240F5">
        <w:t xml:space="preserve"> het volume aan. In dit voorbeeld naar rato</w:t>
      </w:r>
      <w:r w:rsidR="004C4063">
        <w:t xml:space="preserve">. Hierdoor kan de aanbieder maximaal de periode declareren dat de </w:t>
      </w:r>
      <w:r w:rsidR="001771D5">
        <w:t>cliënt</w:t>
      </w:r>
      <w:r w:rsidR="004C4063">
        <w:t xml:space="preserve"> in zorg is geweest.</w:t>
      </w:r>
    </w:p>
    <w:p w:rsidR="00A240F5" w:rsidRDefault="00A240F5" w:rsidP="000240EA"/>
    <w:p w:rsidR="00C206D6" w:rsidRDefault="00C206D6">
      <w:pPr>
        <w:rPr>
          <w:b/>
          <w:bCs/>
          <w:kern w:val="32"/>
          <w:sz w:val="32"/>
          <w:szCs w:val="32"/>
        </w:rPr>
      </w:pPr>
      <w:r>
        <w:br w:type="page"/>
      </w:r>
    </w:p>
    <w:p w:rsidR="001B6909" w:rsidRDefault="001B6909" w:rsidP="001B6909">
      <w:pPr>
        <w:pStyle w:val="Kop2"/>
      </w:pPr>
      <w:r>
        <w:lastRenderedPageBreak/>
        <w:t>Producten met een ‘</w:t>
      </w:r>
      <w:r>
        <w:t>variabel</w:t>
      </w:r>
      <w:r>
        <w:t>’ tarief</w:t>
      </w:r>
    </w:p>
    <w:p w:rsidR="001B6909" w:rsidRDefault="001B6909" w:rsidP="00AE0355">
      <w:r>
        <w:t>Voor deze producten geeft de gemeente een toewijzing af voor een bepaalde periode. Binnen deze periode kan de aanbieder per maand een evenredig deel declareren. (elke maand een aantal eurocenten</w:t>
      </w:r>
      <w:r w:rsidRPr="004E6F80">
        <w:t>)</w:t>
      </w:r>
      <w:r>
        <w:t xml:space="preserve"> </w:t>
      </w:r>
      <w:r>
        <w:t xml:space="preserve">Het gebruikte periode tarief </w:t>
      </w:r>
      <w:r>
        <w:t>kan per client verschillend zijn.</w:t>
      </w:r>
    </w:p>
    <w:p w:rsidR="008C0F6E" w:rsidRPr="00501084" w:rsidRDefault="001B6909" w:rsidP="00AE0355">
      <w:pPr>
        <w:pStyle w:val="Kop3"/>
      </w:pPr>
      <w:r>
        <w:t>T</w:t>
      </w:r>
      <w:r w:rsidR="008C0F6E">
        <w:t>oewijzing</w:t>
      </w:r>
    </w:p>
    <w:p w:rsidR="008C0F6E" w:rsidRDefault="001B6909" w:rsidP="008C0F6E">
      <w:r>
        <w:t xml:space="preserve">De toewijzing wordt afgegeven voor bepaalde tijd. </w:t>
      </w:r>
      <w:r w:rsidR="008C0F6E">
        <w:t>Bij een eerste indicatie wordt de volgende toewijzing aangemaakt door de gemeente en naar de aanbieder gestuurd:</w:t>
      </w:r>
    </w:p>
    <w:p w:rsidR="008C0F6E" w:rsidRDefault="008C0F6E" w:rsidP="008C0F6E"/>
    <w:tbl>
      <w:tblPr>
        <w:tblStyle w:val="Tabelraster"/>
        <w:tblW w:w="14220" w:type="dxa"/>
        <w:tblLook w:val="04A0" w:firstRow="1" w:lastRow="0" w:firstColumn="1" w:lastColumn="0" w:noHBand="0" w:noVBand="1"/>
      </w:tblPr>
      <w:tblGrid>
        <w:gridCol w:w="1400"/>
        <w:gridCol w:w="1578"/>
        <w:gridCol w:w="1526"/>
        <w:gridCol w:w="1394"/>
        <w:gridCol w:w="1794"/>
        <w:gridCol w:w="3427"/>
        <w:gridCol w:w="3101"/>
      </w:tblGrid>
      <w:tr w:rsidR="008C0F6E" w:rsidTr="00BC6BF3">
        <w:tc>
          <w:tcPr>
            <w:tcW w:w="1400" w:type="dxa"/>
          </w:tcPr>
          <w:p w:rsidR="008C0F6E" w:rsidRDefault="008C0F6E" w:rsidP="00BC6BF3">
            <w:r>
              <w:t>Product</w:t>
            </w:r>
          </w:p>
        </w:tc>
        <w:tc>
          <w:tcPr>
            <w:tcW w:w="1578" w:type="dxa"/>
          </w:tcPr>
          <w:p w:rsidR="008C0F6E" w:rsidRDefault="008C0F6E" w:rsidP="00BC6BF3">
            <w:r>
              <w:t>Begindatum</w:t>
            </w:r>
          </w:p>
        </w:tc>
        <w:tc>
          <w:tcPr>
            <w:tcW w:w="1526" w:type="dxa"/>
          </w:tcPr>
          <w:p w:rsidR="008C0F6E" w:rsidRDefault="008C0F6E" w:rsidP="00BC6BF3">
            <w:r>
              <w:t>Einddatum</w:t>
            </w:r>
          </w:p>
        </w:tc>
        <w:tc>
          <w:tcPr>
            <w:tcW w:w="1394" w:type="dxa"/>
          </w:tcPr>
          <w:p w:rsidR="008C0F6E" w:rsidRDefault="008C0F6E" w:rsidP="00BC6BF3">
            <w:r>
              <w:t>Volume</w:t>
            </w:r>
          </w:p>
        </w:tc>
        <w:tc>
          <w:tcPr>
            <w:tcW w:w="1794" w:type="dxa"/>
          </w:tcPr>
          <w:p w:rsidR="008C0F6E" w:rsidRDefault="008C0F6E" w:rsidP="00BC6BF3">
            <w:r>
              <w:t>Eenheid</w:t>
            </w:r>
          </w:p>
        </w:tc>
        <w:tc>
          <w:tcPr>
            <w:tcW w:w="3427" w:type="dxa"/>
          </w:tcPr>
          <w:p w:rsidR="008C0F6E" w:rsidRDefault="008C0F6E" w:rsidP="00BC6BF3">
            <w:r>
              <w:t>Frequentie</w:t>
            </w:r>
          </w:p>
        </w:tc>
        <w:tc>
          <w:tcPr>
            <w:tcW w:w="3101" w:type="dxa"/>
          </w:tcPr>
          <w:p w:rsidR="008C0F6E" w:rsidRDefault="008C0F6E" w:rsidP="00BC6BF3">
            <w:r>
              <w:t>Toewijzingnummer</w:t>
            </w:r>
          </w:p>
        </w:tc>
      </w:tr>
      <w:tr w:rsidR="008C0F6E" w:rsidTr="00BC6BF3">
        <w:tc>
          <w:tcPr>
            <w:tcW w:w="1400" w:type="dxa"/>
          </w:tcPr>
          <w:p w:rsidR="008C0F6E" w:rsidRDefault="008C0F6E" w:rsidP="00BC6BF3">
            <w:r>
              <w:t>XXXX2</w:t>
            </w:r>
          </w:p>
        </w:tc>
        <w:tc>
          <w:tcPr>
            <w:tcW w:w="1578" w:type="dxa"/>
          </w:tcPr>
          <w:p w:rsidR="008C0F6E" w:rsidRDefault="008C0F6E" w:rsidP="00BC6BF3">
            <w:r>
              <w:t>1-1-2022</w:t>
            </w:r>
          </w:p>
        </w:tc>
        <w:tc>
          <w:tcPr>
            <w:tcW w:w="1526" w:type="dxa"/>
          </w:tcPr>
          <w:p w:rsidR="008C0F6E" w:rsidRDefault="008C0F6E" w:rsidP="00BC6BF3">
            <w:r>
              <w:t>31-12-2022</w:t>
            </w:r>
          </w:p>
        </w:tc>
        <w:tc>
          <w:tcPr>
            <w:tcW w:w="1394" w:type="dxa"/>
          </w:tcPr>
          <w:p w:rsidR="008C0F6E" w:rsidRDefault="008C0F6E" w:rsidP="00BC6BF3">
            <w:r>
              <w:t>1200000</w:t>
            </w:r>
          </w:p>
        </w:tc>
        <w:tc>
          <w:tcPr>
            <w:tcW w:w="1794" w:type="dxa"/>
          </w:tcPr>
          <w:p w:rsidR="008C0F6E" w:rsidRDefault="001771D5" w:rsidP="00BC6BF3">
            <w:r>
              <w:t>Euro’s</w:t>
            </w:r>
            <w:r w:rsidR="008C0F6E">
              <w:t xml:space="preserve"> (centen)</w:t>
            </w:r>
          </w:p>
        </w:tc>
        <w:tc>
          <w:tcPr>
            <w:tcW w:w="3427" w:type="dxa"/>
          </w:tcPr>
          <w:p w:rsidR="008C0F6E" w:rsidRDefault="008C0F6E" w:rsidP="00BC6BF3">
            <w:r w:rsidRPr="004E6F80">
              <w:t>Totaal binnen geldigheidsduur toewijzing</w:t>
            </w:r>
          </w:p>
        </w:tc>
        <w:tc>
          <w:tcPr>
            <w:tcW w:w="3101" w:type="dxa"/>
          </w:tcPr>
          <w:p w:rsidR="008C0F6E" w:rsidRPr="004E6F80" w:rsidRDefault="008C0F6E" w:rsidP="00BC6BF3">
            <w:r>
              <w:t>12346</w:t>
            </w:r>
          </w:p>
        </w:tc>
      </w:tr>
    </w:tbl>
    <w:p w:rsidR="008C0F6E" w:rsidRDefault="008C0F6E" w:rsidP="008C0F6E"/>
    <w:p w:rsidR="008C0F6E" w:rsidRDefault="008C0F6E" w:rsidP="008C0F6E">
      <w:r>
        <w:t>Volume is gebaseerd op een voorafgesproken trajectprijs</w:t>
      </w:r>
      <w:r w:rsidR="0056266C">
        <w:t xml:space="preserve"> in een offerte</w:t>
      </w:r>
      <w:r>
        <w:t xml:space="preserve">. </w:t>
      </w:r>
    </w:p>
    <w:p w:rsidR="008C0F6E" w:rsidRDefault="008C0F6E" w:rsidP="008C0F6E"/>
    <w:p w:rsidR="008C0F6E" w:rsidRDefault="008C0F6E" w:rsidP="008C0F6E">
      <w:r>
        <w:t xml:space="preserve">Het grootste voordeel van deze manier van toewijzen is dat deze flexibel is. Zowel het volume als einddatum kan aangepast worden zonder een toewijzing te moeten afgeven met een nieuw </w:t>
      </w:r>
      <w:r w:rsidR="001771D5">
        <w:t>toewijzingsnummers</w:t>
      </w:r>
      <w:r>
        <w:t>. Hierdoor hoeft de aanbieder bij eventuele verleningen ook geen stopberichten en nieuwe startberichten te sturen.</w:t>
      </w:r>
    </w:p>
    <w:p w:rsidR="008C0F6E" w:rsidRDefault="008C0F6E" w:rsidP="008C0F6E"/>
    <w:p w:rsidR="008C0F6E" w:rsidRPr="009E3D13" w:rsidRDefault="008C0F6E" w:rsidP="00AE0355">
      <w:pPr>
        <w:pStyle w:val="Kop3"/>
      </w:pPr>
      <w:r w:rsidRPr="009E3D13">
        <w:lastRenderedPageBreak/>
        <w:t>Aanbieder haalt de doelen in exact de afgegeven periode</w:t>
      </w:r>
    </w:p>
    <w:p w:rsidR="008C0F6E" w:rsidRDefault="008C0F6E" w:rsidP="008C0F6E">
      <w:r>
        <w:t>Wanneer de aanbieder exact de tijd nodig heeft van de toewijzing. In dit voorbeeld 12 maanden, dan is er verder niets aan de hand. Aanbieder heeft elke maand gedeclareerd.</w:t>
      </w:r>
    </w:p>
    <w:p w:rsidR="008C0F6E" w:rsidRDefault="008C0F6E" w:rsidP="008C0F6E"/>
    <w:p w:rsidR="008C0F6E" w:rsidRDefault="008C0F6E" w:rsidP="00AE0355">
      <w:pPr>
        <w:pStyle w:val="Kop3"/>
      </w:pPr>
      <w:r w:rsidRPr="009E3D13">
        <w:t>Aanbieder haalt de doelen eerder dan de afg</w:t>
      </w:r>
      <w:r>
        <w:t>egeven</w:t>
      </w:r>
      <w:r w:rsidRPr="009E3D13">
        <w:t xml:space="preserve"> periode</w:t>
      </w:r>
    </w:p>
    <w:p w:rsidR="008C0F6E" w:rsidRPr="000240EA" w:rsidRDefault="008C0F6E" w:rsidP="008C0F6E">
      <w:r>
        <w:t>De eerder afgegeven toewijzing wordt ingekort door de gemeente (eventuele op basis van een stopbericht van de aanbieder), maar het volume blijft gelijk. Hieronder de aangepaste toewijzing</w:t>
      </w:r>
    </w:p>
    <w:tbl>
      <w:tblPr>
        <w:tblStyle w:val="Tabelraster"/>
        <w:tblW w:w="14220" w:type="dxa"/>
        <w:tblLook w:val="04A0" w:firstRow="1" w:lastRow="0" w:firstColumn="1" w:lastColumn="0" w:noHBand="0" w:noVBand="1"/>
      </w:tblPr>
      <w:tblGrid>
        <w:gridCol w:w="1400"/>
        <w:gridCol w:w="1578"/>
        <w:gridCol w:w="1526"/>
        <w:gridCol w:w="1394"/>
        <w:gridCol w:w="1794"/>
        <w:gridCol w:w="3427"/>
        <w:gridCol w:w="3101"/>
      </w:tblGrid>
      <w:tr w:rsidR="008C0F6E" w:rsidTr="00BC6BF3">
        <w:tc>
          <w:tcPr>
            <w:tcW w:w="1400" w:type="dxa"/>
          </w:tcPr>
          <w:p w:rsidR="008C0F6E" w:rsidRDefault="008C0F6E" w:rsidP="00BC6BF3">
            <w:r>
              <w:t>Product</w:t>
            </w:r>
          </w:p>
        </w:tc>
        <w:tc>
          <w:tcPr>
            <w:tcW w:w="1578" w:type="dxa"/>
          </w:tcPr>
          <w:p w:rsidR="008C0F6E" w:rsidRDefault="008C0F6E" w:rsidP="00BC6BF3">
            <w:r>
              <w:t>Begindatum</w:t>
            </w:r>
          </w:p>
        </w:tc>
        <w:tc>
          <w:tcPr>
            <w:tcW w:w="1526" w:type="dxa"/>
          </w:tcPr>
          <w:p w:rsidR="008C0F6E" w:rsidRDefault="008C0F6E" w:rsidP="00BC6BF3">
            <w:r>
              <w:t>Einddatum</w:t>
            </w:r>
          </w:p>
        </w:tc>
        <w:tc>
          <w:tcPr>
            <w:tcW w:w="1394" w:type="dxa"/>
          </w:tcPr>
          <w:p w:rsidR="008C0F6E" w:rsidRDefault="008C0F6E" w:rsidP="00BC6BF3">
            <w:r>
              <w:t>Volume</w:t>
            </w:r>
          </w:p>
        </w:tc>
        <w:tc>
          <w:tcPr>
            <w:tcW w:w="1794" w:type="dxa"/>
          </w:tcPr>
          <w:p w:rsidR="008C0F6E" w:rsidRDefault="008C0F6E" w:rsidP="00BC6BF3">
            <w:r>
              <w:t>Eenheid</w:t>
            </w:r>
          </w:p>
        </w:tc>
        <w:tc>
          <w:tcPr>
            <w:tcW w:w="3427" w:type="dxa"/>
          </w:tcPr>
          <w:p w:rsidR="008C0F6E" w:rsidRDefault="008C0F6E" w:rsidP="00BC6BF3">
            <w:r>
              <w:t>Frequentie</w:t>
            </w:r>
          </w:p>
        </w:tc>
        <w:tc>
          <w:tcPr>
            <w:tcW w:w="3101" w:type="dxa"/>
          </w:tcPr>
          <w:p w:rsidR="008C0F6E" w:rsidRDefault="008C0F6E" w:rsidP="00BC6BF3">
            <w:r>
              <w:t>Toewijzingnummer</w:t>
            </w:r>
          </w:p>
        </w:tc>
      </w:tr>
      <w:tr w:rsidR="008C0F6E" w:rsidTr="00BC6BF3">
        <w:tc>
          <w:tcPr>
            <w:tcW w:w="1400" w:type="dxa"/>
          </w:tcPr>
          <w:p w:rsidR="008C0F6E" w:rsidRDefault="008C0F6E" w:rsidP="00BC6BF3">
            <w:r>
              <w:t>XXXX2</w:t>
            </w:r>
          </w:p>
        </w:tc>
        <w:tc>
          <w:tcPr>
            <w:tcW w:w="1578" w:type="dxa"/>
          </w:tcPr>
          <w:p w:rsidR="008C0F6E" w:rsidRDefault="008C0F6E" w:rsidP="00BC6BF3">
            <w:r>
              <w:t>1-1-2022</w:t>
            </w:r>
          </w:p>
        </w:tc>
        <w:tc>
          <w:tcPr>
            <w:tcW w:w="1526" w:type="dxa"/>
          </w:tcPr>
          <w:p w:rsidR="008C0F6E" w:rsidRDefault="008C0F6E" w:rsidP="00BC6BF3">
            <w:r>
              <w:t>31-10-2022</w:t>
            </w:r>
          </w:p>
        </w:tc>
        <w:tc>
          <w:tcPr>
            <w:tcW w:w="1394" w:type="dxa"/>
          </w:tcPr>
          <w:p w:rsidR="008C0F6E" w:rsidRDefault="008C0F6E" w:rsidP="00BC6BF3">
            <w:r>
              <w:t>1200000</w:t>
            </w:r>
          </w:p>
        </w:tc>
        <w:tc>
          <w:tcPr>
            <w:tcW w:w="1794" w:type="dxa"/>
          </w:tcPr>
          <w:p w:rsidR="008C0F6E" w:rsidRDefault="001771D5" w:rsidP="00BC6BF3">
            <w:r>
              <w:t>Euro’s</w:t>
            </w:r>
            <w:r w:rsidR="008C0F6E">
              <w:t xml:space="preserve"> (centen)</w:t>
            </w:r>
          </w:p>
        </w:tc>
        <w:tc>
          <w:tcPr>
            <w:tcW w:w="3427" w:type="dxa"/>
          </w:tcPr>
          <w:p w:rsidR="008C0F6E" w:rsidRDefault="008C0F6E" w:rsidP="00BC6BF3">
            <w:r w:rsidRPr="004E6F80">
              <w:t>Totaal binnen geldigheidsduur toewijzing</w:t>
            </w:r>
          </w:p>
        </w:tc>
        <w:tc>
          <w:tcPr>
            <w:tcW w:w="3101" w:type="dxa"/>
          </w:tcPr>
          <w:p w:rsidR="008C0F6E" w:rsidRPr="004E6F80" w:rsidRDefault="008C0F6E" w:rsidP="00BC6BF3">
            <w:r>
              <w:t>12346</w:t>
            </w:r>
          </w:p>
        </w:tc>
      </w:tr>
    </w:tbl>
    <w:p w:rsidR="008C0F6E" w:rsidRDefault="008C0F6E" w:rsidP="008C0F6E"/>
    <w:p w:rsidR="008C0F6E" w:rsidRDefault="008C0F6E" w:rsidP="008C0F6E">
      <w:r>
        <w:t xml:space="preserve">De eerder afgegeven toewijzing korten we in maar we houden het volume gelijk. Hierdoor kan de aanbieder de eerste 9 maanden elke maand  100000 </w:t>
      </w:r>
      <w:r w:rsidR="001771D5">
        <w:t>euro</w:t>
      </w:r>
      <w:r>
        <w:t xml:space="preserve">(centen)  declareren en in oktober nog 300000 </w:t>
      </w:r>
      <w:r w:rsidR="001771D5">
        <w:t>euro</w:t>
      </w:r>
      <w:r>
        <w:t>(centen). Op deze manier heeft de aanbieder totale traject kunnen declareren en is de toewijzing wel op de juiste datums beëindigd.</w:t>
      </w:r>
    </w:p>
    <w:p w:rsidR="008C0F6E" w:rsidRDefault="008C0F6E" w:rsidP="008C0F6E"/>
    <w:p w:rsidR="008C0F6E" w:rsidRDefault="008C0F6E" w:rsidP="00AE0355">
      <w:pPr>
        <w:pStyle w:val="Kop3"/>
      </w:pPr>
      <w:r w:rsidRPr="009E3D13">
        <w:t>Aanbieder haalt de d</w:t>
      </w:r>
      <w:r>
        <w:t>oelen niet binnen de afgelopen</w:t>
      </w:r>
      <w:r w:rsidRPr="009E3D13">
        <w:t xml:space="preserve"> periode</w:t>
      </w:r>
    </w:p>
    <w:p w:rsidR="008C0F6E" w:rsidRPr="000240EA" w:rsidRDefault="008C0F6E" w:rsidP="008C0F6E">
      <w:r>
        <w:t xml:space="preserve">De eerder afgegeven toewijzing wordt </w:t>
      </w:r>
      <w:r w:rsidR="001771D5">
        <w:t>verlengd</w:t>
      </w:r>
      <w:r>
        <w:t>, maar het volume blijft gelijk. Hieronder de aangepaste toewijzing</w:t>
      </w:r>
    </w:p>
    <w:tbl>
      <w:tblPr>
        <w:tblStyle w:val="Tabelraster"/>
        <w:tblW w:w="14220" w:type="dxa"/>
        <w:tblLook w:val="04A0" w:firstRow="1" w:lastRow="0" w:firstColumn="1" w:lastColumn="0" w:noHBand="0" w:noVBand="1"/>
      </w:tblPr>
      <w:tblGrid>
        <w:gridCol w:w="1400"/>
        <w:gridCol w:w="1578"/>
        <w:gridCol w:w="1526"/>
        <w:gridCol w:w="1394"/>
        <w:gridCol w:w="1794"/>
        <w:gridCol w:w="3427"/>
        <w:gridCol w:w="3101"/>
      </w:tblGrid>
      <w:tr w:rsidR="008C0F6E" w:rsidTr="00BC6BF3">
        <w:tc>
          <w:tcPr>
            <w:tcW w:w="1400" w:type="dxa"/>
          </w:tcPr>
          <w:p w:rsidR="008C0F6E" w:rsidRDefault="008C0F6E" w:rsidP="00BC6BF3">
            <w:r>
              <w:t>Product</w:t>
            </w:r>
          </w:p>
        </w:tc>
        <w:tc>
          <w:tcPr>
            <w:tcW w:w="1578" w:type="dxa"/>
          </w:tcPr>
          <w:p w:rsidR="008C0F6E" w:rsidRDefault="008C0F6E" w:rsidP="00BC6BF3">
            <w:r>
              <w:t>Begindatum</w:t>
            </w:r>
          </w:p>
        </w:tc>
        <w:tc>
          <w:tcPr>
            <w:tcW w:w="1526" w:type="dxa"/>
          </w:tcPr>
          <w:p w:rsidR="008C0F6E" w:rsidRDefault="008C0F6E" w:rsidP="00BC6BF3">
            <w:r>
              <w:t>Einddatum</w:t>
            </w:r>
          </w:p>
        </w:tc>
        <w:tc>
          <w:tcPr>
            <w:tcW w:w="1394" w:type="dxa"/>
          </w:tcPr>
          <w:p w:rsidR="008C0F6E" w:rsidRDefault="008C0F6E" w:rsidP="00BC6BF3">
            <w:r>
              <w:t>Volume</w:t>
            </w:r>
          </w:p>
        </w:tc>
        <w:tc>
          <w:tcPr>
            <w:tcW w:w="1794" w:type="dxa"/>
          </w:tcPr>
          <w:p w:rsidR="008C0F6E" w:rsidRDefault="008C0F6E" w:rsidP="00BC6BF3">
            <w:r>
              <w:t>Eenheid</w:t>
            </w:r>
          </w:p>
        </w:tc>
        <w:tc>
          <w:tcPr>
            <w:tcW w:w="3427" w:type="dxa"/>
          </w:tcPr>
          <w:p w:rsidR="008C0F6E" w:rsidRDefault="008C0F6E" w:rsidP="00BC6BF3">
            <w:r>
              <w:t>Frequentie</w:t>
            </w:r>
          </w:p>
        </w:tc>
        <w:tc>
          <w:tcPr>
            <w:tcW w:w="3101" w:type="dxa"/>
          </w:tcPr>
          <w:p w:rsidR="008C0F6E" w:rsidRDefault="008C0F6E" w:rsidP="00BC6BF3">
            <w:r>
              <w:t>Toewijzingnummer</w:t>
            </w:r>
          </w:p>
        </w:tc>
      </w:tr>
      <w:tr w:rsidR="008C0F6E" w:rsidTr="00BC6BF3">
        <w:tc>
          <w:tcPr>
            <w:tcW w:w="1400" w:type="dxa"/>
          </w:tcPr>
          <w:p w:rsidR="008C0F6E" w:rsidRDefault="008C0F6E" w:rsidP="00BC6BF3">
            <w:r>
              <w:t>XXXX2</w:t>
            </w:r>
          </w:p>
        </w:tc>
        <w:tc>
          <w:tcPr>
            <w:tcW w:w="1578" w:type="dxa"/>
          </w:tcPr>
          <w:p w:rsidR="008C0F6E" w:rsidRDefault="008C0F6E" w:rsidP="00BC6BF3">
            <w:r>
              <w:t>1-1-2022</w:t>
            </w:r>
          </w:p>
        </w:tc>
        <w:tc>
          <w:tcPr>
            <w:tcW w:w="1526" w:type="dxa"/>
          </w:tcPr>
          <w:p w:rsidR="008C0F6E" w:rsidRDefault="008C0F6E" w:rsidP="00BC6BF3">
            <w:r>
              <w:t>30-06-2023</w:t>
            </w:r>
          </w:p>
        </w:tc>
        <w:tc>
          <w:tcPr>
            <w:tcW w:w="1394" w:type="dxa"/>
          </w:tcPr>
          <w:p w:rsidR="008C0F6E" w:rsidRDefault="008C0F6E" w:rsidP="00BC6BF3">
            <w:r>
              <w:t>1200000</w:t>
            </w:r>
          </w:p>
        </w:tc>
        <w:tc>
          <w:tcPr>
            <w:tcW w:w="1794" w:type="dxa"/>
          </w:tcPr>
          <w:p w:rsidR="008C0F6E" w:rsidRDefault="001771D5" w:rsidP="00BC6BF3">
            <w:r>
              <w:t>euro</w:t>
            </w:r>
            <w:r w:rsidR="008C0F6E">
              <w:t xml:space="preserve"> (centen)</w:t>
            </w:r>
          </w:p>
        </w:tc>
        <w:tc>
          <w:tcPr>
            <w:tcW w:w="3427" w:type="dxa"/>
          </w:tcPr>
          <w:p w:rsidR="008C0F6E" w:rsidRDefault="008C0F6E" w:rsidP="00BC6BF3">
            <w:r w:rsidRPr="004E6F80">
              <w:t>Totaal binnen geldigheidsduur toewijzing</w:t>
            </w:r>
          </w:p>
        </w:tc>
        <w:tc>
          <w:tcPr>
            <w:tcW w:w="3101" w:type="dxa"/>
          </w:tcPr>
          <w:p w:rsidR="008C0F6E" w:rsidRPr="004E6F80" w:rsidRDefault="008C0F6E" w:rsidP="00BC6BF3">
            <w:r>
              <w:t>12346</w:t>
            </w:r>
          </w:p>
        </w:tc>
      </w:tr>
    </w:tbl>
    <w:p w:rsidR="008C0F6E" w:rsidRDefault="008C0F6E" w:rsidP="008C0F6E"/>
    <w:p w:rsidR="008C0F6E" w:rsidRDefault="008C0F6E" w:rsidP="008C0F6E">
      <w:r>
        <w:t xml:space="preserve">De gemeente verlengt de eerder afgegeven toewijzing (met maximaal de helft van de originele periode) maar het volume blijft gelijk. Hierdoor kan de aanbieder niet meer dan eerder afgegeven 1200000 </w:t>
      </w:r>
      <w:r w:rsidR="001771D5">
        <w:t>euro</w:t>
      </w:r>
      <w:r>
        <w:t xml:space="preserve">(centen) declareren ook al duurt de toewijzing nu langer. Op deze manier heeft de aanbieder voor de reguliere periode alles kunnen declareren maar niet voor de extra tijd die ze krijgen en de toewijzing heeft wel de juiste einddatum tot wanneer de aanbieder met de </w:t>
      </w:r>
      <w:r w:rsidR="001771D5">
        <w:t>cliënt</w:t>
      </w:r>
      <w:r>
        <w:t xml:space="preserve"> bezig is.</w:t>
      </w:r>
    </w:p>
    <w:p w:rsidR="008C0F6E" w:rsidRDefault="008C0F6E" w:rsidP="008C0F6E"/>
    <w:p w:rsidR="008C0F6E" w:rsidRDefault="008C0F6E" w:rsidP="00AE0355">
      <w:pPr>
        <w:pStyle w:val="Kop3"/>
      </w:pPr>
      <w:r>
        <w:t>Het traject wo</w:t>
      </w:r>
      <w:bookmarkStart w:id="0" w:name="_GoBack"/>
      <w:bookmarkEnd w:id="0"/>
      <w:r>
        <w:t>rdt door externe factoren afgebroken</w:t>
      </w:r>
    </w:p>
    <w:p w:rsidR="008C0F6E" w:rsidRDefault="008C0F6E" w:rsidP="008C0F6E">
      <w:r>
        <w:t xml:space="preserve">Het kan voorkomen dat een </w:t>
      </w:r>
      <w:r w:rsidR="001771D5">
        <w:t>cliënt</w:t>
      </w:r>
      <w:r>
        <w:t xml:space="preserve"> verhuist, overlijdt of er zijn ander (nog te benoemen) factoren waardoor de toewijzing abrupt stopt. Hieronder de toewijzing als de </w:t>
      </w:r>
      <w:r w:rsidR="001771D5">
        <w:t>cliënt</w:t>
      </w:r>
      <w:r>
        <w:t xml:space="preserve"> na 6 maanden verhuist.</w:t>
      </w:r>
    </w:p>
    <w:tbl>
      <w:tblPr>
        <w:tblStyle w:val="Tabelraster"/>
        <w:tblW w:w="14220" w:type="dxa"/>
        <w:tblLook w:val="04A0" w:firstRow="1" w:lastRow="0" w:firstColumn="1" w:lastColumn="0" w:noHBand="0" w:noVBand="1"/>
      </w:tblPr>
      <w:tblGrid>
        <w:gridCol w:w="1400"/>
        <w:gridCol w:w="1578"/>
        <w:gridCol w:w="1526"/>
        <w:gridCol w:w="1394"/>
        <w:gridCol w:w="1794"/>
        <w:gridCol w:w="3427"/>
        <w:gridCol w:w="3101"/>
      </w:tblGrid>
      <w:tr w:rsidR="008C0F6E" w:rsidTr="00BC6BF3">
        <w:tc>
          <w:tcPr>
            <w:tcW w:w="1400" w:type="dxa"/>
          </w:tcPr>
          <w:p w:rsidR="008C0F6E" w:rsidRDefault="008C0F6E" w:rsidP="00BC6BF3">
            <w:r>
              <w:t>Product</w:t>
            </w:r>
          </w:p>
        </w:tc>
        <w:tc>
          <w:tcPr>
            <w:tcW w:w="1578" w:type="dxa"/>
          </w:tcPr>
          <w:p w:rsidR="008C0F6E" w:rsidRDefault="008C0F6E" w:rsidP="00BC6BF3">
            <w:r>
              <w:t>Begindatum</w:t>
            </w:r>
          </w:p>
        </w:tc>
        <w:tc>
          <w:tcPr>
            <w:tcW w:w="1526" w:type="dxa"/>
          </w:tcPr>
          <w:p w:rsidR="008C0F6E" w:rsidRDefault="008C0F6E" w:rsidP="00BC6BF3">
            <w:r>
              <w:t>Einddatum</w:t>
            </w:r>
          </w:p>
        </w:tc>
        <w:tc>
          <w:tcPr>
            <w:tcW w:w="1394" w:type="dxa"/>
          </w:tcPr>
          <w:p w:rsidR="008C0F6E" w:rsidRDefault="008C0F6E" w:rsidP="00BC6BF3">
            <w:r>
              <w:t>Volume</w:t>
            </w:r>
          </w:p>
        </w:tc>
        <w:tc>
          <w:tcPr>
            <w:tcW w:w="1794" w:type="dxa"/>
          </w:tcPr>
          <w:p w:rsidR="008C0F6E" w:rsidRDefault="008C0F6E" w:rsidP="00BC6BF3">
            <w:r>
              <w:t>Eenheid</w:t>
            </w:r>
          </w:p>
        </w:tc>
        <w:tc>
          <w:tcPr>
            <w:tcW w:w="3427" w:type="dxa"/>
          </w:tcPr>
          <w:p w:rsidR="008C0F6E" w:rsidRDefault="008C0F6E" w:rsidP="00BC6BF3">
            <w:r>
              <w:t>Frequentie</w:t>
            </w:r>
          </w:p>
        </w:tc>
        <w:tc>
          <w:tcPr>
            <w:tcW w:w="3101" w:type="dxa"/>
          </w:tcPr>
          <w:p w:rsidR="008C0F6E" w:rsidRDefault="008C0F6E" w:rsidP="00BC6BF3">
            <w:r>
              <w:t>Toewijzingnummer</w:t>
            </w:r>
          </w:p>
        </w:tc>
      </w:tr>
      <w:tr w:rsidR="008C0F6E" w:rsidTr="00BC6BF3">
        <w:tc>
          <w:tcPr>
            <w:tcW w:w="1400" w:type="dxa"/>
          </w:tcPr>
          <w:p w:rsidR="008C0F6E" w:rsidRDefault="008C0F6E" w:rsidP="00BC6BF3">
            <w:r>
              <w:t>XXXX2</w:t>
            </w:r>
          </w:p>
        </w:tc>
        <w:tc>
          <w:tcPr>
            <w:tcW w:w="1578" w:type="dxa"/>
          </w:tcPr>
          <w:p w:rsidR="008C0F6E" w:rsidRDefault="008C0F6E" w:rsidP="00BC6BF3">
            <w:r>
              <w:t>1-1-2022</w:t>
            </w:r>
          </w:p>
        </w:tc>
        <w:tc>
          <w:tcPr>
            <w:tcW w:w="1526" w:type="dxa"/>
          </w:tcPr>
          <w:p w:rsidR="008C0F6E" w:rsidRDefault="008C0F6E" w:rsidP="00BC6BF3">
            <w:r>
              <w:t>30-6-2022</w:t>
            </w:r>
          </w:p>
        </w:tc>
        <w:tc>
          <w:tcPr>
            <w:tcW w:w="1394" w:type="dxa"/>
          </w:tcPr>
          <w:p w:rsidR="008C0F6E" w:rsidRDefault="008C0F6E" w:rsidP="00BC6BF3">
            <w:r>
              <w:t>600000</w:t>
            </w:r>
          </w:p>
        </w:tc>
        <w:tc>
          <w:tcPr>
            <w:tcW w:w="1794" w:type="dxa"/>
          </w:tcPr>
          <w:p w:rsidR="008C0F6E" w:rsidRDefault="001771D5" w:rsidP="00BC6BF3">
            <w:r>
              <w:t>euro</w:t>
            </w:r>
            <w:r w:rsidR="008C0F6E">
              <w:t xml:space="preserve"> (centen)</w:t>
            </w:r>
          </w:p>
        </w:tc>
        <w:tc>
          <w:tcPr>
            <w:tcW w:w="3427" w:type="dxa"/>
          </w:tcPr>
          <w:p w:rsidR="008C0F6E" w:rsidRDefault="008C0F6E" w:rsidP="00BC6BF3">
            <w:r w:rsidRPr="004E6F80">
              <w:t>Totaal binnen geldigheidsduur toewijzing</w:t>
            </w:r>
          </w:p>
        </w:tc>
        <w:tc>
          <w:tcPr>
            <w:tcW w:w="3101" w:type="dxa"/>
          </w:tcPr>
          <w:p w:rsidR="008C0F6E" w:rsidRPr="004E6F80" w:rsidRDefault="008C0F6E" w:rsidP="00BC6BF3">
            <w:r>
              <w:t>12346</w:t>
            </w:r>
          </w:p>
        </w:tc>
      </w:tr>
    </w:tbl>
    <w:p w:rsidR="008C0F6E" w:rsidRDefault="008C0F6E" w:rsidP="008C0F6E"/>
    <w:p w:rsidR="008C0F6E" w:rsidRDefault="008C0F6E" w:rsidP="008C0F6E">
      <w:r>
        <w:lastRenderedPageBreak/>
        <w:t xml:space="preserve">Naast dat de toewijzing nu eerder wordt beëindigd past de gemeente ook het volume aan. In dit voorbeeld naar rato. Hierdoor kan de aanbieder maximaal de periode declareren dat de </w:t>
      </w:r>
      <w:r w:rsidR="001771D5">
        <w:t>cliënt</w:t>
      </w:r>
      <w:r>
        <w:t xml:space="preserve"> in zorg is geweest.</w:t>
      </w:r>
    </w:p>
    <w:p w:rsidR="008C0F6E" w:rsidRDefault="008C0F6E" w:rsidP="000240EA"/>
    <w:sectPr w:rsidR="008C0F6E" w:rsidSect="004E6F80">
      <w:pgSz w:w="16838" w:h="11906" w:orient="landscape"/>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F5DA4"/>
    <w:multiLevelType w:val="hybridMultilevel"/>
    <w:tmpl w:val="38DCAF7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2A12525"/>
    <w:multiLevelType w:val="hybridMultilevel"/>
    <w:tmpl w:val="6ACE03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F8A71ED"/>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3" w15:restartNumberingAfterBreak="0">
    <w:nsid w:val="34421091"/>
    <w:multiLevelType w:val="hybridMultilevel"/>
    <w:tmpl w:val="837E0AD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17DE"/>
    <w:rsid w:val="000240EA"/>
    <w:rsid w:val="000264BB"/>
    <w:rsid w:val="000270A5"/>
    <w:rsid w:val="00027A4D"/>
    <w:rsid w:val="000D06F0"/>
    <w:rsid w:val="000F17DE"/>
    <w:rsid w:val="00104FFE"/>
    <w:rsid w:val="00154C90"/>
    <w:rsid w:val="00175E56"/>
    <w:rsid w:val="001771D5"/>
    <w:rsid w:val="001912B8"/>
    <w:rsid w:val="001B6909"/>
    <w:rsid w:val="001C7A1A"/>
    <w:rsid w:val="001E38EE"/>
    <w:rsid w:val="001E65BB"/>
    <w:rsid w:val="001F3746"/>
    <w:rsid w:val="00217073"/>
    <w:rsid w:val="00245CE9"/>
    <w:rsid w:val="00272C65"/>
    <w:rsid w:val="00294332"/>
    <w:rsid w:val="002D0D14"/>
    <w:rsid w:val="00307C62"/>
    <w:rsid w:val="0037121A"/>
    <w:rsid w:val="00375A41"/>
    <w:rsid w:val="003F22C4"/>
    <w:rsid w:val="004676EF"/>
    <w:rsid w:val="004C4063"/>
    <w:rsid w:val="004C6AA0"/>
    <w:rsid w:val="004D1B1F"/>
    <w:rsid w:val="004E6F80"/>
    <w:rsid w:val="00501084"/>
    <w:rsid w:val="00521CA0"/>
    <w:rsid w:val="00526EE7"/>
    <w:rsid w:val="0056266C"/>
    <w:rsid w:val="00592339"/>
    <w:rsid w:val="00594BB8"/>
    <w:rsid w:val="005A59D3"/>
    <w:rsid w:val="005D5517"/>
    <w:rsid w:val="005F41AD"/>
    <w:rsid w:val="005F545A"/>
    <w:rsid w:val="006365EE"/>
    <w:rsid w:val="00654877"/>
    <w:rsid w:val="006E62F3"/>
    <w:rsid w:val="00707E2D"/>
    <w:rsid w:val="007327AD"/>
    <w:rsid w:val="00746523"/>
    <w:rsid w:val="00746FFA"/>
    <w:rsid w:val="00763956"/>
    <w:rsid w:val="00774AD2"/>
    <w:rsid w:val="0079085B"/>
    <w:rsid w:val="00794858"/>
    <w:rsid w:val="0081323F"/>
    <w:rsid w:val="008140BB"/>
    <w:rsid w:val="008C0F6E"/>
    <w:rsid w:val="008E3E7D"/>
    <w:rsid w:val="008E700F"/>
    <w:rsid w:val="009251CE"/>
    <w:rsid w:val="00925D68"/>
    <w:rsid w:val="009312A2"/>
    <w:rsid w:val="00940F6E"/>
    <w:rsid w:val="009E3D13"/>
    <w:rsid w:val="00A240F5"/>
    <w:rsid w:val="00A405F2"/>
    <w:rsid w:val="00A4469F"/>
    <w:rsid w:val="00A479EC"/>
    <w:rsid w:val="00A52C91"/>
    <w:rsid w:val="00A568BF"/>
    <w:rsid w:val="00AE0355"/>
    <w:rsid w:val="00B552B5"/>
    <w:rsid w:val="00B5589E"/>
    <w:rsid w:val="00B6683C"/>
    <w:rsid w:val="00BC7C0C"/>
    <w:rsid w:val="00C0674B"/>
    <w:rsid w:val="00C206D6"/>
    <w:rsid w:val="00C817B9"/>
    <w:rsid w:val="00CB63E2"/>
    <w:rsid w:val="00CD6940"/>
    <w:rsid w:val="00CE1E6C"/>
    <w:rsid w:val="00D00C52"/>
    <w:rsid w:val="00D022AD"/>
    <w:rsid w:val="00D06F18"/>
    <w:rsid w:val="00D2395E"/>
    <w:rsid w:val="00DB7360"/>
    <w:rsid w:val="00E06860"/>
    <w:rsid w:val="00E24067"/>
    <w:rsid w:val="00E6227E"/>
    <w:rsid w:val="00EA430C"/>
    <w:rsid w:val="00EC3F42"/>
    <w:rsid w:val="00F004CE"/>
    <w:rsid w:val="00F2102B"/>
    <w:rsid w:val="00F81D65"/>
    <w:rsid w:val="00F83AF7"/>
    <w:rsid w:val="00FA729D"/>
    <w:rsid w:val="00FB6A9A"/>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EDDF6E"/>
  <w15:docId w15:val="{AC5D4A69-AE1E-48D4-B49D-604F6B126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264BB"/>
    <w:rPr>
      <w:szCs w:val="24"/>
    </w:rPr>
  </w:style>
  <w:style w:type="paragraph" w:styleId="Kop1">
    <w:name w:val="heading 1"/>
    <w:basedOn w:val="Standaard"/>
    <w:next w:val="Standaard"/>
    <w:qFormat/>
    <w:rsid w:val="00CB63E2"/>
    <w:pPr>
      <w:keepNext/>
      <w:numPr>
        <w:numId w:val="4"/>
      </w:numPr>
      <w:spacing w:before="240" w:after="60"/>
      <w:outlineLvl w:val="0"/>
    </w:pPr>
    <w:rPr>
      <w:b/>
      <w:bCs/>
      <w:kern w:val="32"/>
      <w:sz w:val="32"/>
      <w:szCs w:val="32"/>
    </w:rPr>
  </w:style>
  <w:style w:type="paragraph" w:styleId="Kop2">
    <w:name w:val="heading 2"/>
    <w:basedOn w:val="Standaard"/>
    <w:next w:val="Standaard"/>
    <w:qFormat/>
    <w:rsid w:val="00CB63E2"/>
    <w:pPr>
      <w:keepNext/>
      <w:numPr>
        <w:ilvl w:val="1"/>
        <w:numId w:val="4"/>
      </w:numPr>
      <w:spacing w:before="240" w:after="60"/>
      <w:outlineLvl w:val="1"/>
    </w:pPr>
    <w:rPr>
      <w:b/>
      <w:bCs/>
      <w:i/>
      <w:iCs/>
      <w:sz w:val="28"/>
      <w:szCs w:val="28"/>
    </w:rPr>
  </w:style>
  <w:style w:type="paragraph" w:styleId="Kop3">
    <w:name w:val="heading 3"/>
    <w:basedOn w:val="Standaard"/>
    <w:next w:val="Standaard"/>
    <w:qFormat/>
    <w:rsid w:val="00CB63E2"/>
    <w:pPr>
      <w:keepNext/>
      <w:numPr>
        <w:ilvl w:val="2"/>
        <w:numId w:val="4"/>
      </w:numPr>
      <w:spacing w:before="240" w:after="60"/>
      <w:outlineLvl w:val="2"/>
    </w:pPr>
    <w:rPr>
      <w:b/>
      <w:bCs/>
      <w:sz w:val="26"/>
      <w:szCs w:val="26"/>
    </w:rPr>
  </w:style>
  <w:style w:type="paragraph" w:styleId="Kop4">
    <w:name w:val="heading 4"/>
    <w:basedOn w:val="Standaard"/>
    <w:next w:val="Standaard"/>
    <w:link w:val="Kop4Char"/>
    <w:semiHidden/>
    <w:unhideWhenUsed/>
    <w:qFormat/>
    <w:rsid w:val="001B6909"/>
    <w:pPr>
      <w:keepNext/>
      <w:keepLines/>
      <w:numPr>
        <w:ilvl w:val="3"/>
        <w:numId w:val="4"/>
      </w:numPr>
      <w:spacing w:before="40"/>
      <w:outlineLvl w:val="3"/>
    </w:pPr>
    <w:rPr>
      <w:rFonts w:asciiTheme="majorHAnsi" w:eastAsiaTheme="majorEastAsia" w:hAnsiTheme="majorHAnsi" w:cstheme="majorBidi"/>
      <w:i/>
      <w:iCs/>
      <w:color w:val="365F91" w:themeColor="accent1" w:themeShade="BF"/>
    </w:rPr>
  </w:style>
  <w:style w:type="paragraph" w:styleId="Kop5">
    <w:name w:val="heading 5"/>
    <w:basedOn w:val="Standaard"/>
    <w:next w:val="Standaard"/>
    <w:link w:val="Kop5Char"/>
    <w:semiHidden/>
    <w:unhideWhenUsed/>
    <w:qFormat/>
    <w:rsid w:val="001B6909"/>
    <w:pPr>
      <w:keepNext/>
      <w:keepLines/>
      <w:numPr>
        <w:ilvl w:val="4"/>
        <w:numId w:val="4"/>
      </w:numPr>
      <w:spacing w:before="40"/>
      <w:outlineLvl w:val="4"/>
    </w:pPr>
    <w:rPr>
      <w:rFonts w:asciiTheme="majorHAnsi" w:eastAsiaTheme="majorEastAsia" w:hAnsiTheme="majorHAnsi" w:cstheme="majorBidi"/>
      <w:color w:val="365F91" w:themeColor="accent1" w:themeShade="BF"/>
    </w:rPr>
  </w:style>
  <w:style w:type="paragraph" w:styleId="Kop6">
    <w:name w:val="heading 6"/>
    <w:basedOn w:val="Standaard"/>
    <w:next w:val="Standaard"/>
    <w:link w:val="Kop6Char"/>
    <w:semiHidden/>
    <w:unhideWhenUsed/>
    <w:qFormat/>
    <w:rsid w:val="001B6909"/>
    <w:pPr>
      <w:keepNext/>
      <w:keepLines/>
      <w:numPr>
        <w:ilvl w:val="5"/>
        <w:numId w:val="4"/>
      </w:numPr>
      <w:spacing w:before="40"/>
      <w:outlineLvl w:val="5"/>
    </w:pPr>
    <w:rPr>
      <w:rFonts w:asciiTheme="majorHAnsi" w:eastAsiaTheme="majorEastAsia" w:hAnsiTheme="majorHAnsi" w:cstheme="majorBidi"/>
      <w:color w:val="243F60" w:themeColor="accent1" w:themeShade="7F"/>
    </w:rPr>
  </w:style>
  <w:style w:type="paragraph" w:styleId="Kop7">
    <w:name w:val="heading 7"/>
    <w:basedOn w:val="Standaard"/>
    <w:next w:val="Standaard"/>
    <w:link w:val="Kop7Char"/>
    <w:semiHidden/>
    <w:unhideWhenUsed/>
    <w:qFormat/>
    <w:rsid w:val="001B6909"/>
    <w:pPr>
      <w:keepNext/>
      <w:keepLines/>
      <w:numPr>
        <w:ilvl w:val="6"/>
        <w:numId w:val="4"/>
      </w:numPr>
      <w:spacing w:before="40"/>
      <w:outlineLvl w:val="6"/>
    </w:pPr>
    <w:rPr>
      <w:rFonts w:asciiTheme="majorHAnsi" w:eastAsiaTheme="majorEastAsia" w:hAnsiTheme="majorHAnsi" w:cstheme="majorBidi"/>
      <w:i/>
      <w:iCs/>
      <w:color w:val="243F60" w:themeColor="accent1" w:themeShade="7F"/>
    </w:rPr>
  </w:style>
  <w:style w:type="paragraph" w:styleId="Kop8">
    <w:name w:val="heading 8"/>
    <w:basedOn w:val="Standaard"/>
    <w:next w:val="Standaard"/>
    <w:link w:val="Kop8Char"/>
    <w:semiHidden/>
    <w:unhideWhenUsed/>
    <w:qFormat/>
    <w:rsid w:val="001B6909"/>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semiHidden/>
    <w:unhideWhenUsed/>
    <w:qFormat/>
    <w:rsid w:val="001B6909"/>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Nadruk">
    <w:name w:val="Emphasis"/>
    <w:qFormat/>
    <w:rsid w:val="00175E56"/>
    <w:rPr>
      <w:rFonts w:ascii="Arial" w:hAnsi="Arial"/>
      <w:i/>
      <w:iCs/>
    </w:rPr>
  </w:style>
  <w:style w:type="paragraph" w:styleId="Ondertitel">
    <w:name w:val="Subtitle"/>
    <w:basedOn w:val="Standaard"/>
    <w:next w:val="Standaard"/>
    <w:link w:val="OndertitelChar"/>
    <w:qFormat/>
    <w:rsid w:val="00175E56"/>
    <w:pPr>
      <w:spacing w:after="60"/>
      <w:jc w:val="center"/>
      <w:outlineLvl w:val="1"/>
    </w:pPr>
    <w:rPr>
      <w:rFonts w:cs="Times New Roman"/>
      <w:sz w:val="24"/>
    </w:rPr>
  </w:style>
  <w:style w:type="character" w:customStyle="1" w:styleId="OndertitelChar">
    <w:name w:val="Ondertitel Char"/>
    <w:link w:val="Ondertitel"/>
    <w:rsid w:val="00175E56"/>
    <w:rPr>
      <w:rFonts w:eastAsia="Times New Roman" w:cs="Times New Roman"/>
      <w:sz w:val="24"/>
      <w:szCs w:val="24"/>
    </w:rPr>
  </w:style>
  <w:style w:type="character" w:styleId="Zwaar">
    <w:name w:val="Strong"/>
    <w:qFormat/>
    <w:rsid w:val="00175E56"/>
    <w:rPr>
      <w:rFonts w:ascii="Arial" w:hAnsi="Arial"/>
      <w:b/>
      <w:bCs/>
    </w:rPr>
  </w:style>
  <w:style w:type="paragraph" w:styleId="Titel">
    <w:name w:val="Title"/>
    <w:basedOn w:val="Standaard"/>
    <w:next w:val="Standaard"/>
    <w:link w:val="TitelChar"/>
    <w:qFormat/>
    <w:rsid w:val="00175E56"/>
    <w:pPr>
      <w:spacing w:before="240" w:after="60"/>
      <w:jc w:val="center"/>
      <w:outlineLvl w:val="0"/>
    </w:pPr>
    <w:rPr>
      <w:rFonts w:cs="Times New Roman"/>
      <w:b/>
      <w:bCs/>
      <w:kern w:val="28"/>
      <w:sz w:val="32"/>
      <w:szCs w:val="32"/>
    </w:rPr>
  </w:style>
  <w:style w:type="character" w:customStyle="1" w:styleId="TitelChar">
    <w:name w:val="Titel Char"/>
    <w:link w:val="Titel"/>
    <w:rsid w:val="00175E56"/>
    <w:rPr>
      <w:rFonts w:eastAsia="Times New Roman" w:cs="Times New Roman"/>
      <w:b/>
      <w:bCs/>
      <w:kern w:val="28"/>
      <w:sz w:val="32"/>
      <w:szCs w:val="32"/>
    </w:rPr>
  </w:style>
  <w:style w:type="character" w:styleId="Subtielebenadrukking">
    <w:name w:val="Subtle Emphasis"/>
    <w:uiPriority w:val="19"/>
    <w:qFormat/>
    <w:rsid w:val="00175E56"/>
    <w:rPr>
      <w:rFonts w:ascii="Arial" w:hAnsi="Arial"/>
      <w:i/>
      <w:iCs/>
      <w:color w:val="808080"/>
    </w:rPr>
  </w:style>
  <w:style w:type="character" w:styleId="Intensievebenadrukking">
    <w:name w:val="Intense Emphasis"/>
    <w:uiPriority w:val="21"/>
    <w:qFormat/>
    <w:rsid w:val="00175E56"/>
    <w:rPr>
      <w:rFonts w:ascii="Arial" w:hAnsi="Arial"/>
      <w:b/>
      <w:bCs/>
      <w:i/>
      <w:iCs/>
      <w:color w:val="4F81BD"/>
    </w:rPr>
  </w:style>
  <w:style w:type="paragraph" w:styleId="Citaat">
    <w:name w:val="Quote"/>
    <w:basedOn w:val="Standaard"/>
    <w:next w:val="Standaard"/>
    <w:link w:val="CitaatChar"/>
    <w:uiPriority w:val="29"/>
    <w:qFormat/>
    <w:rsid w:val="00175E56"/>
    <w:rPr>
      <w:i/>
      <w:iCs/>
      <w:color w:val="000000"/>
    </w:rPr>
  </w:style>
  <w:style w:type="character" w:customStyle="1" w:styleId="CitaatChar">
    <w:name w:val="Citaat Char"/>
    <w:link w:val="Citaat"/>
    <w:uiPriority w:val="29"/>
    <w:rsid w:val="00175E56"/>
    <w:rPr>
      <w:i/>
      <w:iCs/>
      <w:color w:val="000000"/>
    </w:rPr>
  </w:style>
  <w:style w:type="table" w:styleId="Tabelraster">
    <w:name w:val="Table Grid"/>
    <w:basedOn w:val="Standaardtabel"/>
    <w:rsid w:val="004E6F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BC7C0C"/>
    <w:pPr>
      <w:ind w:left="720"/>
      <w:contextualSpacing/>
    </w:pPr>
  </w:style>
  <w:style w:type="character" w:styleId="Hyperlink">
    <w:name w:val="Hyperlink"/>
    <w:basedOn w:val="Standaardalinea-lettertype"/>
    <w:rsid w:val="00A4469F"/>
    <w:rPr>
      <w:color w:val="0000FF" w:themeColor="hyperlink"/>
      <w:u w:val="single"/>
    </w:rPr>
  </w:style>
  <w:style w:type="character" w:styleId="Verwijzingopmerking">
    <w:name w:val="annotation reference"/>
    <w:basedOn w:val="Standaardalinea-lettertype"/>
    <w:rsid w:val="004C6AA0"/>
    <w:rPr>
      <w:sz w:val="16"/>
      <w:szCs w:val="16"/>
    </w:rPr>
  </w:style>
  <w:style w:type="paragraph" w:styleId="Tekstopmerking">
    <w:name w:val="annotation text"/>
    <w:basedOn w:val="Standaard"/>
    <w:link w:val="TekstopmerkingChar"/>
    <w:uiPriority w:val="99"/>
    <w:rsid w:val="004C6AA0"/>
    <w:rPr>
      <w:szCs w:val="20"/>
    </w:rPr>
  </w:style>
  <w:style w:type="character" w:customStyle="1" w:styleId="TekstopmerkingChar">
    <w:name w:val="Tekst opmerking Char"/>
    <w:basedOn w:val="Standaardalinea-lettertype"/>
    <w:link w:val="Tekstopmerking"/>
    <w:uiPriority w:val="99"/>
    <w:rsid w:val="004C6AA0"/>
  </w:style>
  <w:style w:type="paragraph" w:styleId="Onderwerpvanopmerking">
    <w:name w:val="annotation subject"/>
    <w:basedOn w:val="Tekstopmerking"/>
    <w:next w:val="Tekstopmerking"/>
    <w:link w:val="OnderwerpvanopmerkingChar"/>
    <w:rsid w:val="004C6AA0"/>
    <w:rPr>
      <w:b/>
      <w:bCs/>
    </w:rPr>
  </w:style>
  <w:style w:type="character" w:customStyle="1" w:styleId="OnderwerpvanopmerkingChar">
    <w:name w:val="Onderwerp van opmerking Char"/>
    <w:basedOn w:val="TekstopmerkingChar"/>
    <w:link w:val="Onderwerpvanopmerking"/>
    <w:rsid w:val="004C6AA0"/>
    <w:rPr>
      <w:b/>
      <w:bCs/>
    </w:rPr>
  </w:style>
  <w:style w:type="paragraph" w:styleId="Ballontekst">
    <w:name w:val="Balloon Text"/>
    <w:basedOn w:val="Standaard"/>
    <w:link w:val="BallontekstChar"/>
    <w:rsid w:val="004C6AA0"/>
    <w:rPr>
      <w:rFonts w:ascii="Tahoma" w:hAnsi="Tahoma" w:cs="Tahoma"/>
      <w:sz w:val="16"/>
      <w:szCs w:val="16"/>
    </w:rPr>
  </w:style>
  <w:style w:type="character" w:customStyle="1" w:styleId="BallontekstChar">
    <w:name w:val="Ballontekst Char"/>
    <w:basedOn w:val="Standaardalinea-lettertype"/>
    <w:link w:val="Ballontekst"/>
    <w:rsid w:val="004C6AA0"/>
    <w:rPr>
      <w:rFonts w:ascii="Tahoma" w:hAnsi="Tahoma" w:cs="Tahoma"/>
      <w:sz w:val="16"/>
      <w:szCs w:val="16"/>
    </w:rPr>
  </w:style>
  <w:style w:type="character" w:customStyle="1" w:styleId="Kop4Char">
    <w:name w:val="Kop 4 Char"/>
    <w:basedOn w:val="Standaardalinea-lettertype"/>
    <w:link w:val="Kop4"/>
    <w:semiHidden/>
    <w:rsid w:val="001B6909"/>
    <w:rPr>
      <w:rFonts w:asciiTheme="majorHAnsi" w:eastAsiaTheme="majorEastAsia" w:hAnsiTheme="majorHAnsi" w:cstheme="majorBidi"/>
      <w:i/>
      <w:iCs/>
      <w:color w:val="365F91" w:themeColor="accent1" w:themeShade="BF"/>
      <w:szCs w:val="24"/>
    </w:rPr>
  </w:style>
  <w:style w:type="character" w:customStyle="1" w:styleId="Kop5Char">
    <w:name w:val="Kop 5 Char"/>
    <w:basedOn w:val="Standaardalinea-lettertype"/>
    <w:link w:val="Kop5"/>
    <w:semiHidden/>
    <w:rsid w:val="001B6909"/>
    <w:rPr>
      <w:rFonts w:asciiTheme="majorHAnsi" w:eastAsiaTheme="majorEastAsia" w:hAnsiTheme="majorHAnsi" w:cstheme="majorBidi"/>
      <w:color w:val="365F91" w:themeColor="accent1" w:themeShade="BF"/>
      <w:szCs w:val="24"/>
    </w:rPr>
  </w:style>
  <w:style w:type="character" w:customStyle="1" w:styleId="Kop6Char">
    <w:name w:val="Kop 6 Char"/>
    <w:basedOn w:val="Standaardalinea-lettertype"/>
    <w:link w:val="Kop6"/>
    <w:semiHidden/>
    <w:rsid w:val="001B6909"/>
    <w:rPr>
      <w:rFonts w:asciiTheme="majorHAnsi" w:eastAsiaTheme="majorEastAsia" w:hAnsiTheme="majorHAnsi" w:cstheme="majorBidi"/>
      <w:color w:val="243F60" w:themeColor="accent1" w:themeShade="7F"/>
      <w:szCs w:val="24"/>
    </w:rPr>
  </w:style>
  <w:style w:type="character" w:customStyle="1" w:styleId="Kop7Char">
    <w:name w:val="Kop 7 Char"/>
    <w:basedOn w:val="Standaardalinea-lettertype"/>
    <w:link w:val="Kop7"/>
    <w:semiHidden/>
    <w:rsid w:val="001B6909"/>
    <w:rPr>
      <w:rFonts w:asciiTheme="majorHAnsi" w:eastAsiaTheme="majorEastAsia" w:hAnsiTheme="majorHAnsi" w:cstheme="majorBidi"/>
      <w:i/>
      <w:iCs/>
      <w:color w:val="243F60" w:themeColor="accent1" w:themeShade="7F"/>
      <w:szCs w:val="24"/>
    </w:rPr>
  </w:style>
  <w:style w:type="character" w:customStyle="1" w:styleId="Kop8Char">
    <w:name w:val="Kop 8 Char"/>
    <w:basedOn w:val="Standaardalinea-lettertype"/>
    <w:link w:val="Kop8"/>
    <w:semiHidden/>
    <w:rsid w:val="001B690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semiHidden/>
    <w:rsid w:val="001B6909"/>
    <w:rPr>
      <w:rFonts w:asciiTheme="majorHAnsi" w:eastAsiaTheme="majorEastAsia" w:hAnsiTheme="majorHAnsi" w:cstheme="majorBidi"/>
      <w:i/>
      <w:iCs/>
      <w:color w:val="272727" w:themeColor="text1" w:themeTint="D8"/>
      <w:sz w:val="21"/>
      <w:szCs w:val="21"/>
    </w:rPr>
  </w:style>
  <w:style w:type="character" w:styleId="GevolgdeHyperlink">
    <w:name w:val="FollowedHyperlink"/>
    <w:basedOn w:val="Standaardalinea-lettertype"/>
    <w:semiHidden/>
    <w:unhideWhenUsed/>
    <w:rsid w:val="001B69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4336398">
      <w:bodyDiv w:val="1"/>
      <w:marLeft w:val="0"/>
      <w:marRight w:val="0"/>
      <w:marTop w:val="0"/>
      <w:marBottom w:val="0"/>
      <w:divBdr>
        <w:top w:val="none" w:sz="0" w:space="0" w:color="auto"/>
        <w:left w:val="none" w:sz="0" w:space="0" w:color="auto"/>
        <w:bottom w:val="none" w:sz="0" w:space="0" w:color="auto"/>
        <w:right w:val="none" w:sz="0" w:space="0" w:color="auto"/>
      </w:divBdr>
    </w:div>
    <w:div w:id="132909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i-sociaaldomein.nl/cms/view/57979259/wat-zijn-standaard-administratieprotocollen/5797937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DBFE6-9BAE-4808-80BC-92417AE8B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1264</Words>
  <Characters>6958</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Gemeente Noordoostpolder</Company>
  <LinksUpToDate>false</LinksUpToDate>
  <CharactersWithSpaces>8206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Apeldoorn, Kelvin</dc:creator>
  <cp:lastModifiedBy>Apeldoorn, Kelvin</cp:lastModifiedBy>
  <cp:revision>9</cp:revision>
  <dcterms:created xsi:type="dcterms:W3CDTF">2021-03-09T12:10:00Z</dcterms:created>
  <dcterms:modified xsi:type="dcterms:W3CDTF">2021-03-10T07:13:00Z</dcterms:modified>
</cp:coreProperties>
</file>