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C90" w:rsidRDefault="00501084" w:rsidP="00486231">
      <w:pPr>
        <w:pStyle w:val="Kop1"/>
      </w:pPr>
      <w:r>
        <w:t>Werkwijze</w:t>
      </w:r>
      <w:r w:rsidR="004C4063">
        <w:t xml:space="preserve"> </w:t>
      </w:r>
      <w:r w:rsidR="00A30DE0">
        <w:t>inspanningsgericht</w:t>
      </w:r>
      <w:r w:rsidR="00117CFC">
        <w:t xml:space="preserve"> Kortdurend Verblijf</w:t>
      </w:r>
    </w:p>
    <w:p w:rsidR="00501084" w:rsidRDefault="008C0F6E">
      <w:r>
        <w:t xml:space="preserve">Deze werkwijze </w:t>
      </w:r>
      <w:r w:rsidR="008440B6">
        <w:t>berichtenverkeer</w:t>
      </w:r>
      <w:r w:rsidR="00501084">
        <w:t xml:space="preserve"> geldt voor de volgende </w:t>
      </w:r>
      <w:r w:rsidR="00B6683C">
        <w:t>percelen:</w:t>
      </w:r>
    </w:p>
    <w:p w:rsidR="00B35302" w:rsidRPr="00B6683C" w:rsidRDefault="00B35302" w:rsidP="00B6683C">
      <w:pPr>
        <w:pStyle w:val="Lijstalinea"/>
        <w:numPr>
          <w:ilvl w:val="0"/>
          <w:numId w:val="2"/>
        </w:numPr>
      </w:pPr>
      <w:r>
        <w:t xml:space="preserve">WMO: </w:t>
      </w:r>
      <w:r w:rsidRPr="00C47E42">
        <w:t>Kortdurend verblijf</w:t>
      </w:r>
    </w:p>
    <w:p w:rsidR="00B6683C" w:rsidRDefault="00B6683C"/>
    <w:p w:rsidR="00501084" w:rsidRDefault="00501084">
      <w:r>
        <w:t xml:space="preserve">Voor deze producten geeft de gemeente een toewijzing af voor </w:t>
      </w:r>
      <w:r w:rsidR="005229CC">
        <w:t>een bepa</w:t>
      </w:r>
      <w:r w:rsidR="00F02E75">
        <w:t>a</w:t>
      </w:r>
      <w:r w:rsidR="005229CC">
        <w:t xml:space="preserve">ld volume binnen </w:t>
      </w:r>
      <w:r>
        <w:t xml:space="preserve">een bepaalde periode. Binnen deze periode </w:t>
      </w:r>
      <w:r w:rsidR="005229CC">
        <w:t>kan de aanbieder de toegewezen volume inzetten.</w:t>
      </w:r>
    </w:p>
    <w:p w:rsidR="00501084" w:rsidRDefault="00501084"/>
    <w:p w:rsidR="00501084" w:rsidRDefault="005229CC">
      <w:r>
        <w:t>De aanbieder kan deze aantallen declareren volgens in het progr</w:t>
      </w:r>
      <w:r w:rsidR="00F54230">
        <w:t>amma van eisen opgenomen regels.</w:t>
      </w:r>
    </w:p>
    <w:p w:rsidR="00F54230" w:rsidRDefault="00F54230"/>
    <w:p w:rsidR="005229CC" w:rsidRDefault="005229CC">
      <w:r>
        <w:t>Door deze werkwijze is het mogelijk om in bijvoorbeeld vakantie periode meer verblijf op te nemen dan in andere perioden zonder de toewijzing te hoeven aan te passen.</w:t>
      </w:r>
    </w:p>
    <w:p w:rsidR="00117CFC" w:rsidRDefault="00117CFC"/>
    <w:p w:rsidR="00117CFC" w:rsidRDefault="00117CFC" w:rsidP="00117CFC">
      <w:r>
        <w:t>Voor de berichten volgen wij (op moment van schrijven) het SAP inspanningsgericht versie 3.0.1:</w:t>
      </w:r>
    </w:p>
    <w:p w:rsidR="00117CFC" w:rsidRDefault="000B6564" w:rsidP="00117CFC">
      <w:hyperlink r:id="rId5" w:history="1">
        <w:r w:rsidR="00117CFC" w:rsidRPr="00E66F09">
          <w:rPr>
            <w:rStyle w:val="Hyperlink"/>
          </w:rPr>
          <w:t>https://i-sociaaldomein.nl/cms/view/57979259/wat-zijn-standaard-administratieprotocollen/57979376</w:t>
        </w:r>
      </w:hyperlink>
    </w:p>
    <w:p w:rsidR="00117CFC" w:rsidRDefault="00117CFC" w:rsidP="00117CFC"/>
    <w:p w:rsidR="00117CFC" w:rsidRDefault="00117CFC" w:rsidP="00117CFC">
      <w:r>
        <w:t>Dit document beschrijft nog enkele voorbeelden hoe de gekozen werkwijze in de praktijk gebruikt gaat worden.</w:t>
      </w:r>
    </w:p>
    <w:p w:rsidR="00501084" w:rsidRPr="00501084" w:rsidRDefault="00486231" w:rsidP="00501084">
      <w:pPr>
        <w:pStyle w:val="Kop2"/>
      </w:pPr>
      <w:r>
        <w:t>Toewijzing</w:t>
      </w:r>
    </w:p>
    <w:p w:rsidR="004E6F80" w:rsidRDefault="00486231">
      <w:r>
        <w:t xml:space="preserve">De toewijzing wordt afgegeven voor bepaalde tijd. </w:t>
      </w:r>
      <w:r w:rsidR="004E6F80">
        <w:t>Bij een eerste indicatie wordt de vol</w:t>
      </w:r>
      <w:r w:rsidR="00501084">
        <w:t>g</w:t>
      </w:r>
      <w:r w:rsidR="004E6F80">
        <w:t xml:space="preserve">ende toewijzing aangemaakt </w:t>
      </w:r>
      <w:r w:rsidR="00501084">
        <w:t xml:space="preserve">door de gemeente en naar de </w:t>
      </w:r>
      <w:r w:rsidR="004E6F80">
        <w:t>aanbieder</w:t>
      </w:r>
      <w:r w:rsidR="00501084">
        <w:t xml:space="preserve"> gestuurd:</w:t>
      </w:r>
    </w:p>
    <w:p w:rsidR="004E6F80" w:rsidRDefault="004E6F80"/>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4E6F80" w:rsidTr="004E6F80">
        <w:tc>
          <w:tcPr>
            <w:tcW w:w="1400" w:type="dxa"/>
          </w:tcPr>
          <w:p w:rsidR="004E6F80" w:rsidRDefault="004E6F80">
            <w:r>
              <w:t>Product</w:t>
            </w:r>
          </w:p>
        </w:tc>
        <w:tc>
          <w:tcPr>
            <w:tcW w:w="1578" w:type="dxa"/>
          </w:tcPr>
          <w:p w:rsidR="004E6F80" w:rsidRDefault="004E6F80">
            <w:r>
              <w:t>Begindatum</w:t>
            </w:r>
          </w:p>
        </w:tc>
        <w:tc>
          <w:tcPr>
            <w:tcW w:w="1526" w:type="dxa"/>
          </w:tcPr>
          <w:p w:rsidR="004E6F80" w:rsidRDefault="004E6F80">
            <w:r>
              <w:t>Einddatum</w:t>
            </w:r>
          </w:p>
        </w:tc>
        <w:tc>
          <w:tcPr>
            <w:tcW w:w="1394" w:type="dxa"/>
          </w:tcPr>
          <w:p w:rsidR="004E6F80" w:rsidRDefault="004E6F80">
            <w:r>
              <w:t>Volume</w:t>
            </w:r>
          </w:p>
        </w:tc>
        <w:tc>
          <w:tcPr>
            <w:tcW w:w="1794" w:type="dxa"/>
          </w:tcPr>
          <w:p w:rsidR="004E6F80" w:rsidRDefault="004E6F80">
            <w:r>
              <w:t>Eenheid</w:t>
            </w:r>
          </w:p>
        </w:tc>
        <w:tc>
          <w:tcPr>
            <w:tcW w:w="3427" w:type="dxa"/>
          </w:tcPr>
          <w:p w:rsidR="004E6F80" w:rsidRDefault="004E6F80">
            <w:r>
              <w:t>Frequentie</w:t>
            </w:r>
          </w:p>
        </w:tc>
        <w:tc>
          <w:tcPr>
            <w:tcW w:w="3101" w:type="dxa"/>
          </w:tcPr>
          <w:p w:rsidR="004E6F80" w:rsidRDefault="004E6F80">
            <w:r>
              <w:t>Toewijzingnummer</w:t>
            </w:r>
          </w:p>
        </w:tc>
      </w:tr>
      <w:tr w:rsidR="004E6F80" w:rsidTr="004E6F80">
        <w:tc>
          <w:tcPr>
            <w:tcW w:w="1400" w:type="dxa"/>
          </w:tcPr>
          <w:p w:rsidR="004E6F80" w:rsidRDefault="004E6F80">
            <w:r>
              <w:t>XXXX1</w:t>
            </w:r>
          </w:p>
        </w:tc>
        <w:tc>
          <w:tcPr>
            <w:tcW w:w="1578" w:type="dxa"/>
          </w:tcPr>
          <w:p w:rsidR="004E6F80" w:rsidRDefault="004E6F80" w:rsidP="005229CC">
            <w:r>
              <w:t>1-</w:t>
            </w:r>
            <w:r w:rsidR="005229CC">
              <w:t>2</w:t>
            </w:r>
            <w:r>
              <w:t>-2022</w:t>
            </w:r>
          </w:p>
        </w:tc>
        <w:tc>
          <w:tcPr>
            <w:tcW w:w="1526" w:type="dxa"/>
          </w:tcPr>
          <w:p w:rsidR="004E6F80" w:rsidRDefault="005229CC" w:rsidP="005229CC">
            <w:r>
              <w:t>31-1-20203</w:t>
            </w:r>
          </w:p>
        </w:tc>
        <w:tc>
          <w:tcPr>
            <w:tcW w:w="1394" w:type="dxa"/>
          </w:tcPr>
          <w:p w:rsidR="004E6F80" w:rsidRDefault="005229CC">
            <w:r>
              <w:t>52</w:t>
            </w:r>
          </w:p>
        </w:tc>
        <w:tc>
          <w:tcPr>
            <w:tcW w:w="1794" w:type="dxa"/>
          </w:tcPr>
          <w:p w:rsidR="004E6F80" w:rsidRDefault="005229CC">
            <w:r>
              <w:t>Etmalen</w:t>
            </w:r>
          </w:p>
        </w:tc>
        <w:tc>
          <w:tcPr>
            <w:tcW w:w="3427" w:type="dxa"/>
          </w:tcPr>
          <w:p w:rsidR="004E6F80" w:rsidRDefault="004E6F80">
            <w:r w:rsidRPr="004E6F80">
              <w:t>Totaal binnen geldigheidsduur toewijzing</w:t>
            </w:r>
          </w:p>
        </w:tc>
        <w:tc>
          <w:tcPr>
            <w:tcW w:w="3101" w:type="dxa"/>
          </w:tcPr>
          <w:p w:rsidR="004E6F80" w:rsidRPr="004E6F80" w:rsidRDefault="004E6F80">
            <w:r>
              <w:t>12345</w:t>
            </w:r>
          </w:p>
        </w:tc>
      </w:tr>
    </w:tbl>
    <w:p w:rsidR="005229CC" w:rsidRDefault="005229CC"/>
    <w:p w:rsidR="009E3D13" w:rsidRDefault="00F54230">
      <w:r>
        <w:t xml:space="preserve">Het </w:t>
      </w:r>
      <w:r w:rsidR="005229CC">
        <w:t>gebruikt</w:t>
      </w:r>
      <w:r>
        <w:t>e</w:t>
      </w:r>
      <w:r w:rsidR="005229CC">
        <w:t xml:space="preserve"> volume in dit voorbeeld is het maximum wat een </w:t>
      </w:r>
      <w:r w:rsidR="008440B6">
        <w:t>gemeente</w:t>
      </w:r>
      <w:r w:rsidR="005229CC">
        <w:t xml:space="preserve"> voor een periode van 12 maanden zal toewijzen. In de praktijk kan dit aantal </w:t>
      </w:r>
      <w:r w:rsidR="00870574">
        <w:t xml:space="preserve">(volume) </w:t>
      </w:r>
      <w:r w:rsidR="005229CC">
        <w:t xml:space="preserve">minder zijn. </w:t>
      </w:r>
      <w:r w:rsidR="00B94798">
        <w:t>Ook kan er voor</w:t>
      </w:r>
      <w:r w:rsidR="005229CC">
        <w:t xml:space="preserve"> een kortere periode dan 12 maanden worden toegewezen.</w:t>
      </w:r>
    </w:p>
    <w:p w:rsidR="004C4063" w:rsidRDefault="004C4063"/>
    <w:p w:rsidR="004C4063" w:rsidRDefault="004C4063">
      <w:r>
        <w:t xml:space="preserve">Het grootste voordeel van deze manier van toewijzen is </w:t>
      </w:r>
      <w:r w:rsidR="005229CC">
        <w:t>dat bij de maandelijkse declaraties geen harde grens is waardoor de verblijfs etmalen (rekening houden met de regels in de programma van eisen) ingezet kunnen worden binnen de toewijzingsperiode.</w:t>
      </w:r>
    </w:p>
    <w:p w:rsidR="00501084" w:rsidRDefault="00501084"/>
    <w:p w:rsidR="009E3D13" w:rsidRPr="009E3D13" w:rsidRDefault="0018123D" w:rsidP="00501084">
      <w:pPr>
        <w:pStyle w:val="Kop2"/>
      </w:pPr>
      <w:r>
        <w:t>Geen verlenging nodig</w:t>
      </w:r>
    </w:p>
    <w:p w:rsidR="009E3D13" w:rsidRDefault="009E3D13">
      <w:r>
        <w:t xml:space="preserve">Wanneer </w:t>
      </w:r>
      <w:r w:rsidR="0018123D">
        <w:t>er geen verlenging nodig is</w:t>
      </w:r>
      <w:r w:rsidR="00F02E75">
        <w:t>,</w:t>
      </w:r>
      <w:r w:rsidR="0018123D">
        <w:t xml:space="preserve"> da</w:t>
      </w:r>
      <w:r w:rsidR="00F02E75">
        <w:t>n</w:t>
      </w:r>
      <w:r w:rsidR="0018123D">
        <w:t xml:space="preserve"> loopt de toewijzing af.</w:t>
      </w:r>
    </w:p>
    <w:p w:rsidR="009E3D13" w:rsidRDefault="009E3D13"/>
    <w:p w:rsidR="009E3D13" w:rsidRDefault="0018123D" w:rsidP="00501084">
      <w:pPr>
        <w:pStyle w:val="Kop2"/>
      </w:pPr>
      <w:r>
        <w:lastRenderedPageBreak/>
        <w:t>Toewijzing stopt e</w:t>
      </w:r>
      <w:r w:rsidR="00EE2CE2">
        <w:t>e</w:t>
      </w:r>
      <w:r>
        <w:t>rder</w:t>
      </w:r>
    </w:p>
    <w:p w:rsidR="000240EA" w:rsidRPr="000240EA" w:rsidRDefault="000240EA">
      <w:r>
        <w:t>De</w:t>
      </w:r>
      <w:r w:rsidR="00501084">
        <w:t xml:space="preserve"> eerder afgegeven</w:t>
      </w:r>
      <w:r>
        <w:t xml:space="preserve"> toewijzing wordt ingekort</w:t>
      </w:r>
      <w:r w:rsidR="00501084">
        <w:t xml:space="preserve"> door de gemeente (eventuele op basis van een stopbericht van de aanbieder)</w:t>
      </w:r>
      <w:r w:rsidR="0018123D">
        <w:t>.</w:t>
      </w:r>
    </w:p>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9E3D13" w:rsidTr="009E3D13">
        <w:tc>
          <w:tcPr>
            <w:tcW w:w="1400" w:type="dxa"/>
          </w:tcPr>
          <w:p w:rsidR="009E3D13" w:rsidRDefault="009E3D13" w:rsidP="009E3D13">
            <w:r>
              <w:t>Product</w:t>
            </w:r>
          </w:p>
        </w:tc>
        <w:tc>
          <w:tcPr>
            <w:tcW w:w="1578" w:type="dxa"/>
          </w:tcPr>
          <w:p w:rsidR="009E3D13" w:rsidRDefault="009E3D13" w:rsidP="009E3D13">
            <w:r>
              <w:t>Begindatum</w:t>
            </w:r>
          </w:p>
        </w:tc>
        <w:tc>
          <w:tcPr>
            <w:tcW w:w="1526" w:type="dxa"/>
          </w:tcPr>
          <w:p w:rsidR="009E3D13" w:rsidRDefault="009E3D13" w:rsidP="009E3D13">
            <w:r>
              <w:t>Einddatum</w:t>
            </w:r>
          </w:p>
        </w:tc>
        <w:tc>
          <w:tcPr>
            <w:tcW w:w="1394" w:type="dxa"/>
          </w:tcPr>
          <w:p w:rsidR="009E3D13" w:rsidRDefault="009E3D13" w:rsidP="009E3D13">
            <w:r>
              <w:t>Volume</w:t>
            </w:r>
          </w:p>
        </w:tc>
        <w:tc>
          <w:tcPr>
            <w:tcW w:w="1794" w:type="dxa"/>
          </w:tcPr>
          <w:p w:rsidR="009E3D13" w:rsidRDefault="009E3D13" w:rsidP="009E3D13">
            <w:r>
              <w:t>Eenheid</w:t>
            </w:r>
          </w:p>
        </w:tc>
        <w:tc>
          <w:tcPr>
            <w:tcW w:w="3427" w:type="dxa"/>
          </w:tcPr>
          <w:p w:rsidR="009E3D13" w:rsidRDefault="009E3D13" w:rsidP="009E3D13">
            <w:r>
              <w:t>Frequentie</w:t>
            </w:r>
          </w:p>
        </w:tc>
        <w:tc>
          <w:tcPr>
            <w:tcW w:w="3101" w:type="dxa"/>
          </w:tcPr>
          <w:p w:rsidR="009E3D13" w:rsidRDefault="009E3D13" w:rsidP="009E3D13">
            <w:r>
              <w:t>Toewijzingnummer</w:t>
            </w:r>
          </w:p>
        </w:tc>
      </w:tr>
      <w:tr w:rsidR="009E3D13" w:rsidTr="009E3D13">
        <w:tc>
          <w:tcPr>
            <w:tcW w:w="1400" w:type="dxa"/>
          </w:tcPr>
          <w:p w:rsidR="009E3D13" w:rsidRDefault="009E3D13" w:rsidP="009E3D13">
            <w:r>
              <w:t>XXXX1</w:t>
            </w:r>
          </w:p>
        </w:tc>
        <w:tc>
          <w:tcPr>
            <w:tcW w:w="1578" w:type="dxa"/>
          </w:tcPr>
          <w:p w:rsidR="009E3D13" w:rsidRDefault="009E3D13" w:rsidP="0018123D">
            <w:r>
              <w:t>1-</w:t>
            </w:r>
            <w:r w:rsidR="0018123D">
              <w:t>2</w:t>
            </w:r>
            <w:r>
              <w:t>-2022</w:t>
            </w:r>
          </w:p>
        </w:tc>
        <w:tc>
          <w:tcPr>
            <w:tcW w:w="1526" w:type="dxa"/>
          </w:tcPr>
          <w:p w:rsidR="009E3D13" w:rsidRDefault="009E3D13" w:rsidP="000240EA">
            <w:r>
              <w:t>31-</w:t>
            </w:r>
            <w:r w:rsidR="000240EA">
              <w:t>10</w:t>
            </w:r>
            <w:r>
              <w:t>-202</w:t>
            </w:r>
            <w:r w:rsidR="000240EA">
              <w:t>2</w:t>
            </w:r>
          </w:p>
        </w:tc>
        <w:tc>
          <w:tcPr>
            <w:tcW w:w="1394" w:type="dxa"/>
          </w:tcPr>
          <w:p w:rsidR="009E3D13" w:rsidRDefault="0018123D" w:rsidP="009E3D13">
            <w:r>
              <w:t>40</w:t>
            </w:r>
          </w:p>
        </w:tc>
        <w:tc>
          <w:tcPr>
            <w:tcW w:w="1794" w:type="dxa"/>
          </w:tcPr>
          <w:p w:rsidR="009E3D13" w:rsidRDefault="0018123D" w:rsidP="009E3D13">
            <w:r>
              <w:t>Etmalen</w:t>
            </w:r>
          </w:p>
        </w:tc>
        <w:tc>
          <w:tcPr>
            <w:tcW w:w="3427" w:type="dxa"/>
          </w:tcPr>
          <w:p w:rsidR="009E3D13" w:rsidRDefault="009E3D13" w:rsidP="009E3D13">
            <w:r w:rsidRPr="004E6F80">
              <w:t>Totaal binnen geldigheidsduur toewijzing</w:t>
            </w:r>
          </w:p>
        </w:tc>
        <w:tc>
          <w:tcPr>
            <w:tcW w:w="3101" w:type="dxa"/>
          </w:tcPr>
          <w:p w:rsidR="009E3D13" w:rsidRPr="004E6F80" w:rsidRDefault="009E3D13" w:rsidP="009E3D13">
            <w:r>
              <w:t>12345</w:t>
            </w:r>
          </w:p>
        </w:tc>
      </w:tr>
    </w:tbl>
    <w:p w:rsidR="009E3D13" w:rsidRDefault="009E3D13"/>
    <w:p w:rsidR="009E3D13" w:rsidRDefault="000240EA">
      <w:r>
        <w:t>De eerder afgegeven toewijzing korten we in</w:t>
      </w:r>
      <w:r w:rsidR="00EE2CE2">
        <w:t xml:space="preserve"> en volume passen we aan op basis van de al ge</w:t>
      </w:r>
      <w:r w:rsidR="009E3828">
        <w:t>declareerde zorg en nog te verwachten declaraties.</w:t>
      </w:r>
    </w:p>
    <w:p w:rsidR="000240EA" w:rsidRDefault="000240EA"/>
    <w:p w:rsidR="000240EA" w:rsidRDefault="009E3828" w:rsidP="00501084">
      <w:pPr>
        <w:pStyle w:val="Kop2"/>
      </w:pPr>
      <w:r>
        <w:t>Toewijzing dient te worden</w:t>
      </w:r>
      <w:r w:rsidR="003A0730">
        <w:t xml:space="preserve"> verlengd</w:t>
      </w:r>
    </w:p>
    <w:p w:rsidR="000240EA" w:rsidRPr="000240EA" w:rsidRDefault="000240EA" w:rsidP="000240EA">
      <w:r>
        <w:t xml:space="preserve">De </w:t>
      </w:r>
      <w:r w:rsidR="00501084">
        <w:t xml:space="preserve">eerder afgegeven </w:t>
      </w:r>
      <w:r w:rsidR="009E3828">
        <w:t>toewijzing wordt verleng</w:t>
      </w:r>
      <w:r w:rsidR="00F02E75">
        <w:t>d</w:t>
      </w:r>
      <w:r w:rsidR="009E3828">
        <w:t xml:space="preserve">. </w:t>
      </w:r>
      <w:r>
        <w:t>Hieronder de aangepaste toewijzing</w:t>
      </w:r>
    </w:p>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0240EA" w:rsidTr="000240EA">
        <w:tc>
          <w:tcPr>
            <w:tcW w:w="1400" w:type="dxa"/>
          </w:tcPr>
          <w:p w:rsidR="000240EA" w:rsidRDefault="000240EA" w:rsidP="000240EA">
            <w:r>
              <w:t>Product</w:t>
            </w:r>
          </w:p>
        </w:tc>
        <w:tc>
          <w:tcPr>
            <w:tcW w:w="1578" w:type="dxa"/>
          </w:tcPr>
          <w:p w:rsidR="000240EA" w:rsidRDefault="000240EA" w:rsidP="000240EA">
            <w:r>
              <w:t>Begindatum</w:t>
            </w:r>
          </w:p>
        </w:tc>
        <w:tc>
          <w:tcPr>
            <w:tcW w:w="1526" w:type="dxa"/>
          </w:tcPr>
          <w:p w:rsidR="000240EA" w:rsidRDefault="000240EA" w:rsidP="000240EA">
            <w:r>
              <w:t>Einddatum</w:t>
            </w:r>
          </w:p>
        </w:tc>
        <w:tc>
          <w:tcPr>
            <w:tcW w:w="1394" w:type="dxa"/>
          </w:tcPr>
          <w:p w:rsidR="000240EA" w:rsidRDefault="000240EA" w:rsidP="000240EA">
            <w:r>
              <w:t>Volume</w:t>
            </w:r>
          </w:p>
        </w:tc>
        <w:tc>
          <w:tcPr>
            <w:tcW w:w="1794" w:type="dxa"/>
          </w:tcPr>
          <w:p w:rsidR="000240EA" w:rsidRDefault="000240EA" w:rsidP="000240EA">
            <w:r>
              <w:t>Eenheid</w:t>
            </w:r>
          </w:p>
        </w:tc>
        <w:tc>
          <w:tcPr>
            <w:tcW w:w="3427" w:type="dxa"/>
          </w:tcPr>
          <w:p w:rsidR="000240EA" w:rsidRDefault="000240EA" w:rsidP="000240EA">
            <w:r>
              <w:t>Frequentie</w:t>
            </w:r>
          </w:p>
        </w:tc>
        <w:tc>
          <w:tcPr>
            <w:tcW w:w="3101" w:type="dxa"/>
          </w:tcPr>
          <w:p w:rsidR="000240EA" w:rsidRDefault="000240EA" w:rsidP="000240EA">
            <w:r>
              <w:t>Toewijzingnummer</w:t>
            </w:r>
          </w:p>
        </w:tc>
      </w:tr>
      <w:tr w:rsidR="000240EA" w:rsidTr="000240EA">
        <w:tc>
          <w:tcPr>
            <w:tcW w:w="1400" w:type="dxa"/>
          </w:tcPr>
          <w:p w:rsidR="000240EA" w:rsidRDefault="000240EA" w:rsidP="000240EA">
            <w:r>
              <w:t>XXXX1</w:t>
            </w:r>
          </w:p>
        </w:tc>
        <w:tc>
          <w:tcPr>
            <w:tcW w:w="1578" w:type="dxa"/>
          </w:tcPr>
          <w:p w:rsidR="000240EA" w:rsidRDefault="000240EA" w:rsidP="009E3828">
            <w:r>
              <w:t>1-</w:t>
            </w:r>
            <w:r w:rsidR="009E3828">
              <w:t>2</w:t>
            </w:r>
            <w:r>
              <w:t>-2022</w:t>
            </w:r>
          </w:p>
        </w:tc>
        <w:tc>
          <w:tcPr>
            <w:tcW w:w="1526" w:type="dxa"/>
          </w:tcPr>
          <w:p w:rsidR="000240EA" w:rsidRDefault="00501084" w:rsidP="00501084">
            <w:r>
              <w:t>30</w:t>
            </w:r>
            <w:r w:rsidR="000240EA">
              <w:t>-0</w:t>
            </w:r>
            <w:r>
              <w:t>6</w:t>
            </w:r>
            <w:r w:rsidR="000240EA">
              <w:t>-2023</w:t>
            </w:r>
          </w:p>
        </w:tc>
        <w:tc>
          <w:tcPr>
            <w:tcW w:w="1394" w:type="dxa"/>
          </w:tcPr>
          <w:p w:rsidR="000240EA" w:rsidRDefault="009E3828" w:rsidP="000240EA">
            <w:r>
              <w:t>62</w:t>
            </w:r>
          </w:p>
        </w:tc>
        <w:tc>
          <w:tcPr>
            <w:tcW w:w="1794" w:type="dxa"/>
          </w:tcPr>
          <w:p w:rsidR="000240EA" w:rsidRDefault="009E3828" w:rsidP="000240EA">
            <w:r>
              <w:t>etmalen</w:t>
            </w:r>
          </w:p>
        </w:tc>
        <w:tc>
          <w:tcPr>
            <w:tcW w:w="3427" w:type="dxa"/>
          </w:tcPr>
          <w:p w:rsidR="000240EA" w:rsidRDefault="000240EA" w:rsidP="000240EA">
            <w:r w:rsidRPr="004E6F80">
              <w:t>Totaal binnen geldigheidsduur toewijzing</w:t>
            </w:r>
          </w:p>
        </w:tc>
        <w:tc>
          <w:tcPr>
            <w:tcW w:w="3101" w:type="dxa"/>
          </w:tcPr>
          <w:p w:rsidR="000240EA" w:rsidRPr="004E6F80" w:rsidRDefault="000240EA" w:rsidP="000240EA">
            <w:r>
              <w:t>12345</w:t>
            </w:r>
          </w:p>
        </w:tc>
      </w:tr>
    </w:tbl>
    <w:p w:rsidR="000240EA" w:rsidRDefault="000240EA" w:rsidP="000240EA"/>
    <w:p w:rsidR="00117CFC" w:rsidRDefault="009E3828" w:rsidP="000240EA">
      <w:r>
        <w:t xml:space="preserve">De 62 etmalen in dit voorbeeld is fictief. Het volume wordt bepaald op de extra inzet en wordt opgeteld bij de al eerder afgegeven toewijzing. Wanneer blijkt dat de periode al wel verstreken is van de eerste toewijzing maar het aantal etmalen nog niet is ingezet dan kan ook alleen de einddatum aangepast worden van de toewijzing en blijft </w:t>
      </w:r>
      <w:r w:rsidR="00F02E75">
        <w:t xml:space="preserve">het </w:t>
      </w:r>
      <w:r>
        <w:t>volume gelijk. In dit voorbeeld 52.</w:t>
      </w:r>
    </w:p>
    <w:p w:rsidR="00117CFC" w:rsidRDefault="00117CFC" w:rsidP="00117CFC">
      <w:r>
        <w:br w:type="page"/>
      </w:r>
    </w:p>
    <w:p w:rsidR="00117CFC" w:rsidRDefault="00117CFC" w:rsidP="00117CFC">
      <w:pPr>
        <w:pStyle w:val="Kop1"/>
      </w:pPr>
      <w:r>
        <w:lastRenderedPageBreak/>
        <w:t>Werkwijze inspanningsgericht Vervoer</w:t>
      </w:r>
    </w:p>
    <w:p w:rsidR="00117CFC" w:rsidRDefault="00117CFC" w:rsidP="00117CFC">
      <w:r>
        <w:t xml:space="preserve">Deze werkwijze </w:t>
      </w:r>
      <w:r w:rsidR="008440B6">
        <w:t>berichtenverkeer</w:t>
      </w:r>
      <w:r>
        <w:t xml:space="preserve"> geldt voor de volgende percelen:</w:t>
      </w:r>
    </w:p>
    <w:p w:rsidR="00117CFC" w:rsidRDefault="00117CFC" w:rsidP="00117CFC">
      <w:pPr>
        <w:pStyle w:val="Lijstalinea"/>
        <w:numPr>
          <w:ilvl w:val="0"/>
          <w:numId w:val="2"/>
        </w:numPr>
      </w:pPr>
      <w:r>
        <w:t xml:space="preserve">Wmo: Vervoer </w:t>
      </w:r>
      <w:r w:rsidR="00F02E75">
        <w:t>Arbeidsmatige d</w:t>
      </w:r>
      <w:r>
        <w:t xml:space="preserve">agactiviteiten  </w:t>
      </w:r>
    </w:p>
    <w:p w:rsidR="00117CFC" w:rsidRDefault="00117CFC" w:rsidP="00117CFC"/>
    <w:p w:rsidR="00117CFC" w:rsidRDefault="00117CFC" w:rsidP="00117CFC">
      <w:r>
        <w:t xml:space="preserve">Voor deze producten geeft de gemeente een toewijzing af voor een </w:t>
      </w:r>
      <w:r w:rsidR="008440B6">
        <w:t>bepaald</w:t>
      </w:r>
      <w:r>
        <w:t xml:space="preserve"> volume per maand. </w:t>
      </w:r>
    </w:p>
    <w:p w:rsidR="00117CFC" w:rsidRDefault="00117CFC" w:rsidP="00117CFC"/>
    <w:p w:rsidR="00117CFC" w:rsidRDefault="00117CFC" w:rsidP="00117CFC">
      <w:r>
        <w:t>Voor de berichten volgen wij (op moment van schrijven) het SAP inspanningsgericht versie 3.0.1:</w:t>
      </w:r>
    </w:p>
    <w:p w:rsidR="00117CFC" w:rsidRDefault="000B6564" w:rsidP="00117CFC">
      <w:hyperlink r:id="rId6" w:history="1">
        <w:r w:rsidR="00117CFC" w:rsidRPr="00E66F09">
          <w:rPr>
            <w:rStyle w:val="Hyperlink"/>
          </w:rPr>
          <w:t>https://i-sociaaldomein.nl/cms/view/57979259/wat-zijn-standaard-administratieprotocollen/57979376</w:t>
        </w:r>
      </w:hyperlink>
    </w:p>
    <w:p w:rsidR="00117CFC" w:rsidRDefault="00117CFC" w:rsidP="00117CFC"/>
    <w:p w:rsidR="00117CFC" w:rsidRDefault="00117CFC" w:rsidP="00117CFC">
      <w:r>
        <w:t>Dit document beschrijft nog enkele voorbeelden hoe de gekozen werkwijze in de praktijk gebruikt gaat worden.</w:t>
      </w:r>
    </w:p>
    <w:p w:rsidR="00117CFC" w:rsidRDefault="00117CFC" w:rsidP="00117CFC"/>
    <w:p w:rsidR="00117CFC" w:rsidRPr="00501084" w:rsidRDefault="00870574" w:rsidP="00117CFC">
      <w:pPr>
        <w:pStyle w:val="Kop2"/>
      </w:pPr>
      <w:r>
        <w:t>Toewijzing</w:t>
      </w:r>
    </w:p>
    <w:p w:rsidR="00117CFC" w:rsidRDefault="00870574" w:rsidP="00117CFC">
      <w:r>
        <w:t xml:space="preserve">De toewijzing wordt afgegeven voor bepaalde tijd. </w:t>
      </w:r>
      <w:r w:rsidR="00117CFC">
        <w:t>Bij een eerste indicatie wordt de volgende toewijzing aangemaakt door de gemeente en naar de aanbieder gestuurd:</w:t>
      </w:r>
    </w:p>
    <w:p w:rsidR="00117CFC" w:rsidRDefault="00117CFC" w:rsidP="00117CFC">
      <w:bookmarkStart w:id="0" w:name="_GoBack"/>
      <w:bookmarkEnd w:id="0"/>
    </w:p>
    <w:tbl>
      <w:tblPr>
        <w:tblStyle w:val="Tabelraster"/>
        <w:tblW w:w="14220" w:type="dxa"/>
        <w:tblLook w:val="04A0" w:firstRow="1" w:lastRow="0" w:firstColumn="1" w:lastColumn="0" w:noHBand="0" w:noVBand="1"/>
      </w:tblPr>
      <w:tblGrid>
        <w:gridCol w:w="1379"/>
        <w:gridCol w:w="1565"/>
        <w:gridCol w:w="1511"/>
        <w:gridCol w:w="1372"/>
        <w:gridCol w:w="2017"/>
        <w:gridCol w:w="3328"/>
        <w:gridCol w:w="3048"/>
      </w:tblGrid>
      <w:tr w:rsidR="00117CFC" w:rsidTr="00117CFC">
        <w:tc>
          <w:tcPr>
            <w:tcW w:w="1400" w:type="dxa"/>
          </w:tcPr>
          <w:p w:rsidR="00117CFC" w:rsidRDefault="00117CFC" w:rsidP="00117CFC">
            <w:r>
              <w:t>Product</w:t>
            </w:r>
          </w:p>
        </w:tc>
        <w:tc>
          <w:tcPr>
            <w:tcW w:w="1578" w:type="dxa"/>
          </w:tcPr>
          <w:p w:rsidR="00117CFC" w:rsidRDefault="00117CFC" w:rsidP="00117CFC">
            <w:r>
              <w:t>Begindatum</w:t>
            </w:r>
          </w:p>
        </w:tc>
        <w:tc>
          <w:tcPr>
            <w:tcW w:w="1526" w:type="dxa"/>
          </w:tcPr>
          <w:p w:rsidR="00117CFC" w:rsidRDefault="00117CFC" w:rsidP="00117CFC">
            <w:r>
              <w:t>Einddatum</w:t>
            </w:r>
          </w:p>
        </w:tc>
        <w:tc>
          <w:tcPr>
            <w:tcW w:w="1394" w:type="dxa"/>
          </w:tcPr>
          <w:p w:rsidR="00117CFC" w:rsidRDefault="00117CFC" w:rsidP="00117CFC">
            <w:r>
              <w:t>Volume</w:t>
            </w:r>
          </w:p>
        </w:tc>
        <w:tc>
          <w:tcPr>
            <w:tcW w:w="1794" w:type="dxa"/>
          </w:tcPr>
          <w:p w:rsidR="00117CFC" w:rsidRDefault="00117CFC" w:rsidP="00117CFC">
            <w:r>
              <w:t>Eenheid</w:t>
            </w:r>
          </w:p>
        </w:tc>
        <w:tc>
          <w:tcPr>
            <w:tcW w:w="3427" w:type="dxa"/>
          </w:tcPr>
          <w:p w:rsidR="00117CFC" w:rsidRDefault="00117CFC" w:rsidP="00117CFC">
            <w:r>
              <w:t>Frequentie</w:t>
            </w:r>
          </w:p>
        </w:tc>
        <w:tc>
          <w:tcPr>
            <w:tcW w:w="3101" w:type="dxa"/>
          </w:tcPr>
          <w:p w:rsidR="00117CFC" w:rsidRDefault="00117CFC" w:rsidP="00117CFC">
            <w:r>
              <w:t>Toewijzingnummer</w:t>
            </w:r>
          </w:p>
        </w:tc>
      </w:tr>
      <w:tr w:rsidR="00117CFC" w:rsidTr="00117CFC">
        <w:tc>
          <w:tcPr>
            <w:tcW w:w="1400" w:type="dxa"/>
          </w:tcPr>
          <w:p w:rsidR="00117CFC" w:rsidRDefault="00117CFC" w:rsidP="00117CFC">
            <w:r>
              <w:t>XXXX1</w:t>
            </w:r>
          </w:p>
        </w:tc>
        <w:tc>
          <w:tcPr>
            <w:tcW w:w="1578" w:type="dxa"/>
          </w:tcPr>
          <w:p w:rsidR="00117CFC" w:rsidRDefault="00117CFC" w:rsidP="00117CFC">
            <w:r>
              <w:t>1-2-2022</w:t>
            </w:r>
          </w:p>
        </w:tc>
        <w:tc>
          <w:tcPr>
            <w:tcW w:w="1526" w:type="dxa"/>
          </w:tcPr>
          <w:p w:rsidR="00117CFC" w:rsidRDefault="00117CFC" w:rsidP="00117CFC">
            <w:r>
              <w:t>31-1-20203</w:t>
            </w:r>
          </w:p>
        </w:tc>
        <w:tc>
          <w:tcPr>
            <w:tcW w:w="1394" w:type="dxa"/>
          </w:tcPr>
          <w:p w:rsidR="00117CFC" w:rsidRDefault="00117CFC" w:rsidP="00117CFC">
            <w:r>
              <w:t>31</w:t>
            </w:r>
          </w:p>
        </w:tc>
        <w:tc>
          <w:tcPr>
            <w:tcW w:w="1794" w:type="dxa"/>
          </w:tcPr>
          <w:p w:rsidR="00117CFC" w:rsidRDefault="00117CFC" w:rsidP="00117CFC">
            <w:r>
              <w:t>Stuks (inspanningsgericht)</w:t>
            </w:r>
          </w:p>
        </w:tc>
        <w:tc>
          <w:tcPr>
            <w:tcW w:w="3427" w:type="dxa"/>
          </w:tcPr>
          <w:p w:rsidR="00117CFC" w:rsidRDefault="00117CFC" w:rsidP="00117CFC">
            <w:r>
              <w:t>Per maand</w:t>
            </w:r>
          </w:p>
        </w:tc>
        <w:tc>
          <w:tcPr>
            <w:tcW w:w="3101" w:type="dxa"/>
          </w:tcPr>
          <w:p w:rsidR="00117CFC" w:rsidRPr="004E6F80" w:rsidRDefault="00117CFC" w:rsidP="00117CFC">
            <w:r>
              <w:t>12345</w:t>
            </w:r>
          </w:p>
        </w:tc>
      </w:tr>
    </w:tbl>
    <w:p w:rsidR="00117CFC" w:rsidRDefault="00117CFC" w:rsidP="00117CFC"/>
    <w:p w:rsidR="00117CFC" w:rsidRDefault="00117CFC" w:rsidP="00117CFC">
      <w:r>
        <w:t xml:space="preserve">De gemeente kent het maximale aantal malen vervoer toe wat in een maand voor kan komen. </w:t>
      </w:r>
    </w:p>
    <w:p w:rsidR="00117CFC" w:rsidRDefault="00117CFC" w:rsidP="00117CFC"/>
    <w:p w:rsidR="00117CFC" w:rsidRPr="009E3D13" w:rsidRDefault="00117CFC" w:rsidP="00117CFC">
      <w:pPr>
        <w:pStyle w:val="Kop2"/>
      </w:pPr>
      <w:r>
        <w:t>Geen verlenging nodig</w:t>
      </w:r>
    </w:p>
    <w:p w:rsidR="00117CFC" w:rsidRDefault="00117CFC" w:rsidP="00117CFC">
      <w:r>
        <w:t>Wanneer er geen verlenging nodig is</w:t>
      </w:r>
      <w:r w:rsidR="00F02E75">
        <w:t>,</w:t>
      </w:r>
      <w:r>
        <w:t xml:space="preserve"> da</w:t>
      </w:r>
      <w:r w:rsidR="00F02E75">
        <w:t>n</w:t>
      </w:r>
      <w:r>
        <w:t xml:space="preserve"> loopt de toewijzing af.</w:t>
      </w:r>
    </w:p>
    <w:p w:rsidR="00117CFC" w:rsidRDefault="00117CFC" w:rsidP="00117CFC"/>
    <w:p w:rsidR="00117CFC" w:rsidRDefault="00117CFC" w:rsidP="00117CFC">
      <w:pPr>
        <w:pStyle w:val="Kop2"/>
      </w:pPr>
      <w:r>
        <w:t>Toewijzing stopt eerder</w:t>
      </w:r>
    </w:p>
    <w:p w:rsidR="00117CFC" w:rsidRPr="000240EA" w:rsidRDefault="00117CFC" w:rsidP="00117CFC">
      <w:r>
        <w:t>De eerder afgegeven toewijzing wordt ingekort door de gemeente (eventuele op basis van een stopbericht van de aanbieder).</w:t>
      </w:r>
    </w:p>
    <w:tbl>
      <w:tblPr>
        <w:tblStyle w:val="Tabelraster"/>
        <w:tblW w:w="14220" w:type="dxa"/>
        <w:tblLook w:val="04A0" w:firstRow="1" w:lastRow="0" w:firstColumn="1" w:lastColumn="0" w:noHBand="0" w:noVBand="1"/>
      </w:tblPr>
      <w:tblGrid>
        <w:gridCol w:w="1379"/>
        <w:gridCol w:w="1565"/>
        <w:gridCol w:w="1511"/>
        <w:gridCol w:w="1372"/>
        <w:gridCol w:w="2017"/>
        <w:gridCol w:w="3328"/>
        <w:gridCol w:w="3048"/>
      </w:tblGrid>
      <w:tr w:rsidR="00117CFC" w:rsidTr="00117CFC">
        <w:tc>
          <w:tcPr>
            <w:tcW w:w="1400" w:type="dxa"/>
          </w:tcPr>
          <w:p w:rsidR="00117CFC" w:rsidRDefault="00117CFC" w:rsidP="00117CFC">
            <w:r>
              <w:t>Product</w:t>
            </w:r>
          </w:p>
        </w:tc>
        <w:tc>
          <w:tcPr>
            <w:tcW w:w="1578" w:type="dxa"/>
          </w:tcPr>
          <w:p w:rsidR="00117CFC" w:rsidRDefault="00117CFC" w:rsidP="00117CFC">
            <w:r>
              <w:t>Begindatum</w:t>
            </w:r>
          </w:p>
        </w:tc>
        <w:tc>
          <w:tcPr>
            <w:tcW w:w="1526" w:type="dxa"/>
          </w:tcPr>
          <w:p w:rsidR="00117CFC" w:rsidRDefault="00117CFC" w:rsidP="00117CFC">
            <w:r>
              <w:t>Einddatum</w:t>
            </w:r>
          </w:p>
        </w:tc>
        <w:tc>
          <w:tcPr>
            <w:tcW w:w="1394" w:type="dxa"/>
          </w:tcPr>
          <w:p w:rsidR="00117CFC" w:rsidRDefault="00117CFC" w:rsidP="00117CFC">
            <w:r>
              <w:t>Volume</w:t>
            </w:r>
          </w:p>
        </w:tc>
        <w:tc>
          <w:tcPr>
            <w:tcW w:w="1794" w:type="dxa"/>
          </w:tcPr>
          <w:p w:rsidR="00117CFC" w:rsidRDefault="00117CFC" w:rsidP="00117CFC">
            <w:r>
              <w:t>Eenheid</w:t>
            </w:r>
          </w:p>
        </w:tc>
        <w:tc>
          <w:tcPr>
            <w:tcW w:w="3427" w:type="dxa"/>
          </w:tcPr>
          <w:p w:rsidR="00117CFC" w:rsidRDefault="00117CFC" w:rsidP="00117CFC">
            <w:r>
              <w:t>Frequentie</w:t>
            </w:r>
          </w:p>
        </w:tc>
        <w:tc>
          <w:tcPr>
            <w:tcW w:w="3101" w:type="dxa"/>
          </w:tcPr>
          <w:p w:rsidR="00117CFC" w:rsidRDefault="00117CFC" w:rsidP="00117CFC">
            <w:r>
              <w:t>Toewijzingnummer</w:t>
            </w:r>
          </w:p>
        </w:tc>
      </w:tr>
      <w:tr w:rsidR="002B6609" w:rsidTr="00117CFC">
        <w:tc>
          <w:tcPr>
            <w:tcW w:w="1400" w:type="dxa"/>
          </w:tcPr>
          <w:p w:rsidR="002B6609" w:rsidRDefault="002B6609" w:rsidP="00117CFC">
            <w:r>
              <w:t>XXXX1</w:t>
            </w:r>
          </w:p>
        </w:tc>
        <w:tc>
          <w:tcPr>
            <w:tcW w:w="1578" w:type="dxa"/>
          </w:tcPr>
          <w:p w:rsidR="002B6609" w:rsidRDefault="002B6609" w:rsidP="00117CFC">
            <w:r>
              <w:t>1-2-2022</w:t>
            </w:r>
          </w:p>
        </w:tc>
        <w:tc>
          <w:tcPr>
            <w:tcW w:w="1526" w:type="dxa"/>
          </w:tcPr>
          <w:p w:rsidR="002B6609" w:rsidRDefault="002B6609" w:rsidP="00117CFC">
            <w:r>
              <w:t>31-10-2022</w:t>
            </w:r>
          </w:p>
        </w:tc>
        <w:tc>
          <w:tcPr>
            <w:tcW w:w="1394" w:type="dxa"/>
          </w:tcPr>
          <w:p w:rsidR="002B6609" w:rsidRDefault="002B6609" w:rsidP="00A0081E">
            <w:r>
              <w:t>31</w:t>
            </w:r>
          </w:p>
        </w:tc>
        <w:tc>
          <w:tcPr>
            <w:tcW w:w="1794" w:type="dxa"/>
          </w:tcPr>
          <w:p w:rsidR="002B6609" w:rsidRDefault="002B6609" w:rsidP="00A0081E">
            <w:r>
              <w:t>Stuks (inspanningsgericht)</w:t>
            </w:r>
          </w:p>
        </w:tc>
        <w:tc>
          <w:tcPr>
            <w:tcW w:w="3427" w:type="dxa"/>
          </w:tcPr>
          <w:p w:rsidR="002B6609" w:rsidRDefault="002B6609" w:rsidP="00A0081E">
            <w:r>
              <w:t>Per maand</w:t>
            </w:r>
          </w:p>
        </w:tc>
        <w:tc>
          <w:tcPr>
            <w:tcW w:w="3101" w:type="dxa"/>
          </w:tcPr>
          <w:p w:rsidR="002B6609" w:rsidRPr="004E6F80" w:rsidRDefault="002B6609" w:rsidP="00117CFC">
            <w:r>
              <w:t>12345</w:t>
            </w:r>
          </w:p>
        </w:tc>
      </w:tr>
    </w:tbl>
    <w:p w:rsidR="00117CFC" w:rsidRDefault="00117CFC" w:rsidP="00117CFC"/>
    <w:p w:rsidR="00117CFC" w:rsidRDefault="00117CFC" w:rsidP="00117CFC"/>
    <w:p w:rsidR="00117CFC" w:rsidRDefault="00117CFC" w:rsidP="00117CFC">
      <w:pPr>
        <w:pStyle w:val="Kop2"/>
      </w:pPr>
      <w:r>
        <w:lastRenderedPageBreak/>
        <w:t>Toewijzing dient te worden</w:t>
      </w:r>
      <w:r w:rsidR="003A0730">
        <w:t xml:space="preserve"> verlengd</w:t>
      </w:r>
    </w:p>
    <w:p w:rsidR="00117CFC" w:rsidRPr="000240EA" w:rsidRDefault="00117CFC" w:rsidP="00117CFC">
      <w:r>
        <w:t>De eerder afgegeven toewijzing wordt verleng</w:t>
      </w:r>
      <w:r w:rsidR="003A0730">
        <w:t>d</w:t>
      </w:r>
      <w:r>
        <w:t>. Hieronder de aangepaste toewijzing</w:t>
      </w:r>
    </w:p>
    <w:tbl>
      <w:tblPr>
        <w:tblStyle w:val="Tabelraster"/>
        <w:tblW w:w="14220" w:type="dxa"/>
        <w:tblLook w:val="04A0" w:firstRow="1" w:lastRow="0" w:firstColumn="1" w:lastColumn="0" w:noHBand="0" w:noVBand="1"/>
      </w:tblPr>
      <w:tblGrid>
        <w:gridCol w:w="1379"/>
        <w:gridCol w:w="1565"/>
        <w:gridCol w:w="1511"/>
        <w:gridCol w:w="1372"/>
        <w:gridCol w:w="2017"/>
        <w:gridCol w:w="3328"/>
        <w:gridCol w:w="3048"/>
      </w:tblGrid>
      <w:tr w:rsidR="00117CFC" w:rsidTr="00117CFC">
        <w:tc>
          <w:tcPr>
            <w:tcW w:w="1400" w:type="dxa"/>
          </w:tcPr>
          <w:p w:rsidR="00117CFC" w:rsidRDefault="00117CFC" w:rsidP="00117CFC">
            <w:r>
              <w:t>Product</w:t>
            </w:r>
          </w:p>
        </w:tc>
        <w:tc>
          <w:tcPr>
            <w:tcW w:w="1578" w:type="dxa"/>
          </w:tcPr>
          <w:p w:rsidR="00117CFC" w:rsidRDefault="00117CFC" w:rsidP="00117CFC">
            <w:r>
              <w:t>Begindatum</w:t>
            </w:r>
          </w:p>
        </w:tc>
        <w:tc>
          <w:tcPr>
            <w:tcW w:w="1526" w:type="dxa"/>
          </w:tcPr>
          <w:p w:rsidR="00117CFC" w:rsidRDefault="00117CFC" w:rsidP="00117CFC">
            <w:r>
              <w:t>Einddatum</w:t>
            </w:r>
          </w:p>
        </w:tc>
        <w:tc>
          <w:tcPr>
            <w:tcW w:w="1394" w:type="dxa"/>
          </w:tcPr>
          <w:p w:rsidR="00117CFC" w:rsidRDefault="00117CFC" w:rsidP="00117CFC">
            <w:r>
              <w:t>Volume</w:t>
            </w:r>
          </w:p>
        </w:tc>
        <w:tc>
          <w:tcPr>
            <w:tcW w:w="1794" w:type="dxa"/>
          </w:tcPr>
          <w:p w:rsidR="00117CFC" w:rsidRDefault="00117CFC" w:rsidP="00117CFC">
            <w:r>
              <w:t>Eenheid</w:t>
            </w:r>
          </w:p>
        </w:tc>
        <w:tc>
          <w:tcPr>
            <w:tcW w:w="3427" w:type="dxa"/>
          </w:tcPr>
          <w:p w:rsidR="00117CFC" w:rsidRDefault="00117CFC" w:rsidP="00117CFC">
            <w:r>
              <w:t>Frequentie</w:t>
            </w:r>
          </w:p>
        </w:tc>
        <w:tc>
          <w:tcPr>
            <w:tcW w:w="3101" w:type="dxa"/>
          </w:tcPr>
          <w:p w:rsidR="00117CFC" w:rsidRDefault="00117CFC" w:rsidP="00117CFC">
            <w:r>
              <w:t>Toewijzingnummer</w:t>
            </w:r>
          </w:p>
        </w:tc>
      </w:tr>
      <w:tr w:rsidR="002B6609" w:rsidTr="00117CFC">
        <w:tc>
          <w:tcPr>
            <w:tcW w:w="1400" w:type="dxa"/>
          </w:tcPr>
          <w:p w:rsidR="002B6609" w:rsidRDefault="002B6609" w:rsidP="00117CFC">
            <w:r>
              <w:t>XXXX1</w:t>
            </w:r>
          </w:p>
        </w:tc>
        <w:tc>
          <w:tcPr>
            <w:tcW w:w="1578" w:type="dxa"/>
          </w:tcPr>
          <w:p w:rsidR="002B6609" w:rsidRDefault="002B6609" w:rsidP="00117CFC">
            <w:r>
              <w:t>1-2-2022</w:t>
            </w:r>
          </w:p>
        </w:tc>
        <w:tc>
          <w:tcPr>
            <w:tcW w:w="1526" w:type="dxa"/>
          </w:tcPr>
          <w:p w:rsidR="002B6609" w:rsidRDefault="002B6609" w:rsidP="00117CFC">
            <w:r>
              <w:t>30-06-2023</w:t>
            </w:r>
          </w:p>
        </w:tc>
        <w:tc>
          <w:tcPr>
            <w:tcW w:w="1394" w:type="dxa"/>
          </w:tcPr>
          <w:p w:rsidR="002B6609" w:rsidRDefault="002B6609" w:rsidP="00A0081E">
            <w:r>
              <w:t>31</w:t>
            </w:r>
          </w:p>
        </w:tc>
        <w:tc>
          <w:tcPr>
            <w:tcW w:w="1794" w:type="dxa"/>
          </w:tcPr>
          <w:p w:rsidR="002B6609" w:rsidRDefault="002B6609" w:rsidP="00A0081E">
            <w:r>
              <w:t>Stuks (inspanningsgericht)</w:t>
            </w:r>
          </w:p>
        </w:tc>
        <w:tc>
          <w:tcPr>
            <w:tcW w:w="3427" w:type="dxa"/>
          </w:tcPr>
          <w:p w:rsidR="002B6609" w:rsidRDefault="002B6609" w:rsidP="00A0081E">
            <w:r>
              <w:t>Per maand</w:t>
            </w:r>
          </w:p>
        </w:tc>
        <w:tc>
          <w:tcPr>
            <w:tcW w:w="3101" w:type="dxa"/>
          </w:tcPr>
          <w:p w:rsidR="002B6609" w:rsidRPr="004E6F80" w:rsidRDefault="002B6609" w:rsidP="00117CFC">
            <w:r>
              <w:t>12345</w:t>
            </w:r>
          </w:p>
        </w:tc>
      </w:tr>
    </w:tbl>
    <w:p w:rsidR="00117CFC" w:rsidRDefault="00117CFC" w:rsidP="00117CFC"/>
    <w:p w:rsidR="000240EA" w:rsidRDefault="000240EA" w:rsidP="000240EA"/>
    <w:p w:rsidR="000240EA" w:rsidRDefault="000240EA" w:rsidP="000240EA"/>
    <w:sectPr w:rsidR="000240EA" w:rsidSect="004E6F80">
      <w:pgSz w:w="16838" w:h="11906" w:orient="landscape"/>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F5DA4"/>
    <w:multiLevelType w:val="hybridMultilevel"/>
    <w:tmpl w:val="3FAC295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4421091"/>
    <w:multiLevelType w:val="hybridMultilevel"/>
    <w:tmpl w:val="837E0AD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E670DD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17DE"/>
    <w:rsid w:val="000240EA"/>
    <w:rsid w:val="000264BB"/>
    <w:rsid w:val="000270A5"/>
    <w:rsid w:val="00027A4D"/>
    <w:rsid w:val="000B6564"/>
    <w:rsid w:val="000D06F0"/>
    <w:rsid w:val="000F17DE"/>
    <w:rsid w:val="00104FFE"/>
    <w:rsid w:val="00117CFC"/>
    <w:rsid w:val="00154C90"/>
    <w:rsid w:val="00175E56"/>
    <w:rsid w:val="0018123D"/>
    <w:rsid w:val="001912B8"/>
    <w:rsid w:val="001B6566"/>
    <w:rsid w:val="001C7A1A"/>
    <w:rsid w:val="001E38EE"/>
    <w:rsid w:val="001E65BB"/>
    <w:rsid w:val="001F3746"/>
    <w:rsid w:val="00217073"/>
    <w:rsid w:val="00272C65"/>
    <w:rsid w:val="00294332"/>
    <w:rsid w:val="002B6609"/>
    <w:rsid w:val="002D0D14"/>
    <w:rsid w:val="00307C62"/>
    <w:rsid w:val="00375A41"/>
    <w:rsid w:val="003A0730"/>
    <w:rsid w:val="00421074"/>
    <w:rsid w:val="004676EF"/>
    <w:rsid w:val="00486231"/>
    <w:rsid w:val="004C4063"/>
    <w:rsid w:val="004C6AA0"/>
    <w:rsid w:val="004E6F80"/>
    <w:rsid w:val="00501084"/>
    <w:rsid w:val="00521CA0"/>
    <w:rsid w:val="005229CC"/>
    <w:rsid w:val="00526EE7"/>
    <w:rsid w:val="00592339"/>
    <w:rsid w:val="00594BB8"/>
    <w:rsid w:val="005A59D3"/>
    <w:rsid w:val="005D5517"/>
    <w:rsid w:val="005F41AD"/>
    <w:rsid w:val="005F545A"/>
    <w:rsid w:val="006365EE"/>
    <w:rsid w:val="00654877"/>
    <w:rsid w:val="006E62F3"/>
    <w:rsid w:val="00707E2D"/>
    <w:rsid w:val="00724018"/>
    <w:rsid w:val="007327AD"/>
    <w:rsid w:val="00746523"/>
    <w:rsid w:val="00746FFA"/>
    <w:rsid w:val="00763956"/>
    <w:rsid w:val="00774AD2"/>
    <w:rsid w:val="0079085B"/>
    <w:rsid w:val="00794858"/>
    <w:rsid w:val="0081323F"/>
    <w:rsid w:val="008140BB"/>
    <w:rsid w:val="008440B6"/>
    <w:rsid w:val="00870574"/>
    <w:rsid w:val="008C0F6E"/>
    <w:rsid w:val="008E3E7D"/>
    <w:rsid w:val="008E700F"/>
    <w:rsid w:val="00925D68"/>
    <w:rsid w:val="009312A2"/>
    <w:rsid w:val="00940F6E"/>
    <w:rsid w:val="009E3828"/>
    <w:rsid w:val="009E3D13"/>
    <w:rsid w:val="00A240F5"/>
    <w:rsid w:val="00A30DE0"/>
    <w:rsid w:val="00A405F2"/>
    <w:rsid w:val="00A4469F"/>
    <w:rsid w:val="00A479EC"/>
    <w:rsid w:val="00A568BF"/>
    <w:rsid w:val="00B35302"/>
    <w:rsid w:val="00B552B5"/>
    <w:rsid w:val="00B5589E"/>
    <w:rsid w:val="00B6683C"/>
    <w:rsid w:val="00B94798"/>
    <w:rsid w:val="00BC7C0C"/>
    <w:rsid w:val="00C0674B"/>
    <w:rsid w:val="00CB63E2"/>
    <w:rsid w:val="00CE1E6C"/>
    <w:rsid w:val="00D00C52"/>
    <w:rsid w:val="00D022AD"/>
    <w:rsid w:val="00D06F18"/>
    <w:rsid w:val="00D2395E"/>
    <w:rsid w:val="00E06860"/>
    <w:rsid w:val="00E24067"/>
    <w:rsid w:val="00E6227E"/>
    <w:rsid w:val="00EA430C"/>
    <w:rsid w:val="00EC3F42"/>
    <w:rsid w:val="00EE2CE2"/>
    <w:rsid w:val="00F004CE"/>
    <w:rsid w:val="00F02E75"/>
    <w:rsid w:val="00F54230"/>
    <w:rsid w:val="00F73B62"/>
    <w:rsid w:val="00F81D65"/>
    <w:rsid w:val="00F83AF7"/>
    <w:rsid w:val="00FA729D"/>
    <w:rsid w:val="00FB6A9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9E56FA"/>
  <w15:docId w15:val="{AC5D4A69-AE1E-48D4-B49D-604F6B126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264BB"/>
    <w:rPr>
      <w:szCs w:val="24"/>
    </w:rPr>
  </w:style>
  <w:style w:type="paragraph" w:styleId="Kop1">
    <w:name w:val="heading 1"/>
    <w:basedOn w:val="Standaard"/>
    <w:next w:val="Standaard"/>
    <w:qFormat/>
    <w:rsid w:val="00CB63E2"/>
    <w:pPr>
      <w:keepNext/>
      <w:numPr>
        <w:numId w:val="3"/>
      </w:numPr>
      <w:spacing w:before="240" w:after="60"/>
      <w:outlineLvl w:val="0"/>
    </w:pPr>
    <w:rPr>
      <w:b/>
      <w:bCs/>
      <w:kern w:val="32"/>
      <w:sz w:val="32"/>
      <w:szCs w:val="32"/>
    </w:rPr>
  </w:style>
  <w:style w:type="paragraph" w:styleId="Kop2">
    <w:name w:val="heading 2"/>
    <w:basedOn w:val="Standaard"/>
    <w:next w:val="Standaard"/>
    <w:qFormat/>
    <w:rsid w:val="00CB63E2"/>
    <w:pPr>
      <w:keepNext/>
      <w:numPr>
        <w:ilvl w:val="1"/>
        <w:numId w:val="3"/>
      </w:numPr>
      <w:spacing w:before="240" w:after="60"/>
      <w:outlineLvl w:val="1"/>
    </w:pPr>
    <w:rPr>
      <w:b/>
      <w:bCs/>
      <w:i/>
      <w:iCs/>
      <w:sz w:val="28"/>
      <w:szCs w:val="28"/>
    </w:rPr>
  </w:style>
  <w:style w:type="paragraph" w:styleId="Kop3">
    <w:name w:val="heading 3"/>
    <w:basedOn w:val="Standaard"/>
    <w:next w:val="Standaard"/>
    <w:qFormat/>
    <w:rsid w:val="00CB63E2"/>
    <w:pPr>
      <w:keepNext/>
      <w:numPr>
        <w:ilvl w:val="2"/>
        <w:numId w:val="3"/>
      </w:numPr>
      <w:spacing w:before="240" w:after="60"/>
      <w:outlineLvl w:val="2"/>
    </w:pPr>
    <w:rPr>
      <w:b/>
      <w:bCs/>
      <w:sz w:val="26"/>
      <w:szCs w:val="26"/>
    </w:rPr>
  </w:style>
  <w:style w:type="paragraph" w:styleId="Kop4">
    <w:name w:val="heading 4"/>
    <w:basedOn w:val="Standaard"/>
    <w:next w:val="Standaard"/>
    <w:link w:val="Kop4Char"/>
    <w:semiHidden/>
    <w:unhideWhenUsed/>
    <w:qFormat/>
    <w:rsid w:val="00486231"/>
    <w:pPr>
      <w:keepNext/>
      <w:keepLines/>
      <w:numPr>
        <w:ilvl w:val="3"/>
        <w:numId w:val="3"/>
      </w:numPr>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semiHidden/>
    <w:unhideWhenUsed/>
    <w:qFormat/>
    <w:rsid w:val="00486231"/>
    <w:pPr>
      <w:keepNext/>
      <w:keepLines/>
      <w:numPr>
        <w:ilvl w:val="4"/>
        <w:numId w:val="3"/>
      </w:numPr>
      <w:spacing w:before="40"/>
      <w:outlineLvl w:val="4"/>
    </w:pPr>
    <w:rPr>
      <w:rFonts w:asciiTheme="majorHAnsi" w:eastAsiaTheme="majorEastAsia" w:hAnsiTheme="majorHAnsi" w:cstheme="majorBidi"/>
      <w:color w:val="365F91" w:themeColor="accent1" w:themeShade="BF"/>
    </w:rPr>
  </w:style>
  <w:style w:type="paragraph" w:styleId="Kop6">
    <w:name w:val="heading 6"/>
    <w:basedOn w:val="Standaard"/>
    <w:next w:val="Standaard"/>
    <w:link w:val="Kop6Char"/>
    <w:semiHidden/>
    <w:unhideWhenUsed/>
    <w:qFormat/>
    <w:rsid w:val="00486231"/>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Kop7">
    <w:name w:val="heading 7"/>
    <w:basedOn w:val="Standaard"/>
    <w:next w:val="Standaard"/>
    <w:link w:val="Kop7Char"/>
    <w:semiHidden/>
    <w:unhideWhenUsed/>
    <w:qFormat/>
    <w:rsid w:val="00486231"/>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Kop8">
    <w:name w:val="heading 8"/>
    <w:basedOn w:val="Standaard"/>
    <w:next w:val="Standaard"/>
    <w:link w:val="Kop8Char"/>
    <w:semiHidden/>
    <w:unhideWhenUsed/>
    <w:qFormat/>
    <w:rsid w:val="00486231"/>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semiHidden/>
    <w:unhideWhenUsed/>
    <w:qFormat/>
    <w:rsid w:val="00486231"/>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qFormat/>
    <w:rsid w:val="00175E56"/>
    <w:rPr>
      <w:rFonts w:ascii="Arial" w:hAnsi="Arial"/>
      <w:i/>
      <w:iCs/>
    </w:rPr>
  </w:style>
  <w:style w:type="paragraph" w:styleId="Ondertitel">
    <w:name w:val="Subtitle"/>
    <w:basedOn w:val="Standaard"/>
    <w:next w:val="Standaard"/>
    <w:link w:val="OndertitelChar"/>
    <w:qFormat/>
    <w:rsid w:val="00175E56"/>
    <w:pPr>
      <w:spacing w:after="60"/>
      <w:jc w:val="center"/>
      <w:outlineLvl w:val="1"/>
    </w:pPr>
    <w:rPr>
      <w:rFonts w:cs="Times New Roman"/>
      <w:sz w:val="24"/>
    </w:rPr>
  </w:style>
  <w:style w:type="character" w:customStyle="1" w:styleId="OndertitelChar">
    <w:name w:val="Ondertitel Char"/>
    <w:link w:val="Ondertitel"/>
    <w:rsid w:val="00175E56"/>
    <w:rPr>
      <w:rFonts w:eastAsia="Times New Roman" w:cs="Times New Roman"/>
      <w:sz w:val="24"/>
      <w:szCs w:val="24"/>
    </w:rPr>
  </w:style>
  <w:style w:type="character" w:styleId="Zwaar">
    <w:name w:val="Strong"/>
    <w:qFormat/>
    <w:rsid w:val="00175E56"/>
    <w:rPr>
      <w:rFonts w:ascii="Arial" w:hAnsi="Arial"/>
      <w:b/>
      <w:bCs/>
    </w:rPr>
  </w:style>
  <w:style w:type="paragraph" w:styleId="Titel">
    <w:name w:val="Title"/>
    <w:basedOn w:val="Standaard"/>
    <w:next w:val="Standaard"/>
    <w:link w:val="TitelChar"/>
    <w:qFormat/>
    <w:rsid w:val="00175E56"/>
    <w:pPr>
      <w:spacing w:before="240" w:after="60"/>
      <w:jc w:val="center"/>
      <w:outlineLvl w:val="0"/>
    </w:pPr>
    <w:rPr>
      <w:rFonts w:cs="Times New Roman"/>
      <w:b/>
      <w:bCs/>
      <w:kern w:val="28"/>
      <w:sz w:val="32"/>
      <w:szCs w:val="32"/>
    </w:rPr>
  </w:style>
  <w:style w:type="character" w:customStyle="1" w:styleId="TitelChar">
    <w:name w:val="Titel Char"/>
    <w:link w:val="Titel"/>
    <w:rsid w:val="00175E56"/>
    <w:rPr>
      <w:rFonts w:eastAsia="Times New Roman" w:cs="Times New Roman"/>
      <w:b/>
      <w:bCs/>
      <w:kern w:val="28"/>
      <w:sz w:val="32"/>
      <w:szCs w:val="32"/>
    </w:rPr>
  </w:style>
  <w:style w:type="character" w:styleId="Subtielebenadrukking">
    <w:name w:val="Subtle Emphasis"/>
    <w:uiPriority w:val="19"/>
    <w:qFormat/>
    <w:rsid w:val="00175E56"/>
    <w:rPr>
      <w:rFonts w:ascii="Arial" w:hAnsi="Arial"/>
      <w:i/>
      <w:iCs/>
      <w:color w:val="808080"/>
    </w:rPr>
  </w:style>
  <w:style w:type="character" w:styleId="Intensievebenadrukking">
    <w:name w:val="Intense Emphasis"/>
    <w:uiPriority w:val="21"/>
    <w:qFormat/>
    <w:rsid w:val="00175E56"/>
    <w:rPr>
      <w:rFonts w:ascii="Arial" w:hAnsi="Arial"/>
      <w:b/>
      <w:bCs/>
      <w:i/>
      <w:iCs/>
      <w:color w:val="4F81BD"/>
    </w:rPr>
  </w:style>
  <w:style w:type="paragraph" w:styleId="Citaat">
    <w:name w:val="Quote"/>
    <w:basedOn w:val="Standaard"/>
    <w:next w:val="Standaard"/>
    <w:link w:val="CitaatChar"/>
    <w:uiPriority w:val="29"/>
    <w:qFormat/>
    <w:rsid w:val="00175E56"/>
    <w:rPr>
      <w:i/>
      <w:iCs/>
      <w:color w:val="000000"/>
    </w:rPr>
  </w:style>
  <w:style w:type="character" w:customStyle="1" w:styleId="CitaatChar">
    <w:name w:val="Citaat Char"/>
    <w:link w:val="Citaat"/>
    <w:uiPriority w:val="29"/>
    <w:rsid w:val="00175E56"/>
    <w:rPr>
      <w:i/>
      <w:iCs/>
      <w:color w:val="000000"/>
    </w:rPr>
  </w:style>
  <w:style w:type="table" w:styleId="Tabelraster">
    <w:name w:val="Table Grid"/>
    <w:basedOn w:val="Standaardtabel"/>
    <w:rsid w:val="004E6F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BC7C0C"/>
    <w:pPr>
      <w:ind w:left="720"/>
      <w:contextualSpacing/>
    </w:pPr>
  </w:style>
  <w:style w:type="character" w:styleId="Hyperlink">
    <w:name w:val="Hyperlink"/>
    <w:basedOn w:val="Standaardalinea-lettertype"/>
    <w:rsid w:val="00A4469F"/>
    <w:rPr>
      <w:color w:val="0000FF" w:themeColor="hyperlink"/>
      <w:u w:val="single"/>
    </w:rPr>
  </w:style>
  <w:style w:type="character" w:styleId="Verwijzingopmerking">
    <w:name w:val="annotation reference"/>
    <w:basedOn w:val="Standaardalinea-lettertype"/>
    <w:rsid w:val="004C6AA0"/>
    <w:rPr>
      <w:sz w:val="16"/>
      <w:szCs w:val="16"/>
    </w:rPr>
  </w:style>
  <w:style w:type="paragraph" w:styleId="Tekstopmerking">
    <w:name w:val="annotation text"/>
    <w:basedOn w:val="Standaard"/>
    <w:link w:val="TekstopmerkingChar"/>
    <w:uiPriority w:val="99"/>
    <w:rsid w:val="004C6AA0"/>
    <w:rPr>
      <w:szCs w:val="20"/>
    </w:rPr>
  </w:style>
  <w:style w:type="character" w:customStyle="1" w:styleId="TekstopmerkingChar">
    <w:name w:val="Tekst opmerking Char"/>
    <w:basedOn w:val="Standaardalinea-lettertype"/>
    <w:link w:val="Tekstopmerking"/>
    <w:uiPriority w:val="99"/>
    <w:rsid w:val="004C6AA0"/>
  </w:style>
  <w:style w:type="paragraph" w:styleId="Onderwerpvanopmerking">
    <w:name w:val="annotation subject"/>
    <w:basedOn w:val="Tekstopmerking"/>
    <w:next w:val="Tekstopmerking"/>
    <w:link w:val="OnderwerpvanopmerkingChar"/>
    <w:rsid w:val="004C6AA0"/>
    <w:rPr>
      <w:b/>
      <w:bCs/>
    </w:rPr>
  </w:style>
  <w:style w:type="character" w:customStyle="1" w:styleId="OnderwerpvanopmerkingChar">
    <w:name w:val="Onderwerp van opmerking Char"/>
    <w:basedOn w:val="TekstopmerkingChar"/>
    <w:link w:val="Onderwerpvanopmerking"/>
    <w:rsid w:val="004C6AA0"/>
    <w:rPr>
      <w:b/>
      <w:bCs/>
    </w:rPr>
  </w:style>
  <w:style w:type="paragraph" w:styleId="Ballontekst">
    <w:name w:val="Balloon Text"/>
    <w:basedOn w:val="Standaard"/>
    <w:link w:val="BallontekstChar"/>
    <w:rsid w:val="004C6AA0"/>
    <w:rPr>
      <w:rFonts w:ascii="Tahoma" w:hAnsi="Tahoma" w:cs="Tahoma"/>
      <w:sz w:val="16"/>
      <w:szCs w:val="16"/>
    </w:rPr>
  </w:style>
  <w:style w:type="character" w:customStyle="1" w:styleId="BallontekstChar">
    <w:name w:val="Ballontekst Char"/>
    <w:basedOn w:val="Standaardalinea-lettertype"/>
    <w:link w:val="Ballontekst"/>
    <w:rsid w:val="004C6AA0"/>
    <w:rPr>
      <w:rFonts w:ascii="Tahoma" w:hAnsi="Tahoma" w:cs="Tahoma"/>
      <w:sz w:val="16"/>
      <w:szCs w:val="16"/>
    </w:rPr>
  </w:style>
  <w:style w:type="character" w:customStyle="1" w:styleId="Kop4Char">
    <w:name w:val="Kop 4 Char"/>
    <w:basedOn w:val="Standaardalinea-lettertype"/>
    <w:link w:val="Kop4"/>
    <w:semiHidden/>
    <w:rsid w:val="00486231"/>
    <w:rPr>
      <w:rFonts w:asciiTheme="majorHAnsi" w:eastAsiaTheme="majorEastAsia" w:hAnsiTheme="majorHAnsi" w:cstheme="majorBidi"/>
      <w:i/>
      <w:iCs/>
      <w:color w:val="365F91" w:themeColor="accent1" w:themeShade="BF"/>
      <w:szCs w:val="24"/>
    </w:rPr>
  </w:style>
  <w:style w:type="character" w:customStyle="1" w:styleId="Kop5Char">
    <w:name w:val="Kop 5 Char"/>
    <w:basedOn w:val="Standaardalinea-lettertype"/>
    <w:link w:val="Kop5"/>
    <w:semiHidden/>
    <w:rsid w:val="00486231"/>
    <w:rPr>
      <w:rFonts w:asciiTheme="majorHAnsi" w:eastAsiaTheme="majorEastAsia" w:hAnsiTheme="majorHAnsi" w:cstheme="majorBidi"/>
      <w:color w:val="365F91" w:themeColor="accent1" w:themeShade="BF"/>
      <w:szCs w:val="24"/>
    </w:rPr>
  </w:style>
  <w:style w:type="character" w:customStyle="1" w:styleId="Kop6Char">
    <w:name w:val="Kop 6 Char"/>
    <w:basedOn w:val="Standaardalinea-lettertype"/>
    <w:link w:val="Kop6"/>
    <w:semiHidden/>
    <w:rsid w:val="00486231"/>
    <w:rPr>
      <w:rFonts w:asciiTheme="majorHAnsi" w:eastAsiaTheme="majorEastAsia" w:hAnsiTheme="majorHAnsi" w:cstheme="majorBidi"/>
      <w:color w:val="243F60" w:themeColor="accent1" w:themeShade="7F"/>
      <w:szCs w:val="24"/>
    </w:rPr>
  </w:style>
  <w:style w:type="character" w:customStyle="1" w:styleId="Kop7Char">
    <w:name w:val="Kop 7 Char"/>
    <w:basedOn w:val="Standaardalinea-lettertype"/>
    <w:link w:val="Kop7"/>
    <w:semiHidden/>
    <w:rsid w:val="00486231"/>
    <w:rPr>
      <w:rFonts w:asciiTheme="majorHAnsi" w:eastAsiaTheme="majorEastAsia" w:hAnsiTheme="majorHAnsi" w:cstheme="majorBidi"/>
      <w:i/>
      <w:iCs/>
      <w:color w:val="243F60" w:themeColor="accent1" w:themeShade="7F"/>
      <w:szCs w:val="24"/>
    </w:rPr>
  </w:style>
  <w:style w:type="character" w:customStyle="1" w:styleId="Kop8Char">
    <w:name w:val="Kop 8 Char"/>
    <w:basedOn w:val="Standaardalinea-lettertype"/>
    <w:link w:val="Kop8"/>
    <w:semiHidden/>
    <w:rsid w:val="00486231"/>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semiHidden/>
    <w:rsid w:val="00486231"/>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336398">
      <w:bodyDiv w:val="1"/>
      <w:marLeft w:val="0"/>
      <w:marRight w:val="0"/>
      <w:marTop w:val="0"/>
      <w:marBottom w:val="0"/>
      <w:divBdr>
        <w:top w:val="none" w:sz="0" w:space="0" w:color="auto"/>
        <w:left w:val="none" w:sz="0" w:space="0" w:color="auto"/>
        <w:bottom w:val="none" w:sz="0" w:space="0" w:color="auto"/>
        <w:right w:val="none" w:sz="0" w:space="0" w:color="auto"/>
      </w:divBdr>
    </w:div>
    <w:div w:id="132909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sociaaldomein.nl/cms/view/57979259/wat-zijn-standaard-administratieprotocollen/57979376" TargetMode="External"/><Relationship Id="rId5" Type="http://schemas.openxmlformats.org/officeDocument/2006/relationships/hyperlink" Target="https://i-sociaaldomein.nl/cms/view/57979259/wat-zijn-standaard-administratieprotocollen/57979376"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729</Words>
  <Characters>4012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Gemeente Noordoostpolder</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Apeldoorn, Kelvin</dc:creator>
  <cp:lastModifiedBy>Apeldoorn, Kelvin</cp:lastModifiedBy>
  <cp:revision>9</cp:revision>
  <dcterms:created xsi:type="dcterms:W3CDTF">2021-03-09T11:56:00Z</dcterms:created>
  <dcterms:modified xsi:type="dcterms:W3CDTF">2021-03-10T07:18:00Z</dcterms:modified>
</cp:coreProperties>
</file>