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989D6" w14:textId="77777777" w:rsidR="000959E2" w:rsidRDefault="000959E2">
      <w:pPr>
        <w:rPr>
          <w:rFonts w:ascii="Arial" w:hAnsi="Arial" w:cs="Arial"/>
          <w:b/>
          <w:sz w:val="28"/>
          <w:szCs w:val="28"/>
        </w:rPr>
      </w:pPr>
    </w:p>
    <w:p w14:paraId="0DE9B408" w14:textId="1E390D2A" w:rsidR="00171D7F" w:rsidRPr="00171D7F" w:rsidRDefault="00171D7F">
      <w:pPr>
        <w:rPr>
          <w:rFonts w:ascii="Arial" w:hAnsi="Arial" w:cs="Arial"/>
          <w:b/>
          <w:sz w:val="28"/>
          <w:szCs w:val="28"/>
        </w:rPr>
      </w:pPr>
      <w:r w:rsidRPr="00171D7F">
        <w:rPr>
          <w:rFonts w:ascii="Arial" w:hAnsi="Arial" w:cs="Arial"/>
          <w:b/>
          <w:sz w:val="28"/>
          <w:szCs w:val="28"/>
        </w:rPr>
        <w:t xml:space="preserve">Bijlage </w:t>
      </w:r>
      <w:r w:rsidR="00731C26">
        <w:rPr>
          <w:rFonts w:ascii="Arial" w:hAnsi="Arial" w:cs="Arial"/>
          <w:b/>
          <w:sz w:val="28"/>
          <w:szCs w:val="28"/>
        </w:rPr>
        <w:t>7A</w:t>
      </w:r>
      <w:r w:rsidR="00084DB3">
        <w:rPr>
          <w:rFonts w:ascii="Arial" w:hAnsi="Arial" w:cs="Arial"/>
          <w:b/>
          <w:sz w:val="28"/>
          <w:szCs w:val="28"/>
        </w:rPr>
        <w:t xml:space="preserve"> </w:t>
      </w:r>
      <w:r w:rsidR="00084DB3">
        <w:rPr>
          <w:rFonts w:ascii="Arial" w:hAnsi="Arial" w:cs="Arial"/>
          <w:b/>
          <w:sz w:val="28"/>
          <w:szCs w:val="28"/>
        </w:rPr>
        <w:t>-</w:t>
      </w:r>
      <w:r w:rsidR="00084DB3">
        <w:rPr>
          <w:rFonts w:ascii="Arial" w:hAnsi="Arial" w:cs="Arial"/>
          <w:b/>
          <w:sz w:val="28"/>
          <w:szCs w:val="28"/>
        </w:rPr>
        <w:t xml:space="preserve"> Z/21/079962 - </w:t>
      </w:r>
      <w:r w:rsidRPr="00171D7F">
        <w:rPr>
          <w:rFonts w:ascii="Arial" w:hAnsi="Arial" w:cs="Arial"/>
          <w:b/>
          <w:sz w:val="28"/>
          <w:szCs w:val="28"/>
        </w:rPr>
        <w:t>Social Return</w:t>
      </w:r>
    </w:p>
    <w:p w14:paraId="59AC4FDA" w14:textId="77777777" w:rsidR="00171D7F" w:rsidRPr="00171D7F" w:rsidRDefault="00171D7F" w:rsidP="00171D7F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iCs/>
          <w:sz w:val="20"/>
          <w:szCs w:val="20"/>
          <w:lang w:eastAsia="nl-NL"/>
        </w:rPr>
        <w:t xml:space="preserve">Social Return houdt in dat een percentage van de ingediende inschrijfsom door de </w:t>
      </w:r>
      <w:r w:rsidR="00CE39ED">
        <w:rPr>
          <w:rFonts w:ascii="Arial" w:eastAsia="Times New Roman" w:hAnsi="Arial" w:cs="Times New Roman"/>
          <w:iCs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wordt geïnvesteerd in werkgelegenheid voor werkzoekenden die (vaak) een afstand tot de arbeidsmarkt hebben, hierna te noemen 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Social Return</w:t>
      </w: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>-medewerker(s).</w:t>
      </w:r>
    </w:p>
    <w:p w14:paraId="428039D5" w14:textId="77777777" w:rsidR="00171D7F" w:rsidRPr="00171D7F" w:rsidRDefault="00171D7F" w:rsidP="00171D7F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</w:p>
    <w:p w14:paraId="4C377FD6" w14:textId="77777777" w:rsidR="00171D7F" w:rsidRPr="00D40D27" w:rsidRDefault="00171D7F" w:rsidP="00171D7F">
      <w:pPr>
        <w:spacing w:after="0" w:line="240" w:lineRule="auto"/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</w:pPr>
      <w:r w:rsidRPr="00D40D27"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  <w:t>Doelgroep</w:t>
      </w:r>
    </w:p>
    <w:p w14:paraId="08301E52" w14:textId="77777777" w:rsidR="00171D7F" w:rsidRPr="00171D7F" w:rsidRDefault="00171D7F" w:rsidP="00171D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Tot de doelgroep van Social </w:t>
      </w:r>
      <w:r w:rsidR="00CE39ED">
        <w:rPr>
          <w:rFonts w:ascii="Arial" w:eastAsia="Times New Roman" w:hAnsi="Arial" w:cs="Arial"/>
          <w:iCs/>
          <w:sz w:val="20"/>
          <w:szCs w:val="20"/>
          <w:lang w:eastAsia="nl-NL"/>
        </w:rPr>
        <w:t>Return</w:t>
      </w: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worden in de Gemeente Waddinxveen gerekend:</w:t>
      </w:r>
    </w:p>
    <w:p w14:paraId="3907E0A5" w14:textId="77777777" w:rsidR="00171D7F" w:rsidRPr="00171D7F" w:rsidRDefault="00171D7F" w:rsidP="00171D7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uitkeringsgerechtigden op basis van Participatiewet, IOAW en IOAZ; </w:t>
      </w:r>
    </w:p>
    <w:p w14:paraId="7E41DDE6" w14:textId="77777777" w:rsidR="00171D7F" w:rsidRPr="00171D7F" w:rsidRDefault="00171D7F" w:rsidP="00171D7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personen die 1 jaar of langer een WW-uitkering ontvangen;</w:t>
      </w:r>
    </w:p>
    <w:p w14:paraId="3FEAB717" w14:textId="77777777" w:rsidR="00171D7F" w:rsidRPr="00171D7F" w:rsidRDefault="00171D7F" w:rsidP="00171D7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arbeidsbeperkten opgenomen in het doelgroepenregister van het UWV, voor zover niet al vallend onder de Participatiewet;</w:t>
      </w:r>
    </w:p>
    <w:p w14:paraId="2A7ED4FC" w14:textId="77777777" w:rsidR="00171D7F" w:rsidRPr="00171D7F" w:rsidRDefault="00171D7F" w:rsidP="00171D7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171D7F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BBL-stagiaires.</w:t>
      </w:r>
    </w:p>
    <w:p w14:paraId="5EBD830A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2758F904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Inschrijver verklaart invullin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g te geven aan de Social Return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-vereisten. Voor invulling gelden de volgende </w:t>
      </w:r>
      <w:r w:rsidR="00887B9D">
        <w:rPr>
          <w:rFonts w:ascii="Arial" w:eastAsia="Times New Roman" w:hAnsi="Arial" w:cs="Times New Roman"/>
          <w:sz w:val="20"/>
          <w:szCs w:val="20"/>
          <w:lang w:eastAsia="nl-NL"/>
        </w:rPr>
        <w:t>voorwaarden, die onverkort onderdeel uitmaken van de (Raam)overeenkomst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:</w:t>
      </w:r>
    </w:p>
    <w:p w14:paraId="1B55D4E3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</w:p>
    <w:p w14:paraId="46D4D86A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Begeleiding doelgroep</w:t>
      </w:r>
    </w:p>
    <w:p w14:paraId="6E7F2D14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De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is verantwoordelijk voor de begeleiding van de Social Return-medewerker.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br/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Voor de invulling hiervan kunt u ervoor kiezen de Social Return-medewerker, niet zijnde een WSW-er, zelf te begeleiden of deze begeleiding in te kopen bij een re-integratiebedrijf.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br/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Indien u voor he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t invullen van de Social Return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-verplichting een WSW-er inzet dient u voor de begeleiding een erkend SW-bedrijf in te schakelen.</w:t>
      </w:r>
    </w:p>
    <w:p w14:paraId="1FF1388D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04133C70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Realisatie</w:t>
      </w:r>
    </w:p>
    <w:p w14:paraId="7102458A" w14:textId="77777777" w:rsidR="00171D7F" w:rsidRPr="00171D7F" w:rsidRDefault="00CE39ED" w:rsidP="00171D7F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geeft invulling aan de Social Return paragraaf zoals beschreven in de    </w:t>
      </w:r>
    </w:p>
    <w:p w14:paraId="7F32A974" w14:textId="70FD6EE5" w:rsidR="00171D7F" w:rsidRPr="00171D7F" w:rsidRDefault="00171D7F" w:rsidP="00171D7F">
      <w:pPr>
        <w:tabs>
          <w:tab w:val="left" w:pos="1701"/>
        </w:tabs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 xml:space="preserve">Aanbestedingsleidraad 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ten behoeve van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de</w:t>
      </w:r>
      <w:r w:rsidR="00DC2F73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="00084DB3">
        <w:rPr>
          <w:rFonts w:ascii="Arial" w:eastAsia="Times New Roman" w:hAnsi="Arial" w:cs="Times New Roman"/>
          <w:sz w:val="20"/>
          <w:szCs w:val="20"/>
          <w:lang w:eastAsia="nl-NL"/>
        </w:rPr>
        <w:t>Nationale niet openbare aanbesteding ‘Nieuwbouw Sportaccommodatie Waddinxveen’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 xml:space="preserve">, 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paragraaf</w:t>
      </w:r>
      <w:r w:rsidR="00084DB3">
        <w:rPr>
          <w:rFonts w:ascii="Arial" w:eastAsia="Times New Roman" w:hAnsi="Arial" w:cs="Times New Roman"/>
          <w:sz w:val="20"/>
          <w:szCs w:val="20"/>
          <w:lang w:eastAsia="nl-NL"/>
        </w:rPr>
        <w:t xml:space="preserve"> 1.3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;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</w:p>
    <w:p w14:paraId="559BBDC0" w14:textId="77777777" w:rsidR="00171D7F" w:rsidRPr="00171D7F" w:rsidRDefault="00171D7F" w:rsidP="00171D7F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2CB5D45" w14:textId="77777777" w:rsidR="00321F13" w:rsidRPr="00321F13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Periodiek wordt de voortgang van de Social Return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-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verplichting besproken</w:t>
      </w:r>
      <w:r w:rsidRPr="00171D7F">
        <w:rPr>
          <w:rFonts w:ascii="Arial" w:eastAsia="Times New Roman" w:hAnsi="Arial" w:cs="Times New Roman"/>
          <w:color w:val="FF0000"/>
          <w:sz w:val="20"/>
          <w:szCs w:val="20"/>
          <w:lang w:eastAsia="nl-NL"/>
        </w:rPr>
        <w:t xml:space="preserve">. </w:t>
      </w:r>
      <w:r w:rsidR="00321F13">
        <w:rPr>
          <w:rFonts w:ascii="Arial" w:eastAsia="Times New Roman" w:hAnsi="Arial" w:cs="Times New Roman"/>
          <w:color w:val="FF0000"/>
          <w:sz w:val="20"/>
          <w:szCs w:val="20"/>
          <w:lang w:eastAsia="nl-NL"/>
        </w:rPr>
        <w:br/>
      </w:r>
    </w:p>
    <w:p w14:paraId="5EC5F6D5" w14:textId="77777777" w:rsidR="00321F13" w:rsidRPr="000959E2" w:rsidRDefault="00321F13" w:rsidP="000959E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0959E2">
        <w:rPr>
          <w:rFonts w:ascii="Arial" w:eastAsia="Times New Roman" w:hAnsi="Arial" w:cs="Times New Roman"/>
          <w:sz w:val="20"/>
          <w:szCs w:val="20"/>
          <w:lang w:eastAsia="nl-NL"/>
        </w:rPr>
        <w:t>Opdrachtnemer zal de voortgang van de invulling SR-verplichting bijhouden in het door Opdrachtgever aangewezen ICT-systeem.</w:t>
      </w:r>
    </w:p>
    <w:p w14:paraId="6B9B3041" w14:textId="77777777" w:rsidR="00171D7F" w:rsidRPr="00171D7F" w:rsidRDefault="00171D7F" w:rsidP="00321F13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3B971683" w14:textId="77777777" w:rsidR="00171D7F" w:rsidRPr="00171D7F" w:rsidRDefault="00CE39ED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neemt het initiatief voor het uitnodigen van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voor</w:t>
      </w:r>
      <w:r w:rsid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de onder b genoemde overleggen;</w:t>
      </w:r>
    </w:p>
    <w:p w14:paraId="2E4784D2" w14:textId="77777777" w:rsidR="00171D7F" w:rsidRPr="00171D7F" w:rsidRDefault="00171D7F" w:rsidP="00171D7F">
      <w:pPr>
        <w:spacing w:after="0" w:line="240" w:lineRule="auto"/>
        <w:rPr>
          <w:rFonts w:ascii="Arial" w:eastAsia="Times New Roman" w:hAnsi="Arial" w:cs="Times New Roman"/>
          <w:i/>
          <w:color w:val="FF0000"/>
          <w:sz w:val="20"/>
          <w:szCs w:val="20"/>
          <w:lang w:eastAsia="nl-NL"/>
        </w:rPr>
      </w:pPr>
    </w:p>
    <w:p w14:paraId="08BF2EFB" w14:textId="77777777" w:rsidR="00171D7F" w:rsidRP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Na definitieve gunning dient de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binnen </w:t>
      </w:r>
      <w:r w:rsidR="00321F13">
        <w:rPr>
          <w:rFonts w:ascii="Arial" w:eastAsia="Times New Roman" w:hAnsi="Arial" w:cs="Times New Roman"/>
          <w:sz w:val="20"/>
          <w:szCs w:val="20"/>
          <w:lang w:eastAsia="nl-NL"/>
        </w:rPr>
        <w:t>7 kalenderdagen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contact op te nemen met de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via </w:t>
      </w:r>
      <w:hyperlink r:id="rId7" w:history="1">
        <w:r w:rsidRPr="00183866">
          <w:rPr>
            <w:rStyle w:val="Hyperlink"/>
            <w:rFonts w:ascii="Arial" w:eastAsia="Times New Roman" w:hAnsi="Arial" w:cs="Times New Roman"/>
            <w:sz w:val="20"/>
            <w:szCs w:val="20"/>
            <w:lang w:eastAsia="nl-NL"/>
          </w:rPr>
          <w:t>socialreturn@waddinxveen.nl</w:t>
        </w:r>
      </w:hyperlink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.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br/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In samenspraak met de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adviseur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Social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Return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stelt u een plan van aanpak op over de manier waarop u de verplichting invult. Het plan van aanpak beschrijft minimaal hoe u invulling geeft aan uw Social Return-verplichting (aantal in te zetten uren per week, periode, wijze van begeleiding, functies, timing van tussenevaluaties en eventueel opleidingspl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an);</w:t>
      </w:r>
    </w:p>
    <w:p w14:paraId="2979F9A0" w14:textId="77777777" w:rsidR="00171D7F" w:rsidRPr="00171D7F" w:rsidRDefault="00171D7F" w:rsidP="00171D7F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476A2992" w14:textId="77777777" w:rsidR="00171D7F" w:rsidRPr="00171D7F" w:rsidRDefault="00CE39ED" w:rsidP="00171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="00171D7F" w:rsidRPr="00171D7F">
        <w:rPr>
          <w:rFonts w:ascii="Arial" w:eastAsia="Times New Roman" w:hAnsi="Arial" w:cs="Arial"/>
          <w:sz w:val="20"/>
          <w:szCs w:val="20"/>
          <w:lang w:eastAsia="nl-NL"/>
        </w:rPr>
        <w:t>is verantwoordelijk voor het tijdig werven en sele</w:t>
      </w:r>
      <w:r w:rsidR="00171D7F">
        <w:rPr>
          <w:rFonts w:ascii="Arial" w:eastAsia="Times New Roman" w:hAnsi="Arial" w:cs="Arial"/>
          <w:sz w:val="20"/>
          <w:szCs w:val="20"/>
          <w:lang w:eastAsia="nl-NL"/>
        </w:rPr>
        <w:t>cteren van geschikte kandidaten;</w:t>
      </w:r>
      <w:r w:rsidR="00171D7F" w:rsidRPr="00171D7F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4EC99397" w14:textId="77777777" w:rsidR="00171D7F" w:rsidRPr="00171D7F" w:rsidRDefault="00171D7F" w:rsidP="00171D7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262FE19F" w14:textId="77777777" w:rsidR="00171D7F" w:rsidRP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Indien de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werkt met onderaannemers blijft de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hoofdelijk aansprakelijk voor het realiseren van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deze Social Return verplichting;</w:t>
      </w:r>
    </w:p>
    <w:p w14:paraId="15EF5B78" w14:textId="77777777" w:rsidR="00171D7F" w:rsidRPr="00171D7F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A94C1BE" w14:textId="77777777" w:rsidR="00171D7F" w:rsidRP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Het is de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toegestaan in het kader van Social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eturn personen in dienst te nemen, in dienst te houden of op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andere wijze aan zich te binden;</w:t>
      </w:r>
    </w:p>
    <w:p w14:paraId="57D963DF" w14:textId="77777777" w:rsidR="00171D7F" w:rsidRPr="00171D7F" w:rsidRDefault="00171D7F" w:rsidP="00171D7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bookmarkStart w:id="0" w:name="_GoBack"/>
      <w:bookmarkEnd w:id="0"/>
    </w:p>
    <w:p w14:paraId="49D957A6" w14:textId="77777777" w:rsidR="00171D7F" w:rsidRP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>Indien het realiseren van de Social Return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-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verplichting niet volledig mogelijk is binnen het </w:t>
      </w:r>
      <w:r w:rsidR="009F45A4">
        <w:rPr>
          <w:rFonts w:ascii="Arial" w:eastAsia="Times New Roman" w:hAnsi="Arial" w:cs="Times New Roman"/>
          <w:sz w:val="20"/>
          <w:szCs w:val="20"/>
          <w:lang w:eastAsia="nl-NL"/>
        </w:rPr>
        <w:t>Opdracht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, is het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toegestaan het gecontracteerde Social Return percentage te realiseren op andere </w:t>
      </w:r>
      <w:r w:rsidR="009F45A4">
        <w:rPr>
          <w:rFonts w:ascii="Arial" w:eastAsia="Times New Roman" w:hAnsi="Arial" w:cs="Times New Roman"/>
          <w:sz w:val="20"/>
          <w:szCs w:val="20"/>
          <w:lang w:eastAsia="nl-NL"/>
        </w:rPr>
        <w:t xml:space="preserve">Opdrachten 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van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.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legt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vooraf de wijze van invul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 xml:space="preserve">ling ter goedkeuring voor 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aan </w:t>
      </w:r>
      <w:r w:rsidR="003E6F4C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;</w:t>
      </w:r>
    </w:p>
    <w:p w14:paraId="32045BE3" w14:textId="77777777" w:rsidR="00171D7F" w:rsidRDefault="00171D7F" w:rsidP="00171D7F">
      <w:pPr>
        <w:spacing w:after="0" w:line="240" w:lineRule="auto"/>
        <w:ind w:left="720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6C45F279" w14:textId="77777777" w:rsidR="000959E2" w:rsidRDefault="000959E2" w:rsidP="00171D7F">
      <w:pPr>
        <w:spacing w:after="0" w:line="240" w:lineRule="auto"/>
        <w:ind w:left="720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273F215" w14:textId="77777777" w:rsidR="000959E2" w:rsidRPr="00171D7F" w:rsidRDefault="000959E2" w:rsidP="00171D7F">
      <w:pPr>
        <w:spacing w:after="0" w:line="240" w:lineRule="auto"/>
        <w:ind w:left="720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451AFFA6" w14:textId="77777777" w:rsidR="00171D7F" w:rsidRPr="00171D7F" w:rsidRDefault="00CE39ED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dient uiterlijk b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ij de eindafrekening de Social 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eturn-verplichting aan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te rapporteren volgens het format van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. De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verstrekt de </w:t>
      </w:r>
      <w:r w:rsidR="00A71E02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documenten als bewijs van invulling van de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overeengekomen Social 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>eturn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-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verplichting. Na controle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en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goedkeuring door de </w:t>
      </w:r>
      <w:r w:rsidR="003E6F4C">
        <w:rPr>
          <w:rFonts w:ascii="Arial" w:eastAsia="Times New Roman" w:hAnsi="Arial" w:cs="Times New Roman"/>
          <w:sz w:val="20"/>
          <w:szCs w:val="20"/>
          <w:lang w:eastAsia="nl-NL"/>
        </w:rPr>
        <w:t xml:space="preserve">Opdrachtgever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wordt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de definitieve invulling van de Social Return-waarde door de </w:t>
      </w:r>
      <w:r w:rsidR="003E6F4C"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per brief </w:t>
      </w:r>
      <w:r w:rsid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bevestigd aan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>
        <w:rPr>
          <w:rFonts w:ascii="Arial" w:eastAsia="Times New Roman" w:hAnsi="Arial" w:cs="Times New Roman"/>
          <w:sz w:val="20"/>
          <w:szCs w:val="20"/>
          <w:lang w:eastAsia="nl-NL"/>
        </w:rPr>
        <w:t>;</w:t>
      </w:r>
    </w:p>
    <w:p w14:paraId="37CE4BFC" w14:textId="77777777" w:rsidR="00171D7F" w:rsidRPr="00171D7F" w:rsidRDefault="00171D7F" w:rsidP="00171D7F">
      <w:pPr>
        <w:spacing w:after="0" w:line="240" w:lineRule="auto"/>
        <w:ind w:firstLine="283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0045E3BC" w14:textId="77777777" w:rsidR="00171D7F" w:rsidRPr="00171D7F" w:rsidRDefault="00A71E02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is gerechtigd om over te gaan tot het opleggen van een </w:t>
      </w:r>
      <w:r w:rsidR="000959E2">
        <w:rPr>
          <w:rFonts w:ascii="Arial" w:eastAsia="Times New Roman" w:hAnsi="Arial" w:cs="Times New Roman"/>
          <w:sz w:val="20"/>
          <w:szCs w:val="20"/>
          <w:lang w:eastAsia="nl-NL"/>
        </w:rPr>
        <w:t xml:space="preserve">boete 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op de </w:t>
      </w:r>
      <w:r w:rsidR="000959E2">
        <w:rPr>
          <w:rFonts w:ascii="Arial" w:eastAsia="Times New Roman" w:hAnsi="Arial" w:cs="Times New Roman"/>
          <w:sz w:val="20"/>
          <w:szCs w:val="20"/>
          <w:lang w:eastAsia="nl-NL"/>
        </w:rPr>
        <w:t>Inschrijfsom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ter hoogte van het door de </w:t>
      </w:r>
      <w:r w:rsidR="003E6F4C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ni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et ingevulde deel van de Social 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>eturn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-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verplichting.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Opdrachtgever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brengt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dit bedrag in het voorkomende geval in rekening </w:t>
      </w:r>
      <w:r w:rsidR="008977D4">
        <w:rPr>
          <w:rFonts w:ascii="Arial" w:eastAsia="Times New Roman" w:hAnsi="Arial" w:cs="Times New Roman"/>
          <w:sz w:val="20"/>
          <w:szCs w:val="20"/>
          <w:lang w:eastAsia="nl-NL"/>
        </w:rPr>
        <w:t>b</w:t>
      </w:r>
      <w:r w:rsidR="00171D7F"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ij </w:t>
      </w:r>
      <w:r w:rsidR="00CE39ED">
        <w:rPr>
          <w:rFonts w:ascii="Arial" w:eastAsia="Times New Roman" w:hAnsi="Arial" w:cs="Times New Roman"/>
          <w:sz w:val="20"/>
          <w:szCs w:val="20"/>
          <w:lang w:eastAsia="nl-NL"/>
        </w:rPr>
        <w:t>Opdrachtnemer</w:t>
      </w:r>
      <w:r w:rsidR="003E6F4C">
        <w:rPr>
          <w:rFonts w:ascii="Arial" w:eastAsia="Times New Roman" w:hAnsi="Arial" w:cs="Times New Roman"/>
          <w:sz w:val="20"/>
          <w:szCs w:val="20"/>
          <w:lang w:eastAsia="nl-NL"/>
        </w:rPr>
        <w:t xml:space="preserve"> of houdt dit in op termijnbetalingen</w:t>
      </w:r>
      <w:r w:rsidR="00171D7F">
        <w:rPr>
          <w:rFonts w:ascii="Arial" w:eastAsia="Times New Roman" w:hAnsi="Arial" w:cs="Times New Roman"/>
          <w:sz w:val="20"/>
          <w:szCs w:val="20"/>
          <w:lang w:eastAsia="nl-NL"/>
        </w:rPr>
        <w:t>;</w:t>
      </w:r>
    </w:p>
    <w:p w14:paraId="143E46F7" w14:textId="77777777" w:rsidR="00171D7F" w:rsidRPr="00171D7F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343536E4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k      In verband met de afhandeling van Social Return wordt u verzocht de 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>contactgegevens op te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br/>
        <w:t xml:space="preserve">        geven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van </w:t>
      </w:r>
      <w:r w:rsidR="00E1338E">
        <w:rPr>
          <w:rFonts w:ascii="Arial" w:eastAsia="Times New Roman" w:hAnsi="Arial" w:cs="Times New Roman"/>
          <w:sz w:val="20"/>
          <w:szCs w:val="20"/>
          <w:lang w:eastAsia="nl-NL"/>
        </w:rPr>
        <w:t>uw</w:t>
      </w:r>
      <w:r w:rsidRPr="00171D7F">
        <w:rPr>
          <w:rFonts w:ascii="Arial" w:eastAsia="Times New Roman" w:hAnsi="Arial" w:cs="Times New Roman"/>
          <w:sz w:val="20"/>
          <w:szCs w:val="20"/>
          <w:lang w:eastAsia="nl-NL"/>
        </w:rPr>
        <w:t xml:space="preserve"> voor Social Return verantwoordelijke medewerker in onderstaande tabel:</w:t>
      </w:r>
    </w:p>
    <w:p w14:paraId="7887A3C5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171D7F" w:rsidRPr="00171D7F" w14:paraId="62E40CA2" w14:textId="77777777" w:rsidTr="003E57CC">
        <w:tc>
          <w:tcPr>
            <w:tcW w:w="3685" w:type="dxa"/>
          </w:tcPr>
          <w:p w14:paraId="06A2B1E8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Contactpersoon Social Return </w:t>
            </w:r>
            <w:r w:rsidR="00CE39E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Opdrachtnemer</w:t>
            </w:r>
          </w:p>
        </w:tc>
        <w:tc>
          <w:tcPr>
            <w:tcW w:w="284" w:type="dxa"/>
          </w:tcPr>
          <w:p w14:paraId="2A8FD624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6B16FA24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6B8739D3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3DC25282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</w:tr>
      <w:tr w:rsidR="00171D7F" w:rsidRPr="00171D7F" w14:paraId="73C90EB0" w14:textId="77777777" w:rsidTr="003E57CC">
        <w:tc>
          <w:tcPr>
            <w:tcW w:w="3685" w:type="dxa"/>
          </w:tcPr>
          <w:p w14:paraId="61C580A9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Telefoonnummer contactpersoon</w:t>
            </w:r>
          </w:p>
        </w:tc>
        <w:tc>
          <w:tcPr>
            <w:tcW w:w="284" w:type="dxa"/>
          </w:tcPr>
          <w:p w14:paraId="70E5BD1E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38950D0D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49228DF4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4DACA880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</w:tr>
      <w:tr w:rsidR="00171D7F" w:rsidRPr="00171D7F" w14:paraId="5397C9C7" w14:textId="77777777" w:rsidTr="003E57CC">
        <w:tc>
          <w:tcPr>
            <w:tcW w:w="3685" w:type="dxa"/>
          </w:tcPr>
          <w:p w14:paraId="03456E20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E-mail contactpersoon</w:t>
            </w:r>
          </w:p>
        </w:tc>
        <w:tc>
          <w:tcPr>
            <w:tcW w:w="284" w:type="dxa"/>
          </w:tcPr>
          <w:p w14:paraId="199E8297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171D7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7104A0D7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599B3B9C" w14:textId="77777777" w:rsid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14:paraId="334AB1E7" w14:textId="77777777" w:rsidR="00171D7F" w:rsidRPr="00171D7F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</w:tr>
    </w:tbl>
    <w:p w14:paraId="0124AF7D" w14:textId="77777777" w:rsidR="00171D7F" w:rsidRPr="00171D7F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76CF9DE" w14:textId="77777777" w:rsidR="00171D7F" w:rsidRPr="00171D7F" w:rsidRDefault="00171D7F" w:rsidP="00171D7F">
      <w:pPr>
        <w:spacing w:after="0" w:line="240" w:lineRule="auto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2ABAA0FA" w14:textId="37FB9830" w:rsidR="00171D7F" w:rsidRPr="00E715AD" w:rsidRDefault="00084D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–––––</w:t>
      </w:r>
    </w:p>
    <w:sectPr w:rsidR="00171D7F" w:rsidRPr="00E715AD" w:rsidSect="00171D7F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BD3B" w14:textId="77777777" w:rsidR="00902B6B" w:rsidRDefault="00902B6B" w:rsidP="00171D7F">
      <w:pPr>
        <w:spacing w:after="0" w:line="240" w:lineRule="auto"/>
      </w:pPr>
      <w:r>
        <w:separator/>
      </w:r>
    </w:p>
  </w:endnote>
  <w:endnote w:type="continuationSeparator" w:id="0">
    <w:p w14:paraId="5B649B8A" w14:textId="77777777" w:rsidR="00902B6B" w:rsidRDefault="00902B6B" w:rsidP="0017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2CCA" w14:textId="3D1F597E" w:rsidR="000959E2" w:rsidRDefault="000959E2">
    <w:pPr>
      <w:pStyle w:val="Voettekst"/>
    </w:pPr>
    <w:r>
      <w:t xml:space="preserve">Bijlage </w:t>
    </w:r>
    <w:r w:rsidR="00084DB3">
      <w:t>7A</w:t>
    </w:r>
    <w:r>
      <w:t xml:space="preserve"> </w:t>
    </w:r>
    <w:r w:rsidR="00084DB3">
      <w:t>Z/21/079962 S</w:t>
    </w:r>
    <w:r>
      <w:t>ocial Return</w:t>
    </w:r>
    <w:r w:rsidR="00E1338E">
      <w:t xml:space="preserve"> – aanbesteding </w:t>
    </w:r>
    <w:r w:rsidR="00084DB3">
      <w:t>Nieuwbouw Sportaccommodatie Waddinxveen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E686B" w14:textId="77777777" w:rsidR="00902B6B" w:rsidRDefault="00902B6B" w:rsidP="00171D7F">
      <w:pPr>
        <w:spacing w:after="0" w:line="240" w:lineRule="auto"/>
      </w:pPr>
      <w:r>
        <w:separator/>
      </w:r>
    </w:p>
  </w:footnote>
  <w:footnote w:type="continuationSeparator" w:id="0">
    <w:p w14:paraId="715D4697" w14:textId="77777777" w:rsidR="00902B6B" w:rsidRDefault="00902B6B" w:rsidP="0017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27B0" w14:textId="77777777" w:rsidR="00171D7F" w:rsidRDefault="00171D7F" w:rsidP="00171D7F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0A5833C2" wp14:editId="74C6514C">
          <wp:extent cx="2699918" cy="597103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meente Waddinxveen FC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18" cy="597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7F"/>
    <w:rsid w:val="00084DB3"/>
    <w:rsid w:val="000959E2"/>
    <w:rsid w:val="00171D7F"/>
    <w:rsid w:val="00321F13"/>
    <w:rsid w:val="003E6F4C"/>
    <w:rsid w:val="004E29DD"/>
    <w:rsid w:val="005E0AA7"/>
    <w:rsid w:val="00731C26"/>
    <w:rsid w:val="00887B9D"/>
    <w:rsid w:val="008977D4"/>
    <w:rsid w:val="00902B6B"/>
    <w:rsid w:val="009F45A4"/>
    <w:rsid w:val="00A650A1"/>
    <w:rsid w:val="00A71E02"/>
    <w:rsid w:val="00AC3625"/>
    <w:rsid w:val="00CE39ED"/>
    <w:rsid w:val="00D40D27"/>
    <w:rsid w:val="00DC2F73"/>
    <w:rsid w:val="00E1338E"/>
    <w:rsid w:val="00E7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71A1D"/>
  <w15:chartTrackingRefBased/>
  <w15:docId w15:val="{0931BDEB-60B7-496A-A757-37F92163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1D7F"/>
  </w:style>
  <w:style w:type="paragraph" w:styleId="Voettekst">
    <w:name w:val="footer"/>
    <w:basedOn w:val="Standaard"/>
    <w:link w:val="Voet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D7F"/>
  </w:style>
  <w:style w:type="character" w:styleId="Hyperlink">
    <w:name w:val="Hyperlink"/>
    <w:basedOn w:val="Standaardalinea-lettertype"/>
    <w:uiPriority w:val="99"/>
    <w:unhideWhenUsed/>
    <w:rsid w:val="00171D7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39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39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39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39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39E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alreturn@waddinxve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de Laar</dc:creator>
  <cp:keywords/>
  <dc:description/>
  <cp:lastModifiedBy>Jody van Leeuwen</cp:lastModifiedBy>
  <cp:revision>5</cp:revision>
  <dcterms:created xsi:type="dcterms:W3CDTF">2021-07-29T08:53:00Z</dcterms:created>
  <dcterms:modified xsi:type="dcterms:W3CDTF">2022-01-21T16:00:00Z</dcterms:modified>
</cp:coreProperties>
</file>