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Bijlage 3 - Planning bewerken archiefonderdelen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Oplevering in Q4 houdt in dat de inhoudelijke bewerking en de opgestelde toegang van de over te brengen archiefbescheiden uiterlijk 15 november afgerond en akkoord bevonden is door het SNWV conform de eisen, wensen en gemaakte uitvoeringsafspraken.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tbl>
      <w:tblPr>
        <w:tblStyle w:val="Table1"/>
        <w:tblW w:w="9531.645569620254" w:type="dxa"/>
        <w:jc w:val="left"/>
        <w:tblInd w:w="10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705"/>
        <w:gridCol w:w="4830"/>
        <w:gridCol w:w="1350"/>
        <w:gridCol w:w="1378.6708860759495"/>
        <w:gridCol w:w="1267.9746835443038"/>
        <w:tblGridChange w:id="0">
          <w:tblGrid>
            <w:gridCol w:w="705"/>
            <w:gridCol w:w="4830"/>
            <w:gridCol w:w="1350"/>
            <w:gridCol w:w="1378.6708860759495"/>
            <w:gridCol w:w="1267.9746835443038"/>
          </w:tblGrid>
        </w:tblGridChange>
      </w:tblGrid>
      <w:tr>
        <w:trPr>
          <w:cantSplit w:val="0"/>
          <w:trHeight w:val="690.9252929687499" w:hRule="atLeast"/>
          <w:tblHeader w:val="0"/>
        </w:trPr>
        <w:tc>
          <w:tcPr>
            <w:tcBorders>
              <w:top w:color="000000" w:space="0" w:sz="4" w:val="single"/>
              <w:left w:color="000000" w:space="0" w:sz="4" w:val="single"/>
              <w:bottom w:color="000000" w:space="0" w:sz="4" w:val="single"/>
              <w:right w:color="000000" w:space="0" w:sz="4" w:val="single"/>
            </w:tcBorders>
            <w:shd w:fill="4a86e8" w:val="clear"/>
            <w:tcMar>
              <w:top w:w="100.0" w:type="dxa"/>
              <w:left w:w="100.0" w:type="dxa"/>
              <w:bottom w:w="100.0" w:type="dxa"/>
              <w:right w:w="100.0" w:type="dxa"/>
            </w:tcMar>
            <w:vAlign w:val="top"/>
          </w:tcPr>
          <w:p w:rsidR="00000000" w:rsidDel="00000000" w:rsidP="00000000" w:rsidRDefault="00000000" w:rsidRPr="00000000" w14:paraId="00000006">
            <w:pPr>
              <w:spacing w:before="0" w:lineRule="auto"/>
              <w:ind w:left="140" w:firstLine="0"/>
              <w:rPr>
                <w:color w:val="ffffff"/>
              </w:rPr>
            </w:pPr>
            <w:r w:rsidDel="00000000" w:rsidR="00000000" w:rsidRPr="00000000">
              <w:rPr>
                <w:color w:val="ffffff"/>
                <w:rtl w:val="0"/>
              </w:rPr>
              <w:t xml:space="preserve">Nr.</w:t>
            </w:r>
          </w:p>
        </w:tc>
        <w:tc>
          <w:tcPr>
            <w:tcBorders>
              <w:top w:color="000000" w:space="0" w:sz="4" w:val="single"/>
              <w:left w:color="000000" w:space="0" w:sz="4" w:val="single"/>
              <w:bottom w:color="000000" w:space="0" w:sz="4" w:val="single"/>
              <w:right w:color="000000" w:space="0" w:sz="4" w:val="single"/>
            </w:tcBorders>
            <w:shd w:fill="4a86e8" w:val="clear"/>
            <w:tcMar>
              <w:top w:w="100.0" w:type="dxa"/>
              <w:left w:w="100.0" w:type="dxa"/>
              <w:bottom w:w="100.0" w:type="dxa"/>
              <w:right w:w="100.0" w:type="dxa"/>
            </w:tcMar>
            <w:vAlign w:val="top"/>
          </w:tcPr>
          <w:p w:rsidR="00000000" w:rsidDel="00000000" w:rsidP="00000000" w:rsidRDefault="00000000" w:rsidRPr="00000000" w14:paraId="00000007">
            <w:pPr>
              <w:spacing w:before="0" w:lineRule="auto"/>
              <w:ind w:left="140" w:firstLine="0"/>
              <w:rPr>
                <w:color w:val="ffffff"/>
              </w:rPr>
            </w:pPr>
            <w:r w:rsidDel="00000000" w:rsidR="00000000" w:rsidRPr="00000000">
              <w:rPr>
                <w:color w:val="ffffff"/>
                <w:rtl w:val="0"/>
              </w:rPr>
              <w:t xml:space="preserve">Archief</w:t>
            </w:r>
          </w:p>
        </w:tc>
        <w:tc>
          <w:tcPr>
            <w:tcBorders>
              <w:top w:color="000000" w:space="0" w:sz="4" w:val="single"/>
              <w:left w:color="000000" w:space="0" w:sz="4" w:val="single"/>
              <w:bottom w:color="000000" w:space="0" w:sz="4" w:val="single"/>
              <w:right w:color="000000" w:space="0" w:sz="4" w:val="single"/>
            </w:tcBorders>
            <w:shd w:fill="4a86e8" w:val="clear"/>
            <w:tcMar>
              <w:top w:w="100.0" w:type="dxa"/>
              <w:left w:w="100.0" w:type="dxa"/>
              <w:bottom w:w="100.0" w:type="dxa"/>
              <w:right w:w="100.0" w:type="dxa"/>
            </w:tcMar>
            <w:vAlign w:val="top"/>
          </w:tcPr>
          <w:p w:rsidR="00000000" w:rsidDel="00000000" w:rsidP="00000000" w:rsidRDefault="00000000" w:rsidRPr="00000000" w14:paraId="00000008">
            <w:pPr>
              <w:spacing w:before="0" w:lineRule="auto"/>
              <w:ind w:left="140" w:firstLine="0"/>
              <w:rPr>
                <w:color w:val="ffffff"/>
              </w:rPr>
            </w:pPr>
            <w:r w:rsidDel="00000000" w:rsidR="00000000" w:rsidRPr="00000000">
              <w:rPr>
                <w:color w:val="ffffff"/>
                <w:rtl w:val="0"/>
              </w:rPr>
              <w:t xml:space="preserve">m1</w:t>
            </w:r>
          </w:p>
        </w:tc>
        <w:tc>
          <w:tcPr>
            <w:tcBorders>
              <w:top w:color="000000" w:space="0" w:sz="4" w:val="single"/>
              <w:left w:color="000000" w:space="0" w:sz="4" w:val="single"/>
              <w:bottom w:color="000000" w:space="0" w:sz="4" w:val="single"/>
              <w:right w:color="000000" w:space="0" w:sz="4" w:val="single"/>
            </w:tcBorders>
            <w:shd w:fill="4a86e8" w:val="clear"/>
            <w:tcMar>
              <w:top w:w="100.0" w:type="dxa"/>
              <w:left w:w="100.0" w:type="dxa"/>
              <w:bottom w:w="100.0" w:type="dxa"/>
              <w:right w:w="100.0" w:type="dxa"/>
            </w:tcMar>
            <w:vAlign w:val="top"/>
          </w:tcPr>
          <w:p w:rsidR="00000000" w:rsidDel="00000000" w:rsidP="00000000" w:rsidRDefault="00000000" w:rsidRPr="00000000" w14:paraId="00000009">
            <w:pPr>
              <w:spacing w:after="200" w:before="0" w:lineRule="auto"/>
              <w:ind w:left="140" w:firstLine="0"/>
              <w:rPr>
                <w:color w:val="ffffff"/>
              </w:rPr>
            </w:pPr>
            <w:r w:rsidDel="00000000" w:rsidR="00000000" w:rsidRPr="00000000">
              <w:rPr>
                <w:color w:val="ffffff"/>
                <w:rtl w:val="0"/>
              </w:rPr>
              <w:t xml:space="preserve">Start bewerking</w:t>
            </w:r>
          </w:p>
        </w:tc>
        <w:tc>
          <w:tcPr>
            <w:tcBorders>
              <w:top w:color="000000" w:space="0" w:sz="4" w:val="single"/>
              <w:left w:color="000000" w:space="0" w:sz="4" w:val="single"/>
              <w:bottom w:color="000000" w:space="0" w:sz="4" w:val="single"/>
              <w:right w:color="000000" w:space="0" w:sz="4" w:val="single"/>
            </w:tcBorders>
            <w:shd w:fill="4a86e8" w:val="clear"/>
            <w:tcMar>
              <w:top w:w="100.0" w:type="dxa"/>
              <w:left w:w="100.0" w:type="dxa"/>
              <w:bottom w:w="100.0" w:type="dxa"/>
              <w:right w:w="100.0" w:type="dxa"/>
            </w:tcMar>
            <w:vAlign w:val="top"/>
          </w:tcPr>
          <w:p w:rsidR="00000000" w:rsidDel="00000000" w:rsidP="00000000" w:rsidRDefault="00000000" w:rsidRPr="00000000" w14:paraId="0000000A">
            <w:pPr>
              <w:spacing w:before="0" w:lineRule="auto"/>
              <w:ind w:left="0" w:firstLine="0"/>
              <w:rPr>
                <w:color w:val="ffffff"/>
              </w:rPr>
            </w:pPr>
            <w:r w:rsidDel="00000000" w:rsidR="00000000" w:rsidRPr="00000000">
              <w:rPr>
                <w:color w:val="ffffff"/>
                <w:rtl w:val="0"/>
              </w:rPr>
              <w:t xml:space="preserve">Einde bewerking</w:t>
            </w:r>
          </w:p>
        </w:tc>
      </w:tr>
      <w:tr>
        <w:trPr>
          <w:cantSplit w:val="0"/>
          <w:trHeight w:val="75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40.0" w:type="dxa"/>
              <w:bottom w:w="100.0" w:type="dxa"/>
              <w:right w:w="40.0" w:type="dxa"/>
            </w:tcMar>
            <w:vAlign w:val="top"/>
          </w:tcPr>
          <w:p w:rsidR="00000000" w:rsidDel="00000000" w:rsidP="00000000" w:rsidRDefault="00000000" w:rsidRPr="00000000" w14:paraId="0000000B">
            <w:pPr>
              <w:spacing w:before="0" w:lineRule="auto"/>
              <w:ind w:left="140" w:firstLine="0"/>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40.0" w:type="dxa"/>
              <w:bottom w:w="100.0" w:type="dxa"/>
              <w:right w:w="40.0" w:type="dxa"/>
            </w:tcMar>
            <w:vAlign w:val="top"/>
          </w:tcPr>
          <w:p w:rsidR="00000000" w:rsidDel="00000000" w:rsidP="00000000" w:rsidRDefault="00000000" w:rsidRPr="00000000" w14:paraId="0000000C">
            <w:pPr>
              <w:spacing w:before="0" w:lineRule="auto"/>
              <w:ind w:left="140" w:firstLine="0"/>
              <w:rPr/>
            </w:pPr>
            <w:r w:rsidDel="00000000" w:rsidR="00000000" w:rsidRPr="00000000">
              <w:rPr>
                <w:rtl w:val="0"/>
              </w:rPr>
              <w:t xml:space="preserve">Bestuursarchief gemeente Harderwijk 1986-1995.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D">
            <w:pPr>
              <w:spacing w:before="0" w:lineRule="auto"/>
              <w:ind w:left="140" w:firstLine="0"/>
              <w:rPr/>
            </w:pPr>
            <w:r w:rsidDel="00000000" w:rsidR="00000000" w:rsidRPr="00000000">
              <w:rPr>
                <w:rtl w:val="0"/>
              </w:rPr>
              <w:t xml:space="preserve">53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E">
            <w:pPr>
              <w:spacing w:before="0" w:lineRule="auto"/>
              <w:ind w:left="140" w:firstLine="0"/>
              <w:rPr/>
            </w:pPr>
            <w:r w:rsidDel="00000000" w:rsidR="00000000" w:rsidRPr="00000000">
              <w:rPr>
                <w:rtl w:val="0"/>
              </w:rPr>
              <w:t xml:space="preserve">2022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F">
            <w:pPr>
              <w:spacing w:before="0" w:lineRule="auto"/>
              <w:ind w:left="140" w:firstLine="0"/>
              <w:rPr/>
            </w:pPr>
            <w:r w:rsidDel="00000000" w:rsidR="00000000" w:rsidRPr="00000000">
              <w:rPr>
                <w:rtl w:val="0"/>
              </w:rPr>
              <w:t xml:space="preserve">2022-Q4</w:t>
            </w:r>
          </w:p>
        </w:tc>
      </w:tr>
      <w:tr>
        <w:trPr>
          <w:cantSplit w:val="0"/>
          <w:trHeight w:val="545.925292968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40.0" w:type="dxa"/>
              <w:bottom w:w="100.0" w:type="dxa"/>
              <w:right w:w="40.0" w:type="dxa"/>
            </w:tcMar>
            <w:vAlign w:val="top"/>
          </w:tcPr>
          <w:p w:rsidR="00000000" w:rsidDel="00000000" w:rsidP="00000000" w:rsidRDefault="00000000" w:rsidRPr="00000000" w14:paraId="00000010">
            <w:pPr>
              <w:spacing w:before="0" w:lineRule="auto"/>
              <w:ind w:left="140" w:firstLine="0"/>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40.0" w:type="dxa"/>
              <w:bottom w:w="100.0" w:type="dxa"/>
              <w:right w:w="40.0" w:type="dxa"/>
            </w:tcMar>
            <w:vAlign w:val="top"/>
          </w:tcPr>
          <w:p w:rsidR="00000000" w:rsidDel="00000000" w:rsidP="00000000" w:rsidRDefault="00000000" w:rsidRPr="00000000" w14:paraId="00000011">
            <w:pPr>
              <w:spacing w:before="0" w:lineRule="auto"/>
              <w:ind w:left="140" w:firstLine="0"/>
              <w:rPr/>
            </w:pPr>
            <w:r w:rsidDel="00000000" w:rsidR="00000000" w:rsidRPr="00000000">
              <w:rPr>
                <w:rtl w:val="0"/>
              </w:rPr>
              <w:t xml:space="preserve">Bodemonderzoeken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2">
            <w:pPr>
              <w:spacing w:before="0" w:lineRule="auto"/>
              <w:ind w:left="140" w:firstLine="0"/>
              <w:rPr/>
            </w:pPr>
            <w:r w:rsidDel="00000000" w:rsidR="00000000" w:rsidRPr="00000000">
              <w:rPr>
                <w:rtl w:val="0"/>
              </w:rPr>
              <w:t xml:space="preserve">16,75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3">
            <w:pPr>
              <w:spacing w:before="0" w:lineRule="auto"/>
              <w:ind w:left="140" w:firstLine="0"/>
              <w:rPr/>
            </w:pPr>
            <w:r w:rsidDel="00000000" w:rsidR="00000000" w:rsidRPr="00000000">
              <w:rPr>
                <w:rtl w:val="0"/>
              </w:rPr>
              <w:t xml:space="preserve">2023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4">
            <w:pPr>
              <w:spacing w:before="0" w:lineRule="auto"/>
              <w:ind w:left="140" w:firstLine="0"/>
              <w:rPr/>
            </w:pPr>
            <w:r w:rsidDel="00000000" w:rsidR="00000000" w:rsidRPr="00000000">
              <w:rPr>
                <w:rtl w:val="0"/>
              </w:rPr>
              <w:t xml:space="preserve">2023-Q4</w:t>
            </w:r>
          </w:p>
        </w:tc>
      </w:tr>
      <w:tr>
        <w:trPr>
          <w:cantSplit w:val="0"/>
          <w:trHeight w:val="73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40.0" w:type="dxa"/>
              <w:bottom w:w="100.0" w:type="dxa"/>
              <w:right w:w="40.0" w:type="dxa"/>
            </w:tcMar>
            <w:vAlign w:val="top"/>
          </w:tcPr>
          <w:p w:rsidR="00000000" w:rsidDel="00000000" w:rsidP="00000000" w:rsidRDefault="00000000" w:rsidRPr="00000000" w14:paraId="00000015">
            <w:pPr>
              <w:spacing w:before="0" w:lineRule="auto"/>
              <w:ind w:left="140" w:firstLine="0"/>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tcMar>
              <w:top w:w="100.0" w:type="dxa"/>
              <w:left w:w="40.0" w:type="dxa"/>
              <w:bottom w:w="100.0" w:type="dxa"/>
              <w:right w:w="40.0" w:type="dxa"/>
            </w:tcMar>
            <w:vAlign w:val="top"/>
          </w:tcPr>
          <w:p w:rsidR="00000000" w:rsidDel="00000000" w:rsidP="00000000" w:rsidRDefault="00000000" w:rsidRPr="00000000" w14:paraId="00000016">
            <w:pPr>
              <w:spacing w:before="0" w:lineRule="auto"/>
              <w:ind w:left="140" w:firstLine="0"/>
              <w:rPr/>
            </w:pPr>
            <w:r w:rsidDel="00000000" w:rsidR="00000000" w:rsidRPr="00000000">
              <w:rPr>
                <w:rtl w:val="0"/>
              </w:rPr>
              <w:t xml:space="preserve">Milieuvergunningen inclusief de serie vervallen vergunningen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7">
            <w:pPr>
              <w:spacing w:before="0" w:lineRule="auto"/>
              <w:ind w:left="140" w:firstLine="0"/>
              <w:rPr/>
            </w:pPr>
            <w:r w:rsidDel="00000000" w:rsidR="00000000" w:rsidRPr="00000000">
              <w:rPr>
                <w:rtl w:val="0"/>
              </w:rPr>
              <w:t xml:space="preserve">23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8">
            <w:pPr>
              <w:spacing w:before="0" w:lineRule="auto"/>
              <w:ind w:left="140" w:firstLine="0"/>
              <w:rPr/>
            </w:pPr>
            <w:r w:rsidDel="00000000" w:rsidR="00000000" w:rsidRPr="00000000">
              <w:rPr>
                <w:rtl w:val="0"/>
              </w:rPr>
              <w:t xml:space="preserve">2023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9">
            <w:pPr>
              <w:spacing w:before="0" w:lineRule="auto"/>
              <w:ind w:left="140" w:firstLine="0"/>
              <w:rPr/>
            </w:pPr>
            <w:r w:rsidDel="00000000" w:rsidR="00000000" w:rsidRPr="00000000">
              <w:rPr>
                <w:rtl w:val="0"/>
              </w:rPr>
              <w:t xml:space="preserve">2023-Q4</w:t>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40.0" w:type="dxa"/>
              <w:bottom w:w="100.0" w:type="dxa"/>
              <w:right w:w="40.0" w:type="dxa"/>
            </w:tcMar>
            <w:vAlign w:val="top"/>
          </w:tcPr>
          <w:p w:rsidR="00000000" w:rsidDel="00000000" w:rsidP="00000000" w:rsidRDefault="00000000" w:rsidRPr="00000000" w14:paraId="0000001A">
            <w:pPr>
              <w:spacing w:before="0" w:lineRule="auto"/>
              <w:ind w:left="140" w:firstLine="0"/>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tcMar>
              <w:top w:w="100.0" w:type="dxa"/>
              <w:left w:w="40.0" w:type="dxa"/>
              <w:bottom w:w="100.0" w:type="dxa"/>
              <w:right w:w="40.0" w:type="dxa"/>
            </w:tcMar>
            <w:vAlign w:val="top"/>
          </w:tcPr>
          <w:p w:rsidR="00000000" w:rsidDel="00000000" w:rsidP="00000000" w:rsidRDefault="00000000" w:rsidRPr="00000000" w14:paraId="0000001B">
            <w:pPr>
              <w:spacing w:before="0" w:lineRule="auto"/>
              <w:ind w:left="140" w:firstLine="0"/>
              <w:rPr/>
            </w:pPr>
            <w:r w:rsidDel="00000000" w:rsidR="00000000" w:rsidRPr="00000000">
              <w:rPr>
                <w:rtl w:val="0"/>
              </w:rPr>
              <w:t xml:space="preserve">Intergemeentelijke Sociale Dienst Veluwerand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C">
            <w:pPr>
              <w:spacing w:before="0" w:lineRule="auto"/>
              <w:ind w:left="140" w:firstLine="0"/>
              <w:rPr/>
            </w:pPr>
            <w:r w:rsidDel="00000000" w:rsidR="00000000" w:rsidRPr="00000000">
              <w:rPr>
                <w:rtl w:val="0"/>
              </w:rPr>
              <w:t xml:space="preserve">1,1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D">
            <w:pPr>
              <w:spacing w:before="0" w:lineRule="auto"/>
              <w:ind w:left="140" w:firstLine="0"/>
              <w:rPr/>
            </w:pPr>
            <w:r w:rsidDel="00000000" w:rsidR="00000000" w:rsidRPr="00000000">
              <w:rPr>
                <w:rtl w:val="0"/>
              </w:rPr>
              <w:t xml:space="preserve">2023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E">
            <w:pPr>
              <w:spacing w:before="0" w:lineRule="auto"/>
              <w:ind w:left="140" w:firstLine="0"/>
              <w:rPr/>
            </w:pPr>
            <w:r w:rsidDel="00000000" w:rsidR="00000000" w:rsidRPr="00000000">
              <w:rPr>
                <w:rtl w:val="0"/>
              </w:rPr>
              <w:t xml:space="preserve">2023-Q2</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40.0" w:type="dxa"/>
              <w:bottom w:w="100.0" w:type="dxa"/>
              <w:right w:w="40.0" w:type="dxa"/>
            </w:tcMar>
            <w:vAlign w:val="top"/>
          </w:tcPr>
          <w:p w:rsidR="00000000" w:rsidDel="00000000" w:rsidP="00000000" w:rsidRDefault="00000000" w:rsidRPr="00000000" w14:paraId="0000001F">
            <w:pPr>
              <w:spacing w:before="0" w:lineRule="auto"/>
              <w:ind w:left="140" w:firstLine="0"/>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tcMar>
              <w:top w:w="100.0" w:type="dxa"/>
              <w:left w:w="40.0" w:type="dxa"/>
              <w:bottom w:w="100.0" w:type="dxa"/>
              <w:right w:w="40.0" w:type="dxa"/>
            </w:tcMar>
            <w:vAlign w:val="top"/>
          </w:tcPr>
          <w:p w:rsidR="00000000" w:rsidDel="00000000" w:rsidP="00000000" w:rsidRDefault="00000000" w:rsidRPr="00000000" w14:paraId="00000020">
            <w:pPr>
              <w:spacing w:before="0" w:lineRule="auto"/>
              <w:ind w:left="140" w:firstLine="0"/>
              <w:rPr/>
            </w:pPr>
            <w:r w:rsidDel="00000000" w:rsidR="00000000" w:rsidRPr="00000000">
              <w:rPr>
                <w:rtl w:val="0"/>
              </w:rPr>
              <w:t xml:space="preserve">Brandweer Harderwijk 1952-2010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1">
            <w:pPr>
              <w:spacing w:before="0" w:lineRule="auto"/>
              <w:ind w:left="140" w:firstLine="0"/>
              <w:rPr/>
            </w:pPr>
            <w:r w:rsidDel="00000000" w:rsidR="00000000" w:rsidRPr="00000000">
              <w:rPr>
                <w:rtl w:val="0"/>
              </w:rPr>
              <w:t xml:space="preserve">1,9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2">
            <w:pPr>
              <w:spacing w:before="0" w:lineRule="auto"/>
              <w:ind w:left="140" w:firstLine="0"/>
              <w:rPr/>
            </w:pPr>
            <w:r w:rsidDel="00000000" w:rsidR="00000000" w:rsidRPr="00000000">
              <w:rPr>
                <w:rtl w:val="0"/>
              </w:rPr>
              <w:t xml:space="preserve">2023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3">
            <w:pPr>
              <w:spacing w:before="0" w:lineRule="auto"/>
              <w:ind w:left="140" w:firstLine="0"/>
              <w:rPr/>
            </w:pPr>
            <w:r w:rsidDel="00000000" w:rsidR="00000000" w:rsidRPr="00000000">
              <w:rPr>
                <w:rtl w:val="0"/>
              </w:rPr>
              <w:t xml:space="preserve">2023-Q4</w:t>
            </w:r>
          </w:p>
        </w:tc>
      </w:tr>
      <w:tr>
        <w:trPr>
          <w:cantSplit w:val="0"/>
          <w:trHeight w:val="520.9252929687499"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40.0" w:type="dxa"/>
              <w:bottom w:w="100.0" w:type="dxa"/>
              <w:right w:w="40.0" w:type="dxa"/>
            </w:tcMar>
            <w:vAlign w:val="top"/>
          </w:tcPr>
          <w:p w:rsidR="00000000" w:rsidDel="00000000" w:rsidP="00000000" w:rsidRDefault="00000000" w:rsidRPr="00000000" w14:paraId="00000024">
            <w:pPr>
              <w:spacing w:after="0" w:before="0" w:lineRule="auto"/>
              <w:ind w:left="140" w:firstLine="0"/>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40.0" w:type="dxa"/>
              <w:bottom w:w="100.0" w:type="dxa"/>
              <w:right w:w="40.0" w:type="dxa"/>
            </w:tcMar>
            <w:vAlign w:val="top"/>
          </w:tcPr>
          <w:p w:rsidR="00000000" w:rsidDel="00000000" w:rsidP="00000000" w:rsidRDefault="00000000" w:rsidRPr="00000000" w14:paraId="00000025">
            <w:pPr>
              <w:spacing w:after="0" w:before="0" w:lineRule="auto"/>
              <w:ind w:left="140" w:firstLine="0"/>
              <w:rPr/>
            </w:pPr>
            <w:r w:rsidDel="00000000" w:rsidR="00000000" w:rsidRPr="00000000">
              <w:rPr>
                <w:rtl w:val="0"/>
              </w:rPr>
              <w:t xml:space="preserve">Werkarchief Lege Laden Actie*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6">
            <w:pPr>
              <w:spacing w:before="0" w:lineRule="auto"/>
              <w:ind w:left="140" w:firstLine="0"/>
              <w:rPr/>
            </w:pPr>
            <w:r w:rsidDel="00000000" w:rsidR="00000000" w:rsidRPr="00000000">
              <w:rPr>
                <w:rtl w:val="0"/>
              </w:rPr>
              <w:t xml:space="preserve">11,5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7">
            <w:pPr>
              <w:spacing w:before="0" w:lineRule="auto"/>
              <w:ind w:left="140" w:firstLine="0"/>
              <w:rPr/>
            </w:pPr>
            <w:r w:rsidDel="00000000" w:rsidR="00000000" w:rsidRPr="00000000">
              <w:rPr>
                <w:rtl w:val="0"/>
              </w:rPr>
              <w:t xml:space="preserve">2024-Q3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8">
            <w:pPr>
              <w:spacing w:before="0" w:lineRule="auto"/>
              <w:ind w:left="140" w:firstLine="0"/>
              <w:rPr/>
            </w:pPr>
            <w:r w:rsidDel="00000000" w:rsidR="00000000" w:rsidRPr="00000000">
              <w:rPr>
                <w:rtl w:val="0"/>
              </w:rPr>
              <w:t xml:space="preserve">2024-Q4</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40.0" w:type="dxa"/>
              <w:bottom w:w="100.0" w:type="dxa"/>
              <w:right w:w="40.0" w:type="dxa"/>
            </w:tcMar>
            <w:vAlign w:val="top"/>
          </w:tcPr>
          <w:p w:rsidR="00000000" w:rsidDel="00000000" w:rsidP="00000000" w:rsidRDefault="00000000" w:rsidRPr="00000000" w14:paraId="00000029">
            <w:pPr>
              <w:spacing w:before="0" w:lineRule="auto"/>
              <w:ind w:left="140" w:firstLine="0"/>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tcMar>
              <w:top w:w="100.0" w:type="dxa"/>
              <w:left w:w="40.0" w:type="dxa"/>
              <w:bottom w:w="100.0" w:type="dxa"/>
              <w:right w:w="40.0" w:type="dxa"/>
            </w:tcMar>
            <w:vAlign w:val="top"/>
          </w:tcPr>
          <w:p w:rsidR="00000000" w:rsidDel="00000000" w:rsidP="00000000" w:rsidRDefault="00000000" w:rsidRPr="00000000" w14:paraId="0000002A">
            <w:pPr>
              <w:spacing w:before="0" w:lineRule="auto"/>
              <w:ind w:left="140" w:firstLine="0"/>
              <w:rPr/>
            </w:pPr>
            <w:r w:rsidDel="00000000" w:rsidR="00000000" w:rsidRPr="00000000">
              <w:rPr>
                <w:rtl w:val="0"/>
              </w:rPr>
              <w:t xml:space="preserve">Bestuursarchief 1996-2005**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B">
            <w:pPr>
              <w:spacing w:before="0" w:lineRule="auto"/>
              <w:ind w:left="140" w:firstLine="0"/>
              <w:rPr/>
            </w:pPr>
            <w:r w:rsidDel="00000000" w:rsidR="00000000" w:rsidRPr="00000000">
              <w:rPr>
                <w:rtl w:val="0"/>
              </w:rPr>
              <w:t xml:space="preserve">110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C">
            <w:pPr>
              <w:spacing w:before="0" w:lineRule="auto"/>
              <w:ind w:left="140" w:firstLine="0"/>
              <w:rPr/>
            </w:pPr>
            <w:r w:rsidDel="00000000" w:rsidR="00000000" w:rsidRPr="00000000">
              <w:rPr>
                <w:rtl w:val="0"/>
              </w:rPr>
              <w:t xml:space="preserve">2025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D">
            <w:pPr>
              <w:spacing w:before="0" w:lineRule="auto"/>
              <w:ind w:left="140" w:firstLine="0"/>
              <w:rPr/>
            </w:pPr>
            <w:r w:rsidDel="00000000" w:rsidR="00000000" w:rsidRPr="00000000">
              <w:rPr>
                <w:rtl w:val="0"/>
              </w:rPr>
              <w:t xml:space="preserve">2025-Q4</w:t>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40.0" w:type="dxa"/>
              <w:bottom w:w="100.0" w:type="dxa"/>
              <w:right w:w="40.0" w:type="dxa"/>
            </w:tcMar>
            <w:vAlign w:val="top"/>
          </w:tcPr>
          <w:p w:rsidR="00000000" w:rsidDel="00000000" w:rsidP="00000000" w:rsidRDefault="00000000" w:rsidRPr="00000000" w14:paraId="0000002E">
            <w:pPr>
              <w:spacing w:before="0" w:lineRule="auto"/>
              <w:ind w:left="140" w:firstLine="0"/>
              <w:rPr/>
            </w:pPr>
            <w:r w:rsidDel="00000000" w:rsidR="00000000" w:rsidRPr="00000000">
              <w:rPr>
                <w:rtl w:val="0"/>
              </w:rPr>
              <w:t xml:space="preserve">8</w:t>
            </w:r>
          </w:p>
        </w:tc>
        <w:tc>
          <w:tcPr>
            <w:tcBorders>
              <w:top w:color="000000" w:space="0" w:sz="4" w:val="single"/>
              <w:left w:color="000000" w:space="0" w:sz="4" w:val="single"/>
              <w:bottom w:color="000000" w:space="0" w:sz="4" w:val="single"/>
              <w:right w:color="000000" w:space="0" w:sz="4" w:val="single"/>
            </w:tcBorders>
            <w:tcMar>
              <w:top w:w="100.0" w:type="dxa"/>
              <w:left w:w="40.0" w:type="dxa"/>
              <w:bottom w:w="100.0" w:type="dxa"/>
              <w:right w:w="40.0" w:type="dxa"/>
            </w:tcMar>
            <w:vAlign w:val="top"/>
          </w:tcPr>
          <w:p w:rsidR="00000000" w:rsidDel="00000000" w:rsidP="00000000" w:rsidRDefault="00000000" w:rsidRPr="00000000" w14:paraId="0000002F">
            <w:pPr>
              <w:spacing w:before="0" w:lineRule="auto"/>
              <w:ind w:left="140" w:firstLine="0"/>
              <w:rPr/>
            </w:pPr>
            <w:r w:rsidDel="00000000" w:rsidR="00000000" w:rsidRPr="00000000">
              <w:rPr>
                <w:rtl w:val="0"/>
              </w:rPr>
              <w:t xml:space="preserve">Bestuursarchief 2006-2016**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0">
            <w:pPr>
              <w:spacing w:before="0" w:lineRule="auto"/>
              <w:ind w:left="140" w:firstLine="0"/>
              <w:rPr/>
            </w:pPr>
            <w:r w:rsidDel="00000000" w:rsidR="00000000" w:rsidRPr="00000000">
              <w:rPr>
                <w:rtl w:val="0"/>
              </w:rPr>
              <w:t xml:space="preserve">161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1">
            <w:pPr>
              <w:spacing w:before="0" w:lineRule="auto"/>
              <w:ind w:left="140" w:firstLine="0"/>
              <w:rPr/>
            </w:pPr>
            <w:r w:rsidDel="00000000" w:rsidR="00000000" w:rsidRPr="00000000">
              <w:rPr>
                <w:rtl w:val="0"/>
              </w:rPr>
              <w:t xml:space="preserve">2026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2">
            <w:pPr>
              <w:spacing w:before="0" w:lineRule="auto"/>
              <w:ind w:left="140" w:firstLine="0"/>
              <w:rPr/>
            </w:pPr>
            <w:r w:rsidDel="00000000" w:rsidR="00000000" w:rsidRPr="00000000">
              <w:rPr>
                <w:rtl w:val="0"/>
              </w:rPr>
              <w:t xml:space="preserve">2026-Q4</w:t>
            </w:r>
          </w:p>
        </w:tc>
      </w:tr>
    </w:tbl>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 Kan ook in later in 2024 of in 2025 uitgevoerd worden, maar de einddatum van de planning voor het Bestuursarchief 1996-2005 blijft staan.</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 Met het bewerken van de Bestuursarchieven 1996-2005 en 2006-2016 kan eerder begonnen worden. Facturering kan pas in het genoemde jaar “Start bewerking” plaatsvinden.</w:t>
      </w:r>
    </w:p>
    <w:p w:rsidR="00000000" w:rsidDel="00000000" w:rsidP="00000000" w:rsidRDefault="00000000" w:rsidRPr="00000000" w14:paraId="00000037">
      <w:pPr>
        <w:rPr/>
      </w:pPr>
      <w:r w:rsidDel="00000000" w:rsidR="00000000" w:rsidRPr="00000000">
        <w:rPr>
          <w:rtl w:val="0"/>
        </w:rPr>
      </w:r>
    </w:p>
    <w:tbl>
      <w:tblPr>
        <w:tblStyle w:val="Table2"/>
        <w:tblW w:w="702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45"/>
        <w:gridCol w:w="2310"/>
        <w:gridCol w:w="3465"/>
        <w:tblGridChange w:id="0">
          <w:tblGrid>
            <w:gridCol w:w="1245"/>
            <w:gridCol w:w="2310"/>
            <w:gridCol w:w="3465"/>
          </w:tblGrid>
        </w:tblGridChange>
      </w:tblGrid>
      <w:tr>
        <w:trPr>
          <w:cantSplit w:val="0"/>
          <w:tblHeader w:val="0"/>
        </w:trPr>
        <w:tc>
          <w:tcPr>
            <w:shd w:fill="4a86e8"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ffff"/>
              </w:rPr>
            </w:pPr>
            <w:r w:rsidDel="00000000" w:rsidR="00000000" w:rsidRPr="00000000">
              <w:rPr>
                <w:color w:val="ffffff"/>
                <w:rtl w:val="0"/>
              </w:rPr>
              <w:t xml:space="preserve">Jaar</w:t>
            </w:r>
          </w:p>
        </w:tc>
        <w:tc>
          <w:tcPr>
            <w:shd w:fill="4a86e8"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ffff"/>
              </w:rPr>
            </w:pPr>
            <w:r w:rsidDel="00000000" w:rsidR="00000000" w:rsidRPr="00000000">
              <w:rPr>
                <w:color w:val="ffffff"/>
                <w:rtl w:val="0"/>
              </w:rPr>
              <w:t xml:space="preserve">Volume totaal in m1</w:t>
            </w:r>
          </w:p>
        </w:tc>
        <w:tc>
          <w:tcPr>
            <w:shd w:fill="4a86e8"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ffff"/>
              </w:rPr>
            </w:pPr>
            <w:r w:rsidDel="00000000" w:rsidR="00000000" w:rsidRPr="00000000">
              <w:rPr>
                <w:color w:val="ffffff"/>
                <w:rtl w:val="0"/>
              </w:rPr>
              <w:t xml:space="preserve">Waarvan los/ongesorteerd in m1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42,75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&lt; 0,1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161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48,75</w:t>
            </w:r>
          </w:p>
        </w:tc>
      </w:tr>
    </w:tbl>
    <w:p w:rsidR="00000000" w:rsidDel="00000000" w:rsidP="00000000" w:rsidRDefault="00000000" w:rsidRPr="00000000" w14:paraId="0000004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