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Concept specificaties</w:t>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rPr>
          <w:b w:val="1"/>
          <w:color w:val="0000ff"/>
          <w:sz w:val="24"/>
          <w:szCs w:val="24"/>
        </w:rPr>
      </w:pPr>
      <w:r w:rsidDel="00000000" w:rsidR="00000000" w:rsidRPr="00000000">
        <w:rPr>
          <w:b w:val="1"/>
          <w:color w:val="0000ff"/>
          <w:sz w:val="24"/>
          <w:szCs w:val="24"/>
          <w:rtl w:val="0"/>
        </w:rPr>
        <w:t xml:space="preserve">Programma van Eisen (PvE)</w:t>
      </w:r>
    </w:p>
    <w:p w:rsidR="00000000" w:rsidDel="00000000" w:rsidP="00000000" w:rsidRDefault="00000000" w:rsidRPr="00000000" w14:paraId="00000004">
      <w:pPr>
        <w:rPr>
          <w:color w:val="0000ff"/>
        </w:rPr>
      </w:pPr>
      <w:r w:rsidDel="00000000" w:rsidR="00000000" w:rsidRPr="00000000">
        <w:rPr>
          <w:color w:val="0000ff"/>
          <w:rtl w:val="0"/>
        </w:rPr>
        <w:t xml:space="preserve">A.</w:t>
        <w:tab/>
        <w:t xml:space="preserve">Projectresultaat</w:t>
      </w:r>
    </w:p>
    <w:p w:rsidR="00000000" w:rsidDel="00000000" w:rsidP="00000000" w:rsidRDefault="00000000" w:rsidRPr="00000000" w14:paraId="00000005">
      <w:pPr>
        <w:numPr>
          <w:ilvl w:val="0"/>
          <w:numId w:val="1"/>
        </w:numPr>
        <w:spacing w:after="0" w:afterAutospacing="0"/>
        <w:ind w:left="720" w:hanging="360"/>
        <w:rPr>
          <w:u w:val="none"/>
        </w:rPr>
      </w:pPr>
      <w:r w:rsidDel="00000000" w:rsidR="00000000" w:rsidRPr="00000000">
        <w:rPr>
          <w:rtl w:val="0"/>
        </w:rPr>
        <w:t xml:space="preserve">Het project is voor 15 november 2026 afgerond. De afzonderlijke archiefonderdelen in bijlage 3  worden uiterlijk opgeleverd in het jaar en kwartaal daarin genoemd.</w:t>
      </w:r>
    </w:p>
    <w:p w:rsidR="00000000" w:rsidDel="00000000" w:rsidP="00000000" w:rsidRDefault="00000000" w:rsidRPr="00000000" w14:paraId="00000006">
      <w:pPr>
        <w:numPr>
          <w:ilvl w:val="0"/>
          <w:numId w:val="1"/>
        </w:numPr>
        <w:spacing w:after="0" w:afterAutospacing="0"/>
        <w:ind w:left="720" w:hanging="360"/>
        <w:rPr>
          <w:u w:val="none"/>
        </w:rPr>
      </w:pPr>
      <w:r w:rsidDel="00000000" w:rsidR="00000000" w:rsidRPr="00000000">
        <w:rPr>
          <w:rtl w:val="0"/>
        </w:rPr>
        <w:t xml:space="preserve">De archiefonderdelen genoemd in bijlage 3 zijn bewerkt conform dit PvE en de vastgelegde uitvoeringsafspraken en zijn naar het oordeel van het Streekarchivariaat Noordwest- Veluwe (SNWV) in goede, geordende en toegankelijke staat gebracht zoals bedoeld in artikel 3 van de Archiefwet 1995.</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Voor zover aangegeven in bijlage 2, zijn de vernietigingslijsten opgesteld.</w:t>
      </w:r>
    </w:p>
    <w:p w:rsidR="00000000" w:rsidDel="00000000" w:rsidP="00000000" w:rsidRDefault="00000000" w:rsidRPr="00000000" w14:paraId="00000008">
      <w:pPr>
        <w:rPr>
          <w:color w:val="0000ff"/>
        </w:rPr>
      </w:pPr>
      <w:r w:rsidDel="00000000" w:rsidR="00000000" w:rsidRPr="00000000">
        <w:rPr>
          <w:color w:val="0000ff"/>
          <w:rtl w:val="0"/>
        </w:rPr>
        <w:t xml:space="preserve">B.</w:t>
        <w:tab/>
        <w:t xml:space="preserve">Eisen archiefbewerking</w:t>
      </w:r>
    </w:p>
    <w:p w:rsidR="00000000" w:rsidDel="00000000" w:rsidP="00000000" w:rsidRDefault="00000000" w:rsidRPr="00000000" w14:paraId="00000009">
      <w:pPr>
        <w:rPr>
          <w:color w:val="4a86e8"/>
        </w:rPr>
      </w:pPr>
      <w:r w:rsidDel="00000000" w:rsidR="00000000" w:rsidRPr="00000000">
        <w:rPr>
          <w:color w:val="4a86e8"/>
          <w:rtl w:val="0"/>
        </w:rPr>
        <w:t xml:space="preserve">B.1</w:t>
        <w:tab/>
        <w:t xml:space="preserve">Algemeen</w:t>
      </w:r>
    </w:p>
    <w:p w:rsidR="00000000" w:rsidDel="00000000" w:rsidP="00000000" w:rsidRDefault="00000000" w:rsidRPr="00000000" w14:paraId="0000000A">
      <w:pPr>
        <w:numPr>
          <w:ilvl w:val="0"/>
          <w:numId w:val="1"/>
        </w:numPr>
        <w:spacing w:after="0" w:afterAutospacing="0"/>
        <w:ind w:left="720" w:hanging="360"/>
        <w:rPr/>
      </w:pPr>
      <w:r w:rsidDel="00000000" w:rsidR="00000000" w:rsidRPr="00000000">
        <w:rPr>
          <w:rtl w:val="0"/>
        </w:rPr>
        <w:t xml:space="preserve">Voor start bewerking (van een archiefonderdeel), worden met Meerinzicht en het SNWV afspraken gemaakt over de bewerking, selectie, ontsluiting, de kwaliteitscontroles en de materiële verzorging. De gemaakte afspraken worden schriftelijk vastgelegd en aan alle partijen via e-mail verzonden.</w:t>
      </w:r>
    </w:p>
    <w:p w:rsidR="00000000" w:rsidDel="00000000" w:rsidP="00000000" w:rsidRDefault="00000000" w:rsidRPr="00000000" w14:paraId="0000000B">
      <w:pPr>
        <w:numPr>
          <w:ilvl w:val="0"/>
          <w:numId w:val="1"/>
        </w:numPr>
        <w:spacing w:after="0" w:afterAutospacing="0"/>
        <w:ind w:left="720" w:hanging="360"/>
        <w:rPr>
          <w:u w:val="none"/>
        </w:rPr>
      </w:pPr>
      <w:r w:rsidDel="00000000" w:rsidR="00000000" w:rsidRPr="00000000">
        <w:rPr>
          <w:rtl w:val="0"/>
        </w:rPr>
        <w:t xml:space="preserve">Alle beschrijvingen moeten volledig Nederlandstalig zijn.</w:t>
      </w:r>
    </w:p>
    <w:p w:rsidR="00000000" w:rsidDel="00000000" w:rsidP="00000000" w:rsidRDefault="00000000" w:rsidRPr="00000000" w14:paraId="0000000C">
      <w:pPr>
        <w:numPr>
          <w:ilvl w:val="0"/>
          <w:numId w:val="1"/>
        </w:numPr>
        <w:spacing w:after="0" w:afterAutospacing="0"/>
        <w:ind w:left="720" w:hanging="360"/>
        <w:rPr>
          <w:u w:val="none"/>
        </w:rPr>
      </w:pPr>
      <w:r w:rsidDel="00000000" w:rsidR="00000000" w:rsidRPr="00000000">
        <w:rPr>
          <w:rtl w:val="0"/>
        </w:rPr>
        <w:t xml:space="preserve">Opdrachtnemer neemt alleen kennis van de inhoud van de documenten voor zover noodzakelijk voor de archiefbewerking. Geheimhouding wordt  gegarandeerd en er wordt geen informatie aan derden gedeeld zonder toestemming van Opdrachtgever.  </w:t>
      </w:r>
      <w:r w:rsidDel="00000000" w:rsidR="00000000" w:rsidRPr="00000000">
        <w:rPr>
          <w:highlight w:val="yellow"/>
          <w:rtl w:val="0"/>
        </w:rPr>
        <w:t xml:space="preserve">Verwijzen naar inkoopvoorwaarden</w:t>
      </w:r>
      <w:r w:rsidDel="00000000" w:rsidR="00000000" w:rsidRPr="00000000">
        <w:rPr>
          <w:rtl w:val="0"/>
        </w:rPr>
        <w:t xml:space="preserve">. De bewerking vindt plaats op de locatie van de Opdrachtnemer.</w:t>
      </w:r>
    </w:p>
    <w:p w:rsidR="00000000" w:rsidDel="00000000" w:rsidP="00000000" w:rsidRDefault="00000000" w:rsidRPr="00000000" w14:paraId="0000000D">
      <w:pPr>
        <w:numPr>
          <w:ilvl w:val="0"/>
          <w:numId w:val="1"/>
        </w:numPr>
        <w:spacing w:after="0" w:afterAutospacing="0"/>
        <w:ind w:left="720" w:hanging="360"/>
        <w:rPr>
          <w:u w:val="none"/>
        </w:rPr>
      </w:pPr>
      <w:r w:rsidDel="00000000" w:rsidR="00000000" w:rsidRPr="00000000">
        <w:rPr>
          <w:rtl w:val="0"/>
        </w:rPr>
        <w:t xml:space="preserve">In de werkruimte wordt een clean desk policy gehanteerd. Dit houdt in dat na beëindiging van de werkdag er geen dossiers en/of archiefbescheiden in de werkruimte achterblijven.</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De werkzaamheden met de vermelding  “Extern” genoemd in bijlage 2, worden door de Opdrachtnemer uitgevoerd.</w:t>
      </w:r>
    </w:p>
    <w:p w:rsidR="00000000" w:rsidDel="00000000" w:rsidP="00000000" w:rsidRDefault="00000000" w:rsidRPr="00000000" w14:paraId="0000000F">
      <w:pPr>
        <w:rPr>
          <w:color w:val="4a86e8"/>
        </w:rPr>
      </w:pPr>
      <w:r w:rsidDel="00000000" w:rsidR="00000000" w:rsidRPr="00000000">
        <w:rPr>
          <w:color w:val="4a86e8"/>
          <w:rtl w:val="0"/>
        </w:rPr>
        <w:t xml:space="preserve">B.2.</w:t>
        <w:tab/>
        <w:t xml:space="preserve">Normenkader</w:t>
      </w:r>
    </w:p>
    <w:p w:rsidR="00000000" w:rsidDel="00000000" w:rsidP="00000000" w:rsidRDefault="00000000" w:rsidRPr="00000000" w14:paraId="00000010">
      <w:pPr>
        <w:numPr>
          <w:ilvl w:val="0"/>
          <w:numId w:val="1"/>
        </w:numPr>
        <w:spacing w:after="0" w:afterAutospacing="0"/>
        <w:ind w:left="720" w:hanging="360"/>
        <w:rPr>
          <w:u w:val="none"/>
        </w:rPr>
      </w:pPr>
      <w:r w:rsidDel="00000000" w:rsidR="00000000" w:rsidRPr="00000000">
        <w:rPr>
          <w:rtl w:val="0"/>
        </w:rPr>
        <w:t xml:space="preserve">De Opdrachtnemer conformeert zich aan de door het SNWV opgestelde normen voor de materiële staat, ordening en toegankelijkheid van de permanent te bewaren archiefbescheiden op papieren dragers. “Aanvullende” eisen  opgenomen in onderdeel B.  vervangen indien relevant, de eisen genoemd in het document van het SNWV.</w:t>
      </w:r>
    </w:p>
    <w:p w:rsidR="00000000" w:rsidDel="00000000" w:rsidP="00000000" w:rsidRDefault="00000000" w:rsidRPr="00000000" w14:paraId="00000011">
      <w:pPr>
        <w:numPr>
          <w:ilvl w:val="0"/>
          <w:numId w:val="1"/>
        </w:numPr>
        <w:spacing w:after="0" w:afterAutospacing="0"/>
        <w:ind w:left="720" w:hanging="360"/>
        <w:rPr>
          <w:u w:val="none"/>
        </w:rPr>
      </w:pPr>
      <w:r w:rsidDel="00000000" w:rsidR="00000000" w:rsidRPr="00000000">
        <w:rPr>
          <w:rtl w:val="0"/>
        </w:rPr>
        <w:t xml:space="preserve">Op de te bewerken archiefonderdelen vindt selectie op microniveau plaats. Alle (op termijn) te vernietigen archiefbescheiden worden uit de dossiers verwijderd.</w:t>
      </w: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highlight w:val="white"/>
          <w:rtl w:val="0"/>
        </w:rPr>
        <w:t xml:space="preserve">De Opdrachtnemer dient aan te geven of een dossier op grond van paragraaf 1.4 van de Selectielijst moet worden uitgezonderd van vernietiging en doet hiertoe een voorstel bij het SNWV.</w:t>
      </w:r>
    </w:p>
    <w:p w:rsidR="00000000" w:rsidDel="00000000" w:rsidP="00000000" w:rsidRDefault="00000000" w:rsidRPr="00000000" w14:paraId="00000013">
      <w:pPr>
        <w:rPr>
          <w:color w:val="4a86e8"/>
        </w:rPr>
      </w:pPr>
      <w:r w:rsidDel="00000000" w:rsidR="00000000" w:rsidRPr="00000000">
        <w:rPr>
          <w:color w:val="4a86e8"/>
          <w:rtl w:val="0"/>
        </w:rPr>
        <w:t xml:space="preserve">B.3.</w:t>
        <w:tab/>
        <w:t xml:space="preserve">Ontsluiting</w:t>
      </w:r>
    </w:p>
    <w:p w:rsidR="00000000" w:rsidDel="00000000" w:rsidP="00000000" w:rsidRDefault="00000000" w:rsidRPr="00000000" w14:paraId="00000014">
      <w:pPr>
        <w:numPr>
          <w:ilvl w:val="0"/>
          <w:numId w:val="1"/>
        </w:numPr>
        <w:spacing w:after="0" w:afterAutospacing="0"/>
        <w:ind w:left="720" w:hanging="360"/>
        <w:rPr>
          <w:u w:val="none"/>
        </w:rPr>
      </w:pPr>
      <w:r w:rsidDel="00000000" w:rsidR="00000000" w:rsidRPr="00000000">
        <w:rPr>
          <w:rtl w:val="0"/>
        </w:rPr>
        <w:t xml:space="preserve">De  toegangen voor de bestuursarchieven worden opgesteld in Mais-Flexis.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De toegangen voor de overige archieven worden opgesteld in Excel volgens een door het SNWV vastgesteld format.</w:t>
      </w:r>
    </w:p>
    <w:p w:rsidR="00000000" w:rsidDel="00000000" w:rsidP="00000000" w:rsidRDefault="00000000" w:rsidRPr="00000000" w14:paraId="00000016">
      <w:pPr>
        <w:rPr>
          <w:color w:val="4a86e8"/>
        </w:rPr>
      </w:pPr>
      <w:r w:rsidDel="00000000" w:rsidR="00000000" w:rsidRPr="00000000">
        <w:rPr>
          <w:color w:val="4a86e8"/>
          <w:rtl w:val="0"/>
        </w:rPr>
        <w:t xml:space="preserve">B.4.</w:t>
        <w:tab/>
        <w:t xml:space="preserve">Materiële verzorging.</w:t>
      </w:r>
    </w:p>
    <w:p w:rsidR="00000000" w:rsidDel="00000000" w:rsidP="00000000" w:rsidRDefault="00000000" w:rsidRPr="00000000" w14:paraId="00000017">
      <w:pPr>
        <w:numPr>
          <w:ilvl w:val="0"/>
          <w:numId w:val="1"/>
        </w:numPr>
        <w:spacing w:after="0" w:afterAutospacing="0"/>
        <w:ind w:left="720" w:hanging="360"/>
        <w:rPr>
          <w:u w:val="none"/>
        </w:rPr>
      </w:pPr>
      <w:r w:rsidDel="00000000" w:rsidR="00000000" w:rsidRPr="00000000">
        <w:rPr>
          <w:rtl w:val="0"/>
        </w:rPr>
        <w:t xml:space="preserve">De documenten worden onthecht per beschreven eenheid verpakt in zuurvrije omslagen en geplaatst in zuurvrije archiefdozen. De omslagen en archiefdozen worden ter beschikking gesteld.</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Alle omslagen dikker dan vijf centimeter, worden dichtgebonden met een keperband.</w:t>
      </w:r>
    </w:p>
    <w:p w:rsidR="00000000" w:rsidDel="00000000" w:rsidP="00000000" w:rsidRDefault="00000000" w:rsidRPr="00000000" w14:paraId="00000019">
      <w:pPr>
        <w:ind w:left="0" w:firstLine="0"/>
        <w:rPr>
          <w:color w:val="0000ff"/>
          <w:highlight w:val="white"/>
        </w:rPr>
      </w:pPr>
      <w:r w:rsidDel="00000000" w:rsidR="00000000" w:rsidRPr="00000000">
        <w:rPr>
          <w:color w:val="0000ff"/>
          <w:highlight w:val="white"/>
          <w:rtl w:val="0"/>
        </w:rPr>
        <w:t xml:space="preserve">C.</w:t>
        <w:tab/>
        <w:t xml:space="preserve">Personeel</w:t>
      </w:r>
    </w:p>
    <w:p w:rsidR="00000000" w:rsidDel="00000000" w:rsidP="00000000" w:rsidRDefault="00000000" w:rsidRPr="00000000" w14:paraId="0000001A">
      <w:pPr>
        <w:numPr>
          <w:ilvl w:val="0"/>
          <w:numId w:val="1"/>
        </w:numPr>
        <w:spacing w:after="0" w:afterAutospacing="0"/>
        <w:ind w:left="720" w:hanging="360"/>
        <w:rPr>
          <w:u w:val="none"/>
        </w:rPr>
      </w:pPr>
      <w:r w:rsidDel="00000000" w:rsidR="00000000" w:rsidRPr="00000000">
        <w:rPr>
          <w:rtl w:val="0"/>
        </w:rPr>
        <w:t xml:space="preserve">Meerinzicht en het SNWV hebben 1 aanspreekpunt bij de Opdrachtnemer.</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De in te zetten menskracht van de Opdrachtnemer voldoet aan de opleidings- en ervaringseisen zoals genoemd in </w:t>
      </w:r>
      <w:r w:rsidDel="00000000" w:rsidR="00000000" w:rsidRPr="00000000">
        <w:rPr>
          <w:highlight w:val="white"/>
          <w:rtl w:val="0"/>
        </w:rPr>
        <w:t xml:space="preserve">bijlage 4.</w:t>
      </w:r>
    </w:p>
    <w:p w:rsidR="00000000" w:rsidDel="00000000" w:rsidP="00000000" w:rsidRDefault="00000000" w:rsidRPr="00000000" w14:paraId="0000001C">
      <w:pPr>
        <w:rPr>
          <w:color w:val="0000ff"/>
          <w:sz w:val="24"/>
          <w:szCs w:val="24"/>
          <w:highlight w:val="white"/>
        </w:rPr>
      </w:pPr>
      <w:r w:rsidDel="00000000" w:rsidR="00000000" w:rsidRPr="00000000">
        <w:rPr>
          <w:color w:val="0000ff"/>
          <w:sz w:val="24"/>
          <w:szCs w:val="24"/>
          <w:highlight w:val="white"/>
          <w:rtl w:val="0"/>
        </w:rPr>
        <w:t xml:space="preserve">Gunningscriteria</w:t>
      </w:r>
    </w:p>
    <w:p w:rsidR="00000000" w:rsidDel="00000000" w:rsidP="00000000" w:rsidRDefault="00000000" w:rsidRPr="00000000" w14:paraId="0000001D">
      <w:pPr>
        <w:ind w:left="0" w:firstLine="0"/>
        <w:rPr>
          <w:color w:val="4a86e8"/>
          <w:highlight w:val="white"/>
        </w:rPr>
      </w:pPr>
      <w:r w:rsidDel="00000000" w:rsidR="00000000" w:rsidRPr="00000000">
        <w:rPr>
          <w:color w:val="4a86e8"/>
          <w:highlight w:val="white"/>
          <w:rtl w:val="0"/>
        </w:rPr>
        <w:t xml:space="preserve">1.</w:t>
        <w:tab/>
        <w:t xml:space="preserve">Plan van aanpak </w:t>
      </w:r>
    </w:p>
    <w:p w:rsidR="00000000" w:rsidDel="00000000" w:rsidP="00000000" w:rsidRDefault="00000000" w:rsidRPr="00000000" w14:paraId="0000001E">
      <w:pPr>
        <w:ind w:left="720" w:firstLine="0"/>
        <w:rPr>
          <w:highlight w:val="white"/>
        </w:rPr>
      </w:pPr>
      <w:r w:rsidDel="00000000" w:rsidR="00000000" w:rsidRPr="00000000">
        <w:rPr>
          <w:highlight w:val="white"/>
          <w:rtl w:val="0"/>
        </w:rPr>
        <w:t xml:space="preserve">Inschrijver dient aan te geven op welke wijze hij de kwaliteit bewaakt en welke waarborgen hij treft dat de door de Opdrachtgever gewenste resultaten worden gerealiseerd. Inschrijver dient hierbij in te gaan op de volgende onderdelen: </w:t>
      </w:r>
    </w:p>
    <w:p w:rsidR="00000000" w:rsidDel="00000000" w:rsidP="00000000" w:rsidRDefault="00000000" w:rsidRPr="00000000" w14:paraId="0000001F">
      <w:pPr>
        <w:spacing w:after="0" w:lineRule="auto"/>
        <w:ind w:left="1417.3228346456694" w:hanging="708.6614173228347"/>
        <w:rPr>
          <w:highlight w:val="white"/>
        </w:rPr>
      </w:pPr>
      <w:r w:rsidDel="00000000" w:rsidR="00000000" w:rsidRPr="00000000">
        <w:rPr>
          <w:highlight w:val="white"/>
          <w:rtl w:val="0"/>
        </w:rPr>
        <w:t xml:space="preserve">a.</w:t>
        <w:tab/>
        <w:t xml:space="preserve">Een planning dat nodig is om de Opdracht als geheel en de delen ervan te voltooien (en daarmee de einddatum te halen). </w:t>
      </w:r>
    </w:p>
    <w:p w:rsidR="00000000" w:rsidDel="00000000" w:rsidP="00000000" w:rsidRDefault="00000000" w:rsidRPr="00000000" w14:paraId="00000020">
      <w:pPr>
        <w:spacing w:after="0" w:lineRule="auto"/>
        <w:ind w:left="1417.3228346456694" w:hanging="708.6614173228347"/>
        <w:rPr>
          <w:highlight w:val="white"/>
        </w:rPr>
      </w:pPr>
      <w:r w:rsidDel="00000000" w:rsidR="00000000" w:rsidRPr="00000000">
        <w:rPr>
          <w:highlight w:val="white"/>
          <w:rtl w:val="0"/>
        </w:rPr>
        <w:t xml:space="preserve">b.</w:t>
        <w:tab/>
        <w:t xml:space="preserve">Een beschrijving van de kansen en risico’s de Opdracht en de hierbij behorende tegenmaatregelen.</w:t>
      </w:r>
    </w:p>
    <w:p w:rsidR="00000000" w:rsidDel="00000000" w:rsidP="00000000" w:rsidRDefault="00000000" w:rsidRPr="00000000" w14:paraId="00000021">
      <w:pPr>
        <w:spacing w:after="0" w:lineRule="auto"/>
        <w:ind w:left="1417.3228346456694" w:hanging="708.6614173228347"/>
        <w:rPr>
          <w:highlight w:val="white"/>
        </w:rPr>
      </w:pPr>
      <w:r w:rsidDel="00000000" w:rsidR="00000000" w:rsidRPr="00000000">
        <w:rPr>
          <w:highlight w:val="white"/>
          <w:rtl w:val="0"/>
        </w:rPr>
        <w:t xml:space="preserve">c.</w:t>
        <w:tab/>
        <w:t xml:space="preserve">Hoe u zelfstandig te werk gaat en ervoor zorgt dat de Opdrachtgever wordt ontzorgd.</w:t>
      </w:r>
    </w:p>
    <w:p w:rsidR="00000000" w:rsidDel="00000000" w:rsidP="00000000" w:rsidRDefault="00000000" w:rsidRPr="00000000" w14:paraId="00000022">
      <w:pPr>
        <w:ind w:left="1417.3228346456694" w:hanging="708.6614173228347"/>
        <w:rPr>
          <w:highlight w:val="white"/>
        </w:rPr>
      </w:pPr>
      <w:r w:rsidDel="00000000" w:rsidR="00000000" w:rsidRPr="00000000">
        <w:rPr>
          <w:highlight w:val="white"/>
          <w:rtl w:val="0"/>
        </w:rPr>
        <w:t xml:space="preserve">d.</w:t>
        <w:tab/>
        <w:t xml:space="preserve">In welke mate en op welke wijze afstemmingsmomenten met de Opdrachtgever plaatsvinden.</w:t>
      </w:r>
    </w:p>
    <w:p w:rsidR="00000000" w:rsidDel="00000000" w:rsidP="00000000" w:rsidRDefault="00000000" w:rsidRPr="00000000" w14:paraId="00000023">
      <w:pPr>
        <w:ind w:left="0" w:firstLine="0"/>
        <w:rPr>
          <w:color w:val="4a86e8"/>
          <w:highlight w:val="white"/>
        </w:rPr>
      </w:pPr>
      <w:r w:rsidDel="00000000" w:rsidR="00000000" w:rsidRPr="00000000">
        <w:rPr>
          <w:color w:val="4a86e8"/>
          <w:highlight w:val="white"/>
          <w:rtl w:val="0"/>
        </w:rPr>
        <w:t xml:space="preserve">2.</w:t>
        <w:tab/>
        <w:t xml:space="preserve">Prijs per strekkende meter archief</w:t>
      </w:r>
    </w:p>
    <w:p w:rsidR="00000000" w:rsidDel="00000000" w:rsidP="00000000" w:rsidRDefault="00000000" w:rsidRPr="00000000" w14:paraId="00000024">
      <w:pPr>
        <w:ind w:left="708.6614173228347" w:firstLine="0"/>
        <w:rPr>
          <w:i w:val="1"/>
          <w:highlight w:val="white"/>
        </w:rPr>
      </w:pPr>
      <w:r w:rsidDel="00000000" w:rsidR="00000000" w:rsidRPr="00000000">
        <w:rPr>
          <w:highlight w:val="white"/>
          <w:rtl w:val="0"/>
        </w:rPr>
        <w:t xml:space="preserve">Inschrijver biedt een maximale prijs aan voor de dienstverlening omtrent de bewerking van een strekkende meter archief per archiefonderdeel  aan. Hiervoor maakt u gebruik van de prijsbijlage.</w:t>
      </w:r>
      <w:r w:rsidDel="00000000" w:rsidR="00000000" w:rsidRPr="00000000">
        <w:rPr>
          <w:i w:val="1"/>
          <w:highlight w:val="white"/>
          <w:rtl w:val="0"/>
        </w:rPr>
        <w:t xml:space="preserve"> Noot: wordt later toegevoegd en bevat aparte regels voor losse documenten, de categorie ongesorteerd, en gevormde dossiers.</w:t>
      </w:r>
    </w:p>
    <w:p w:rsidR="00000000" w:rsidDel="00000000" w:rsidP="00000000" w:rsidRDefault="00000000" w:rsidRPr="00000000" w14:paraId="00000025">
      <w:pPr>
        <w:pStyle w:val="Heading5"/>
        <w:ind w:left="708.6614173228347" w:firstLine="0"/>
        <w:rPr>
          <w:b w:val="0"/>
        </w:rPr>
      </w:pPr>
      <w:bookmarkStart w:colFirst="0" w:colLast="0" w:name="_heading=h.yoi9kghmjit9" w:id="0"/>
      <w:bookmarkEnd w:id="0"/>
      <w:r w:rsidDel="00000000" w:rsidR="00000000" w:rsidRPr="00000000">
        <w:rPr>
          <w:b w:val="0"/>
          <w:rtl w:val="0"/>
        </w:rPr>
        <w:t xml:space="preserve">De prijs is “all-in” in € en is exclusief BTW. Niet aangeboden kosten komen niet voor vergoeding in aanmerking</w:t>
      </w:r>
    </w:p>
    <w:p w:rsidR="00000000" w:rsidDel="00000000" w:rsidP="00000000" w:rsidRDefault="00000000" w:rsidRPr="00000000" w14:paraId="00000026">
      <w:pPr>
        <w:ind w:left="1417.3228346456694" w:hanging="708.6614173228347"/>
        <w:rPr>
          <w:highlight w:val="white"/>
        </w:rPr>
      </w:pPr>
      <w:r w:rsidDel="00000000" w:rsidR="00000000" w:rsidRPr="00000000">
        <w:rPr>
          <w:rtl w:val="0"/>
        </w:rPr>
      </w:r>
    </w:p>
    <w:p w:rsidR="00000000" w:rsidDel="00000000" w:rsidP="00000000" w:rsidRDefault="00000000" w:rsidRPr="00000000" w14:paraId="00000027">
      <w:pPr>
        <w:ind w:left="720" w:firstLine="0"/>
        <w:rPr>
          <w:highlight w:val="white"/>
        </w:rPr>
      </w:pPr>
      <w:r w:rsidDel="00000000" w:rsidR="00000000" w:rsidRPr="00000000">
        <w:rPr>
          <w:rtl w:val="0"/>
        </w:rPr>
      </w:r>
    </w:p>
    <w:p w:rsidR="00000000" w:rsidDel="00000000" w:rsidP="00000000" w:rsidRDefault="00000000" w:rsidRPr="00000000" w14:paraId="00000028">
      <w:pPr>
        <w:rPr>
          <w:highlight w:val="white"/>
        </w:rPr>
      </w:pPr>
      <w:r w:rsidDel="00000000" w:rsidR="00000000" w:rsidRPr="00000000">
        <w:rPr>
          <w:rtl w:val="0"/>
        </w:rPr>
      </w:r>
    </w:p>
    <w:p w:rsidR="00000000" w:rsidDel="00000000" w:rsidP="00000000" w:rsidRDefault="00000000" w:rsidRPr="00000000" w14:paraId="00000029">
      <w:pPr>
        <w:rPr>
          <w:highlight w:val="white"/>
        </w:rPr>
      </w:pPr>
      <w:r w:rsidDel="00000000" w:rsidR="00000000" w:rsidRPr="00000000">
        <w:rPr>
          <w:rtl w:val="0"/>
        </w:rPr>
      </w:r>
    </w:p>
    <w:p w:rsidR="00000000" w:rsidDel="00000000" w:rsidP="00000000" w:rsidRDefault="00000000" w:rsidRPr="00000000" w14:paraId="0000002A">
      <w:pPr>
        <w:rPr>
          <w:highlight w:val="white"/>
        </w:rPr>
      </w:pPr>
      <w:r w:rsidDel="00000000" w:rsidR="00000000" w:rsidRPr="00000000">
        <w:rPr>
          <w:rtl w:val="0"/>
        </w:rPr>
      </w:r>
    </w:p>
    <w:p w:rsidR="00000000" w:rsidDel="00000000" w:rsidP="00000000" w:rsidRDefault="00000000" w:rsidRPr="00000000" w14:paraId="0000002B">
      <w:pPr>
        <w:rPr>
          <w:color w:val="0000ff"/>
        </w:rPr>
      </w:pPr>
      <w:r w:rsidDel="00000000" w:rsidR="00000000" w:rsidRPr="00000000">
        <w:rPr>
          <w:color w:val="0000ff"/>
          <w:rtl w:val="0"/>
        </w:rPr>
        <w:t xml:space="preserve">Bijlagen:</w:t>
      </w:r>
    </w:p>
    <w:p w:rsidR="00000000" w:rsidDel="00000000" w:rsidP="00000000" w:rsidRDefault="00000000" w:rsidRPr="00000000" w14:paraId="0000002C">
      <w:pPr>
        <w:rPr/>
      </w:pPr>
      <w:r w:rsidDel="00000000" w:rsidR="00000000" w:rsidRPr="00000000">
        <w:rPr>
          <w:rtl w:val="0"/>
        </w:rPr>
        <w:t xml:space="preserve">2.</w:t>
        <w:tab/>
        <w:t xml:space="preserve">Bijzonder- en werkzaamheden per archiefonderdeel</w:t>
      </w:r>
    </w:p>
    <w:p w:rsidR="00000000" w:rsidDel="00000000" w:rsidP="00000000" w:rsidRDefault="00000000" w:rsidRPr="00000000" w14:paraId="0000002D">
      <w:pPr>
        <w:rPr/>
      </w:pPr>
      <w:r w:rsidDel="00000000" w:rsidR="00000000" w:rsidRPr="00000000">
        <w:rPr>
          <w:rtl w:val="0"/>
        </w:rPr>
        <w:t xml:space="preserve">3.</w:t>
        <w:tab/>
        <w:t xml:space="preserve">Planning bewerken archiefonderdelen</w:t>
      </w:r>
    </w:p>
    <w:p w:rsidR="00000000" w:rsidDel="00000000" w:rsidP="00000000" w:rsidRDefault="00000000" w:rsidRPr="00000000" w14:paraId="0000002E">
      <w:pPr>
        <w:rPr/>
      </w:pPr>
      <w:r w:rsidDel="00000000" w:rsidR="00000000" w:rsidRPr="00000000">
        <w:rPr>
          <w:rtl w:val="0"/>
        </w:rPr>
        <w:t xml:space="preserve">4.</w:t>
        <w:tab/>
        <w:t xml:space="preserve">Opleidings- en ervaringseisen</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3ZlLrbYkhE+eHA16oNyi5oFUMw==">AMUW2mVeDmSQk/FW+QcBc3Y0IRCNW3xuZ8utGY2H6mZQc8cFCTDR6zVaPwYLmTNdRZRp85BvvVT1pTZxQjTK73mUsaVlOWdGVdek7+h03y0MUUiTbo1CMEjjm/0OH/aVpmFJDziqlMig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2021-12-15T14:30:00Z</dcterms:created>
  <dc:creator>Brons, Bert</dc:creator>
</cp:coreProperties>
</file>