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0FD16" w14:textId="77777777" w:rsidR="00CE5BEC" w:rsidRPr="007C10AF" w:rsidRDefault="00CE5BEC" w:rsidP="00CE5BEC">
      <w:pPr>
        <w:pStyle w:val="Heading8"/>
      </w:pPr>
      <w:r w:rsidRPr="007C10AF">
        <w:t>Bijlage: protocol Onderhandelingen</w:t>
      </w:r>
    </w:p>
    <w:p w14:paraId="6BEA0FCE" w14:textId="77777777" w:rsidR="00CE5BEC" w:rsidRPr="007C10AF" w:rsidRDefault="00CE5BEC" w:rsidP="00CE5BEC"/>
    <w:p w14:paraId="0D6D315F" w14:textId="77777777" w:rsidR="00CE5BEC" w:rsidRPr="007C10AF" w:rsidRDefault="00CE5BEC" w:rsidP="00CE5BEC"/>
    <w:p w14:paraId="310BD3C4" w14:textId="77777777" w:rsidR="00CE5BEC" w:rsidRPr="007C10AF" w:rsidRDefault="00CE5BEC" w:rsidP="00CE5BEC">
      <w:pPr>
        <w:suppressAutoHyphens w:val="0"/>
        <w:spacing w:line="240" w:lineRule="auto"/>
      </w:pPr>
      <w:r w:rsidRPr="007C10AF">
        <w:br w:type="page"/>
      </w:r>
    </w:p>
    <w:p w14:paraId="456CFE54" w14:textId="77777777" w:rsidR="00CE5BEC" w:rsidRPr="00CE5BEC" w:rsidRDefault="00CE5BEC" w:rsidP="00CE5BEC">
      <w:pPr>
        <w:keepNext/>
        <w:keepLines/>
        <w:numPr>
          <w:ilvl w:val="3"/>
          <w:numId w:val="0"/>
        </w:numPr>
        <w:tabs>
          <w:tab w:val="num" w:pos="0"/>
        </w:tabs>
        <w:outlineLvl w:val="3"/>
        <w:rPr>
          <w:rFonts w:ascii="Segoe UI Semibold" w:hAnsi="Segoe UI Semibold"/>
          <w:color w:val="005D76"/>
          <w:szCs w:val="20"/>
        </w:rPr>
      </w:pPr>
      <w:r w:rsidRPr="00CE5BEC">
        <w:rPr>
          <w:rFonts w:ascii="Segoe UI Semibold" w:hAnsi="Segoe UI Semibold"/>
          <w:color w:val="005D76"/>
          <w:szCs w:val="20"/>
        </w:rPr>
        <w:lastRenderedPageBreak/>
        <w:t>Protocol Onderhandelingen</w:t>
      </w:r>
    </w:p>
    <w:p w14:paraId="0165B011" w14:textId="77777777" w:rsidR="00CE5BEC" w:rsidRPr="00CE5BEC" w:rsidRDefault="00CE5BEC" w:rsidP="00CE5BEC">
      <w:pPr>
        <w:spacing w:line="240" w:lineRule="auto"/>
        <w:rPr>
          <w:rFonts w:cs="Arial"/>
          <w:szCs w:val="20"/>
        </w:rPr>
      </w:pPr>
    </w:p>
    <w:p w14:paraId="35201D98" w14:textId="77777777" w:rsidR="00CE5BEC" w:rsidRPr="00CE5BEC" w:rsidRDefault="00CE5BEC" w:rsidP="00CE5BEC">
      <w:pPr>
        <w:spacing w:line="240" w:lineRule="auto"/>
        <w:rPr>
          <w:rFonts w:cs="Segoe UI"/>
          <w:szCs w:val="18"/>
        </w:rPr>
      </w:pPr>
      <w:r w:rsidRPr="00CE5BEC">
        <w:rPr>
          <w:rFonts w:cs="Segoe UI"/>
          <w:szCs w:val="18"/>
        </w:rPr>
        <w:t xml:space="preserve">Protocol </w:t>
      </w:r>
      <w:bookmarkStart w:id="0" w:name="_Hlk85546539"/>
      <w:r w:rsidRPr="00CE5BEC">
        <w:rPr>
          <w:rFonts w:cs="Segoe UI"/>
          <w:szCs w:val="18"/>
        </w:rPr>
        <w:t>Onderhandelingen</w:t>
      </w:r>
      <w:bookmarkEnd w:id="0"/>
      <w:r w:rsidRPr="00CE5BEC">
        <w:rPr>
          <w:rFonts w:cs="Segoe UI"/>
          <w:szCs w:val="18"/>
        </w:rPr>
        <w:t xml:space="preserve"> tussen </w:t>
      </w:r>
      <w:proofErr w:type="spellStart"/>
      <w:r w:rsidRPr="00CE5BEC">
        <w:rPr>
          <w:rFonts w:cs="Segoe UI"/>
          <w:szCs w:val="18"/>
        </w:rPr>
        <w:t>AEB</w:t>
      </w:r>
      <w:proofErr w:type="spellEnd"/>
      <w:r w:rsidRPr="00CE5BEC">
        <w:rPr>
          <w:rFonts w:cs="Segoe UI"/>
          <w:szCs w:val="18"/>
        </w:rPr>
        <w:t xml:space="preserve"> Exploitatie bv en [naam inschrijver] (in het vervolg ‘partijen’ genaamd) ten behoeve van de aanbesteding </w:t>
      </w:r>
      <w:r w:rsidRPr="00CE5BEC">
        <w:t xml:space="preserve">van </w:t>
      </w:r>
      <w:r w:rsidRPr="00CE5BEC">
        <w:rPr>
          <w:rFonts w:cs="Segoe UI"/>
        </w:rPr>
        <w:t xml:space="preserve">project </w:t>
      </w:r>
      <w:r w:rsidRPr="00CE5BEC">
        <w:t>Transport en opslag van CO2</w:t>
      </w:r>
      <w:r w:rsidRPr="00CE5BEC">
        <w:rPr>
          <w:rFonts w:cs="Segoe UI"/>
        </w:rPr>
        <w:t xml:space="preserve"> met projectcode 126238.</w:t>
      </w:r>
    </w:p>
    <w:p w14:paraId="2C1C2A83" w14:textId="77777777" w:rsidR="00CE5BEC" w:rsidRPr="00CE5BEC" w:rsidRDefault="00CE5BEC" w:rsidP="00CE5BEC">
      <w:pPr>
        <w:rPr>
          <w:rFonts w:cs="Segoe UI"/>
          <w:szCs w:val="18"/>
        </w:rPr>
      </w:pPr>
    </w:p>
    <w:p w14:paraId="4F979DD9" w14:textId="77777777" w:rsidR="00CE5BEC" w:rsidRPr="00CE5BEC" w:rsidRDefault="00CE5BEC" w:rsidP="00CE5BEC">
      <w:pPr>
        <w:numPr>
          <w:ilvl w:val="0"/>
          <w:numId w:val="39"/>
        </w:numPr>
        <w:suppressAutoHyphens w:val="0"/>
        <w:spacing w:line="240" w:lineRule="auto"/>
        <w:rPr>
          <w:rFonts w:ascii="Segoe UI Semibold" w:eastAsia="Calibri" w:hAnsi="Segoe UI Semibold" w:cs="Segoe UI"/>
          <w:color w:val="005D76"/>
          <w:szCs w:val="18"/>
          <w:lang w:eastAsia="en-US"/>
        </w:rPr>
      </w:pPr>
      <w:r w:rsidRPr="00CE5BEC">
        <w:rPr>
          <w:rFonts w:ascii="Segoe UI Semibold" w:eastAsia="Calibri" w:hAnsi="Segoe UI Semibold" w:cs="Segoe UI"/>
          <w:color w:val="005D76"/>
          <w:szCs w:val="18"/>
          <w:lang w:eastAsia="en-US"/>
        </w:rPr>
        <w:t>Algemeen</w:t>
      </w:r>
    </w:p>
    <w:p w14:paraId="068F5D26" w14:textId="6FB1C828"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partijen zijn zich ten aanzien van de onderhandelingen</w:t>
      </w:r>
      <w:r w:rsidR="00B04B09">
        <w:rPr>
          <w:rFonts w:eastAsia="Calibri" w:cs="Segoe UI"/>
          <w:szCs w:val="18"/>
          <w:lang w:eastAsia="en-US"/>
        </w:rPr>
        <w:t xml:space="preserve"> </w:t>
      </w:r>
      <w:r w:rsidRPr="00CE5BEC">
        <w:rPr>
          <w:rFonts w:eastAsia="Calibri" w:cs="Segoe UI"/>
          <w:szCs w:val="18"/>
          <w:lang w:eastAsia="en-US"/>
        </w:rPr>
        <w:t>terdege bewust van het belang van de basisbeginselen van het aanbestedingsrecht en het kader dat deze beginselen vormen voor deze onderhandelingen, te noemen objectiviteit, gelijkheid, transparantie en proportionaliteit, en zien beide toe op naleving van deze basisbeginselen;</w:t>
      </w:r>
    </w:p>
    <w:p w14:paraId="44F5255D" w14:textId="6D381518"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partijen zijn zich bewust van het spanningsveld dat er heerst tussen het proces van onderhandelingen en de vereiste transparantie en </w:t>
      </w:r>
      <w:proofErr w:type="spellStart"/>
      <w:r w:rsidRPr="00CE5BEC">
        <w:rPr>
          <w:rFonts w:eastAsia="Calibri" w:cs="Segoe UI"/>
          <w:szCs w:val="18"/>
          <w:lang w:eastAsia="en-US"/>
        </w:rPr>
        <w:t>toetsbaarheid</w:t>
      </w:r>
      <w:proofErr w:type="spellEnd"/>
      <w:r w:rsidRPr="00CE5BEC">
        <w:rPr>
          <w:rFonts w:eastAsia="Calibri" w:cs="Segoe UI"/>
          <w:szCs w:val="18"/>
          <w:lang w:eastAsia="en-US"/>
        </w:rPr>
        <w:t xml:space="preserve"> van die onderhandelingen</w:t>
      </w:r>
      <w:r w:rsidR="00B04B09">
        <w:rPr>
          <w:rFonts w:eastAsia="Calibri" w:cs="Segoe UI"/>
          <w:szCs w:val="18"/>
          <w:lang w:eastAsia="en-US"/>
        </w:rPr>
        <w:t xml:space="preserve"> </w:t>
      </w:r>
      <w:r w:rsidRPr="00CE5BEC">
        <w:rPr>
          <w:rFonts w:eastAsia="Calibri" w:cs="Segoe UI"/>
          <w:szCs w:val="18"/>
          <w:lang w:eastAsia="en-US"/>
        </w:rPr>
        <w:t>voor de overige inschrijvers, ten opzichte van het vertrouwelijke karakter van de onderhandelingen</w:t>
      </w:r>
      <w:r w:rsidR="00B04B09">
        <w:rPr>
          <w:rFonts w:eastAsia="Calibri" w:cs="Segoe UI"/>
          <w:szCs w:val="18"/>
          <w:lang w:eastAsia="en-US"/>
        </w:rPr>
        <w:t xml:space="preserve"> </w:t>
      </w:r>
      <w:r w:rsidRPr="00CE5BEC">
        <w:rPr>
          <w:rFonts w:eastAsia="Calibri" w:cs="Segoe UI"/>
          <w:szCs w:val="18"/>
          <w:lang w:eastAsia="en-US"/>
        </w:rPr>
        <w:t>dat gewaarborgd dient te blijven.</w:t>
      </w:r>
    </w:p>
    <w:p w14:paraId="0BA74139" w14:textId="77777777" w:rsidR="00CE5BEC" w:rsidRPr="00CE5BEC" w:rsidRDefault="00CE5BEC" w:rsidP="00CE5BEC">
      <w:pPr>
        <w:suppressAutoHyphens w:val="0"/>
        <w:spacing w:line="240" w:lineRule="auto"/>
        <w:rPr>
          <w:rFonts w:eastAsia="Calibri" w:cs="Segoe UI"/>
          <w:szCs w:val="18"/>
          <w:lang w:eastAsia="en-US"/>
        </w:rPr>
      </w:pPr>
    </w:p>
    <w:p w14:paraId="2A7DD26B" w14:textId="77777777" w:rsidR="00CE5BEC" w:rsidRPr="00CE5BEC" w:rsidRDefault="00CE5BEC" w:rsidP="00CE5BEC">
      <w:pPr>
        <w:numPr>
          <w:ilvl w:val="0"/>
          <w:numId w:val="39"/>
        </w:numPr>
        <w:suppressAutoHyphens w:val="0"/>
        <w:spacing w:line="240" w:lineRule="auto"/>
        <w:rPr>
          <w:rFonts w:ascii="Segoe UI Semibold" w:eastAsia="Calibri" w:hAnsi="Segoe UI Semibold" w:cs="Segoe UI"/>
          <w:b/>
          <w:color w:val="005D76"/>
          <w:szCs w:val="18"/>
          <w:lang w:eastAsia="en-US"/>
        </w:rPr>
      </w:pPr>
      <w:r w:rsidRPr="00CE5BEC">
        <w:rPr>
          <w:rFonts w:ascii="Segoe UI Semibold" w:eastAsia="Calibri" w:hAnsi="Segoe UI Semibold" w:cs="Segoe UI"/>
          <w:b/>
          <w:color w:val="005D76"/>
          <w:szCs w:val="18"/>
          <w:lang w:eastAsia="en-US"/>
        </w:rPr>
        <w:t>Transparantie en gelijke behandeling</w:t>
      </w:r>
    </w:p>
    <w:p w14:paraId="37FE1AE1" w14:textId="77777777" w:rsidR="00CE5BEC" w:rsidRPr="00CE5BEC" w:rsidRDefault="00CE5BEC" w:rsidP="00CE5BEC">
      <w:pPr>
        <w:suppressAutoHyphens w:val="0"/>
        <w:spacing w:line="240" w:lineRule="auto"/>
        <w:ind w:left="360"/>
        <w:rPr>
          <w:rFonts w:eastAsia="Calibri" w:cs="Segoe UI"/>
          <w:szCs w:val="18"/>
          <w:lang w:eastAsia="en-US"/>
        </w:rPr>
      </w:pPr>
      <w:r w:rsidRPr="00CE5BEC">
        <w:rPr>
          <w:rFonts w:eastAsia="Calibri" w:cs="Segoe UI"/>
          <w:szCs w:val="18"/>
          <w:lang w:eastAsia="en-US"/>
        </w:rPr>
        <w:t>Partijen zien als belangrijke voorwaarde voor het onderhandelingen het transparante karakter van die onderhandelingen en de gelijke behandeling van alle inschrijvers. Dit betekent dat:</w:t>
      </w:r>
    </w:p>
    <w:p w14:paraId="2A59F292" w14:textId="3887D8F8"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de </w:t>
      </w:r>
      <w:r w:rsidR="00B04B09" w:rsidRPr="00CE5BEC">
        <w:rPr>
          <w:rFonts w:eastAsia="Calibri" w:cs="Segoe UI"/>
          <w:szCs w:val="18"/>
          <w:lang w:eastAsia="en-US"/>
        </w:rPr>
        <w:t>onderhandelingen</w:t>
      </w:r>
      <w:r w:rsidRPr="00CE5BEC">
        <w:rPr>
          <w:rFonts w:eastAsia="Calibri" w:cs="Segoe UI"/>
          <w:szCs w:val="18"/>
          <w:lang w:eastAsia="en-US"/>
        </w:rPr>
        <w:t xml:space="preserve"> schriftelijk op hoofdpunten wordt vastgelegd en ondertekend door beide partijen;</w:t>
      </w:r>
    </w:p>
    <w:p w14:paraId="57BB93CB" w14:textId="77777777"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in het verslag een onderscheid wordt gemaakt tussen algemene en individuele informatie;</w:t>
      </w:r>
    </w:p>
    <w:p w14:paraId="5221BAE5" w14:textId="77777777"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de algemene informatie en de wijzigingen van gestelde eisen door de aanbesteder aan alle inschrijvers worden verstrekt;</w:t>
      </w:r>
    </w:p>
    <w:p w14:paraId="730BCF76" w14:textId="77777777" w:rsidR="00CE5BEC" w:rsidRPr="00CE5BEC" w:rsidRDefault="00CE5BEC" w:rsidP="00CE5BEC">
      <w:pPr>
        <w:suppressAutoHyphens w:val="0"/>
        <w:spacing w:line="240" w:lineRule="auto"/>
        <w:rPr>
          <w:rFonts w:eastAsia="Calibri" w:cs="Segoe UI"/>
          <w:szCs w:val="18"/>
          <w:lang w:eastAsia="en-US"/>
        </w:rPr>
      </w:pPr>
    </w:p>
    <w:p w14:paraId="2722CDC4" w14:textId="77777777" w:rsidR="00CE5BEC" w:rsidRPr="00CE5BEC" w:rsidRDefault="00CE5BEC" w:rsidP="00CE5BEC">
      <w:pPr>
        <w:numPr>
          <w:ilvl w:val="0"/>
          <w:numId w:val="39"/>
        </w:numPr>
        <w:suppressAutoHyphens w:val="0"/>
        <w:spacing w:line="240" w:lineRule="auto"/>
        <w:rPr>
          <w:rFonts w:ascii="Segoe UI Semibold" w:eastAsia="Calibri" w:hAnsi="Segoe UI Semibold" w:cs="Segoe UI"/>
          <w:b/>
          <w:color w:val="005D76"/>
          <w:szCs w:val="18"/>
          <w:lang w:eastAsia="en-US"/>
        </w:rPr>
      </w:pPr>
      <w:r w:rsidRPr="00CE5BEC">
        <w:rPr>
          <w:rFonts w:ascii="Segoe UI Semibold" w:eastAsia="Calibri" w:hAnsi="Segoe UI Semibold" w:cs="Segoe UI"/>
          <w:b/>
          <w:color w:val="005D76"/>
          <w:szCs w:val="18"/>
          <w:lang w:eastAsia="en-US"/>
        </w:rPr>
        <w:t>Proces onderhandelingen</w:t>
      </w:r>
    </w:p>
    <w:p w14:paraId="7D3CA141" w14:textId="77777777"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De onderhandelingen moet een optimale afstemming tussen inschrijving en de contractdocumenten mogelijk maken. De onderhandelingen wordt even wel beperkt tot het volgende:</w:t>
      </w:r>
    </w:p>
    <w:p w14:paraId="1A033EA4" w14:textId="77777777" w:rsidR="00CE5BEC" w:rsidRPr="00CE5BEC" w:rsidRDefault="00CE5BEC" w:rsidP="00CE5BEC">
      <w:pPr>
        <w:numPr>
          <w:ilvl w:val="2"/>
          <w:numId w:val="39"/>
        </w:numPr>
        <w:suppressAutoHyphens w:val="0"/>
        <w:spacing w:line="240" w:lineRule="auto"/>
        <w:rPr>
          <w:rFonts w:eastAsia="Calibri" w:cs="Segoe UI"/>
          <w:szCs w:val="18"/>
          <w:lang w:eastAsia="en-US"/>
        </w:rPr>
      </w:pPr>
      <w:r w:rsidRPr="00CE5BEC">
        <w:rPr>
          <w:rFonts w:eastAsia="Calibri" w:cs="Segoe UI"/>
          <w:szCs w:val="18"/>
          <w:lang w:eastAsia="en-US"/>
        </w:rPr>
        <w:t>de prijs;</w:t>
      </w:r>
    </w:p>
    <w:p w14:paraId="0986CF28" w14:textId="77777777" w:rsidR="00CE5BEC" w:rsidRPr="00CE5BEC" w:rsidRDefault="00CE5BEC" w:rsidP="00CE5BEC">
      <w:pPr>
        <w:numPr>
          <w:ilvl w:val="2"/>
          <w:numId w:val="39"/>
        </w:numPr>
        <w:suppressAutoHyphens w:val="0"/>
        <w:spacing w:line="240" w:lineRule="auto"/>
        <w:rPr>
          <w:rFonts w:eastAsia="Calibri" w:cs="Segoe UI"/>
          <w:szCs w:val="18"/>
          <w:lang w:eastAsia="en-US"/>
        </w:rPr>
      </w:pPr>
      <w:r w:rsidRPr="00CE5BEC">
        <w:rPr>
          <w:rFonts w:eastAsia="Calibri" w:cs="Segoe UI"/>
          <w:szCs w:val="18"/>
          <w:lang w:eastAsia="en-US"/>
        </w:rPr>
        <w:t>de interpretatie van de contractdocumenten en de aanbestedingstukken. Een abstracte formulering van de Vraagspecificatie en het stellen van functionele eisen kan met zich meebrengen dat de inschrijver en de aanbesteder de Vraagspecificatie verschillend kunnen interpreteren. Gesignaleerde onduidelijkheden worden door de aanbesteder aan alle inschrijvers kenbaar gemaakt (dit wordt vermeld in het verslag onder algemene informatie);</w:t>
      </w:r>
    </w:p>
    <w:p w14:paraId="13C5E024" w14:textId="77777777" w:rsidR="00CE5BEC" w:rsidRPr="00CE5BEC" w:rsidRDefault="00CE5BEC" w:rsidP="00CE5BEC">
      <w:pPr>
        <w:numPr>
          <w:ilvl w:val="2"/>
          <w:numId w:val="39"/>
        </w:numPr>
        <w:suppressAutoHyphens w:val="0"/>
        <w:spacing w:line="240" w:lineRule="auto"/>
        <w:rPr>
          <w:rFonts w:eastAsia="Calibri" w:cs="Segoe UI"/>
          <w:szCs w:val="18"/>
          <w:lang w:eastAsia="en-US"/>
        </w:rPr>
      </w:pPr>
      <w:r w:rsidRPr="00CE5BEC">
        <w:rPr>
          <w:rFonts w:eastAsia="Calibri" w:cs="Segoe UI"/>
          <w:szCs w:val="18"/>
          <w:lang w:eastAsia="en-US"/>
        </w:rPr>
        <w:t>de (uitvoerings-) condities voor het transport en de opslag;</w:t>
      </w:r>
    </w:p>
    <w:p w14:paraId="293477CE" w14:textId="77777777" w:rsidR="00CE5BEC" w:rsidRPr="00CE5BEC" w:rsidRDefault="00CE5BEC" w:rsidP="00CE5BEC">
      <w:pPr>
        <w:numPr>
          <w:ilvl w:val="2"/>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kenbaar maken van risico’s: </w:t>
      </w:r>
    </w:p>
    <w:p w14:paraId="5CE4F28D" w14:textId="77777777" w:rsidR="00CE5BEC" w:rsidRPr="00CE5BEC" w:rsidRDefault="00CE5BEC" w:rsidP="00CE5BEC">
      <w:pPr>
        <w:numPr>
          <w:ilvl w:val="3"/>
          <w:numId w:val="39"/>
        </w:numPr>
        <w:suppressAutoHyphens w:val="0"/>
        <w:spacing w:line="240" w:lineRule="auto"/>
        <w:rPr>
          <w:rFonts w:eastAsia="Calibri" w:cs="Segoe UI"/>
          <w:szCs w:val="18"/>
          <w:lang w:eastAsia="en-US"/>
        </w:rPr>
      </w:pPr>
      <w:r w:rsidRPr="00CE5BEC">
        <w:rPr>
          <w:rFonts w:eastAsia="Calibri" w:cs="Segoe UI"/>
          <w:szCs w:val="18"/>
          <w:lang w:eastAsia="en-US"/>
        </w:rPr>
        <w:t>benoemen van risico’s ten behoeve van de verdeling van die risico’s. De aanbesteder heeft reeds de risico’s benoemd die voortkomen uit de (risicovolle) interacties tussen de contractdocumenten en omgevingsfactoren in de desbetreffende de contractdocumenten en kenbaar gemaakt aan alle inschrijvers. Eventuele onvolledigheden in deze aan de vraag gerelateerde risico’s moet de inschrijver tijdens de individuele informatie-uitwisseling melden en deze worden door de aanbesteder alsnog aan de andere inschrijvers kenbaar gemaakt (dit wordt vermeld in het verslag onder algemene informatie);</w:t>
      </w:r>
    </w:p>
    <w:p w14:paraId="5639E775" w14:textId="77777777" w:rsidR="00CE5BEC" w:rsidRPr="00CE5BEC" w:rsidRDefault="00CE5BEC" w:rsidP="00CE5BEC">
      <w:pPr>
        <w:numPr>
          <w:ilvl w:val="3"/>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de inschrijver moet vanuit eigen deskundigheid de risico-inventarisatie completeren met de risico’s die samenhangen met de door hem gekozen oplossingsrichting (risicovolle interacties tussen inschrijving en omgevingsfactoren) en deze kenbaar maken. Deze informatie wordt door de aanbesteder vertrouwelijk behandeld en niet kenbaar gemaakt aan de andere inschrijvers. De aanbesteder kan aangeven dat, </w:t>
      </w:r>
      <w:r w:rsidRPr="00CE5BEC">
        <w:rPr>
          <w:rFonts w:eastAsia="Calibri" w:cs="Segoe UI"/>
          <w:szCs w:val="18"/>
          <w:lang w:eastAsia="en-US"/>
        </w:rPr>
        <w:br/>
        <w:t>gegeven het project, bepaalde risico’s niet acceptabel zijn;</w:t>
      </w:r>
    </w:p>
    <w:p w14:paraId="0671645A" w14:textId="77777777" w:rsidR="00CE5BEC" w:rsidRPr="00CE5BEC" w:rsidRDefault="00CE5BEC" w:rsidP="00CE5BEC">
      <w:pPr>
        <w:numPr>
          <w:ilvl w:val="2"/>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globaal inzicht geven van de oplossingsrichtingen door inschrijver. De aanbesteder krijgt hiermee een indruk van mogelijke oplossingsrichtingen. Oplossingsrichtingen die voor de aanbesteder ‘niet haalbaar’ zijn, zullen als zodanig door hem worden gekenmerkt. De </w:t>
      </w:r>
      <w:r w:rsidRPr="00CE5BEC">
        <w:rPr>
          <w:rFonts w:eastAsia="Calibri" w:cs="Segoe UI"/>
          <w:szCs w:val="18"/>
          <w:lang w:eastAsia="en-US"/>
        </w:rPr>
        <w:br/>
        <w:t xml:space="preserve">aanbesteder behandelt de informatie vertrouwelijk en maakt deze niet kenbaar aan de </w:t>
      </w:r>
      <w:r w:rsidRPr="00CE5BEC">
        <w:rPr>
          <w:rFonts w:eastAsia="Calibri" w:cs="Segoe UI"/>
          <w:szCs w:val="18"/>
          <w:lang w:eastAsia="en-US"/>
        </w:rPr>
        <w:br/>
        <w:t>andere inschrijvers.</w:t>
      </w:r>
    </w:p>
    <w:p w14:paraId="472372F0" w14:textId="77777777"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van de onderhandelingen wordt een schriftelijk proces-verbaal opgemaakt door de inschrijver dat door beide partijen wordt ondertekend;</w:t>
      </w:r>
    </w:p>
    <w:p w14:paraId="35FD3B67" w14:textId="77777777" w:rsidR="00CE5BEC" w:rsidRPr="00CE5BEC" w:rsidRDefault="00CE5BEC" w:rsidP="00CE5BEC">
      <w:pPr>
        <w:numPr>
          <w:ilvl w:val="1"/>
          <w:numId w:val="39"/>
        </w:numPr>
        <w:suppressAutoHyphens w:val="0"/>
        <w:spacing w:line="240" w:lineRule="auto"/>
        <w:rPr>
          <w:rFonts w:eastAsia="Calibri" w:cs="Segoe UI"/>
          <w:szCs w:val="18"/>
          <w:lang w:eastAsia="en-US"/>
        </w:rPr>
      </w:pPr>
      <w:r w:rsidRPr="00CE5BEC">
        <w:rPr>
          <w:rFonts w:eastAsia="Calibri" w:cs="Segoe UI"/>
          <w:szCs w:val="18"/>
          <w:lang w:eastAsia="en-US"/>
        </w:rPr>
        <w:t xml:space="preserve">partijen erkennen het onderscheid tussen algemene en individuele informatie en geven dit als zodanig weer in het verslag. Partijen komen overeen dat de algemene informatie aan alle inschrijvers wordt medegedeeld door de aanbesteder. </w:t>
      </w:r>
    </w:p>
    <w:p w14:paraId="4EDCAC91" w14:textId="0EF866C1" w:rsidR="00CE5BEC" w:rsidRDefault="00CE5BEC" w:rsidP="00CE5BEC">
      <w:pPr>
        <w:suppressAutoHyphens w:val="0"/>
        <w:spacing w:line="240" w:lineRule="auto"/>
        <w:rPr>
          <w:rFonts w:eastAsia="Calibri" w:cs="Segoe UI"/>
          <w:szCs w:val="18"/>
          <w:lang w:eastAsia="en-US"/>
        </w:rPr>
      </w:pPr>
    </w:p>
    <w:p w14:paraId="6A8AA87E" w14:textId="77777777" w:rsidR="00CE5BEC" w:rsidRPr="00CE5BEC" w:rsidRDefault="00CE5BEC" w:rsidP="00CE5BEC">
      <w:pPr>
        <w:suppressAutoHyphens w:val="0"/>
        <w:spacing w:line="240" w:lineRule="auto"/>
        <w:rPr>
          <w:rFonts w:eastAsia="Calibri" w:cs="Segoe UI"/>
          <w:szCs w:val="18"/>
          <w:lang w:eastAsia="en-US"/>
        </w:rPr>
      </w:pPr>
    </w:p>
    <w:p w14:paraId="02D521D4" w14:textId="77777777" w:rsidR="00CE5BEC" w:rsidRPr="00CE5BEC" w:rsidRDefault="00CE5BEC" w:rsidP="00CE5BEC">
      <w:pPr>
        <w:numPr>
          <w:ilvl w:val="0"/>
          <w:numId w:val="39"/>
        </w:numPr>
        <w:suppressAutoHyphens w:val="0"/>
        <w:spacing w:line="240" w:lineRule="auto"/>
        <w:rPr>
          <w:rFonts w:ascii="Segoe UI Semibold" w:eastAsia="Calibri" w:hAnsi="Segoe UI Semibold" w:cs="Segoe UI"/>
          <w:b/>
          <w:color w:val="005D76"/>
          <w:szCs w:val="18"/>
          <w:lang w:eastAsia="en-US"/>
        </w:rPr>
      </w:pPr>
      <w:r w:rsidRPr="00CE5BEC">
        <w:rPr>
          <w:rFonts w:ascii="Segoe UI Semibold" w:eastAsia="Calibri" w:hAnsi="Segoe UI Semibold" w:cs="Segoe UI"/>
          <w:b/>
          <w:color w:val="005D76"/>
          <w:szCs w:val="18"/>
          <w:lang w:eastAsia="en-US"/>
        </w:rPr>
        <w:lastRenderedPageBreak/>
        <w:t>Vertrouwelijkheid</w:t>
      </w:r>
    </w:p>
    <w:p w14:paraId="457F6BC0" w14:textId="77777777" w:rsidR="00CE5BEC" w:rsidRPr="00CE5BEC" w:rsidRDefault="00CE5BEC" w:rsidP="00CE5BEC">
      <w:pPr>
        <w:numPr>
          <w:ilvl w:val="1"/>
          <w:numId w:val="39"/>
        </w:numPr>
        <w:suppressAutoHyphens w:val="0"/>
        <w:spacing w:line="240" w:lineRule="auto"/>
        <w:rPr>
          <w:rFonts w:eastAsia="Calibri" w:cs="Segoe UI"/>
          <w:b/>
          <w:szCs w:val="18"/>
          <w:lang w:eastAsia="en-US"/>
        </w:rPr>
      </w:pPr>
      <w:r w:rsidRPr="00CE5BEC">
        <w:rPr>
          <w:rFonts w:eastAsia="Calibri" w:cs="Segoe UI"/>
          <w:szCs w:val="18"/>
          <w:lang w:eastAsia="en-US"/>
        </w:rPr>
        <w:t>partijen dragen er zorg voor dat individuele informatie die tijdens de onderhandelingen ter tafel is gekomen, en de verslaglegging daarvan, vertrouwelijk wordt behandeld. Dit betekent dat:</w:t>
      </w:r>
    </w:p>
    <w:p w14:paraId="44558543" w14:textId="77777777" w:rsidR="00CE5BEC" w:rsidRPr="00CE5BEC" w:rsidRDefault="00CE5BEC" w:rsidP="00CE5BEC">
      <w:pPr>
        <w:numPr>
          <w:ilvl w:val="2"/>
          <w:numId w:val="39"/>
        </w:numPr>
        <w:suppressAutoHyphens w:val="0"/>
        <w:spacing w:line="240" w:lineRule="auto"/>
        <w:ind w:hanging="426"/>
        <w:rPr>
          <w:rFonts w:eastAsia="Calibri" w:cs="Segoe UI"/>
          <w:b/>
          <w:szCs w:val="18"/>
          <w:lang w:eastAsia="en-US"/>
        </w:rPr>
      </w:pPr>
      <w:r w:rsidRPr="00CE5BEC">
        <w:rPr>
          <w:rFonts w:eastAsia="Calibri" w:cs="Segoe UI"/>
          <w:szCs w:val="18"/>
          <w:lang w:eastAsia="en-US"/>
        </w:rPr>
        <w:t>de aanbesteder de individuele en vertrouwelijke informatie niet zal delen, expliciet dan wel impliciet, met de andere inschrijvers;</w:t>
      </w:r>
    </w:p>
    <w:p w14:paraId="1FE62406" w14:textId="77777777" w:rsidR="00CE5BEC" w:rsidRPr="00CE5BEC" w:rsidRDefault="00CE5BEC" w:rsidP="00CE5BEC">
      <w:pPr>
        <w:numPr>
          <w:ilvl w:val="2"/>
          <w:numId w:val="39"/>
        </w:numPr>
        <w:suppressAutoHyphens w:val="0"/>
        <w:spacing w:line="240" w:lineRule="auto"/>
        <w:ind w:hanging="426"/>
        <w:rPr>
          <w:rFonts w:eastAsia="Calibri" w:cs="Segoe UI"/>
          <w:szCs w:val="18"/>
          <w:lang w:eastAsia="en-US"/>
        </w:rPr>
      </w:pPr>
      <w:r w:rsidRPr="00CE5BEC">
        <w:rPr>
          <w:rFonts w:eastAsia="Calibri" w:cs="Segoe UI"/>
          <w:szCs w:val="18"/>
          <w:lang w:eastAsia="en-US"/>
        </w:rPr>
        <w:t>de inschrijver zal zich onthouden van overleg met de andere inschrijvers;</w:t>
      </w:r>
    </w:p>
    <w:p w14:paraId="5B00B4FF" w14:textId="77777777" w:rsidR="00CE5BEC" w:rsidRPr="00CE5BEC" w:rsidRDefault="00CE5BEC" w:rsidP="00CE5BEC">
      <w:pPr>
        <w:numPr>
          <w:ilvl w:val="2"/>
          <w:numId w:val="39"/>
        </w:numPr>
        <w:suppressAutoHyphens w:val="0"/>
        <w:spacing w:line="240" w:lineRule="auto"/>
        <w:ind w:hanging="426"/>
        <w:rPr>
          <w:rFonts w:eastAsia="Calibri" w:cs="Segoe UI"/>
          <w:b/>
          <w:szCs w:val="18"/>
          <w:lang w:eastAsia="en-US"/>
        </w:rPr>
      </w:pPr>
      <w:r w:rsidRPr="00CE5BEC">
        <w:rPr>
          <w:rFonts w:eastAsia="Calibri" w:cs="Segoe UI"/>
          <w:szCs w:val="18"/>
          <w:lang w:eastAsia="en-US"/>
        </w:rPr>
        <w:t>bij gebleken noodzakelijke aanpassingen van de contractdocumenten of andere aanbestedingsstukken de aanbesteder de vertrouwelijke informatie over de oplossingsrichting(en) van inschrijver zal beschermen.</w:t>
      </w:r>
    </w:p>
    <w:p w14:paraId="452C8B07" w14:textId="77777777" w:rsidR="00CE5BEC" w:rsidRPr="00CE5BEC" w:rsidRDefault="00CE5BEC" w:rsidP="00CE5BEC">
      <w:pPr>
        <w:numPr>
          <w:ilvl w:val="1"/>
          <w:numId w:val="39"/>
        </w:numPr>
        <w:suppressAutoHyphens w:val="0"/>
        <w:spacing w:line="240" w:lineRule="auto"/>
        <w:rPr>
          <w:rFonts w:eastAsia="Calibri" w:cs="Segoe UI"/>
          <w:b/>
          <w:szCs w:val="18"/>
          <w:lang w:eastAsia="en-US"/>
        </w:rPr>
      </w:pPr>
      <w:r w:rsidRPr="00CE5BEC">
        <w:rPr>
          <w:rFonts w:eastAsia="Calibri" w:cs="Segoe UI"/>
          <w:szCs w:val="18"/>
          <w:lang w:eastAsia="en-US"/>
        </w:rPr>
        <w:t>als de aanbesteding leidt tot een gerechtelijke procedure waarbij de individueel verstrekte inlichtingen onderwerp van geschil zijn, dan is de aanbesteder gerechtigd de verstrekte inlichtingen in te brengen.</w:t>
      </w:r>
    </w:p>
    <w:p w14:paraId="58DE7710" w14:textId="77777777" w:rsidR="00CE5BEC" w:rsidRPr="00CE5BEC" w:rsidRDefault="00CE5BEC" w:rsidP="00CE5BEC">
      <w:pPr>
        <w:rPr>
          <w:rFonts w:cs="Segoe UI"/>
          <w:szCs w:val="18"/>
        </w:rPr>
      </w:pPr>
    </w:p>
    <w:p w14:paraId="698A93C0" w14:textId="77777777" w:rsidR="00CE5BEC" w:rsidRPr="00CE5BEC" w:rsidRDefault="00CE5BEC" w:rsidP="00CE5BEC">
      <w:pPr>
        <w:rPr>
          <w:rFonts w:cs="Segoe UI"/>
          <w:szCs w:val="18"/>
        </w:rPr>
      </w:pPr>
    </w:p>
    <w:p w14:paraId="04531F05" w14:textId="77777777" w:rsidR="00CE5BEC" w:rsidRPr="00CE5BEC" w:rsidRDefault="00CE5BEC" w:rsidP="00CE5BEC">
      <w:pPr>
        <w:rPr>
          <w:snapToGrid w:val="0"/>
        </w:rPr>
      </w:pPr>
      <w:proofErr w:type="spellStart"/>
      <w:r w:rsidRPr="00CE5BEC">
        <w:t>AEB</w:t>
      </w:r>
      <w:proofErr w:type="spellEnd"/>
      <w:r w:rsidRPr="00CE5BEC">
        <w:t xml:space="preserve"> Exploitatie bv</w:t>
      </w:r>
      <w:r w:rsidRPr="00CE5BEC">
        <w:rPr>
          <w:rFonts w:cs="Segoe UI"/>
          <w:szCs w:val="18"/>
        </w:rPr>
        <w:tab/>
      </w:r>
      <w:r w:rsidRPr="00CE5BEC">
        <w:rPr>
          <w:snapToGrid w:val="0"/>
        </w:rPr>
        <w:tab/>
      </w:r>
      <w:r w:rsidRPr="00CE5BEC">
        <w:rPr>
          <w:snapToGrid w:val="0"/>
        </w:rPr>
        <w:tab/>
      </w:r>
      <w:r w:rsidRPr="00CE5BEC">
        <w:rPr>
          <w:rFonts w:cs="Segoe UI"/>
          <w:szCs w:val="18"/>
        </w:rPr>
        <w:tab/>
        <w:t>[naam inschrijver]</w:t>
      </w:r>
      <w:r w:rsidRPr="00CE5BEC">
        <w:rPr>
          <w:rFonts w:cs="Segoe UI"/>
          <w:szCs w:val="18"/>
        </w:rPr>
        <w:tab/>
      </w:r>
    </w:p>
    <w:p w14:paraId="03D9B65F" w14:textId="77777777" w:rsidR="00CE5BEC" w:rsidRPr="00CE5BEC" w:rsidRDefault="00CE5BEC" w:rsidP="00CE5BEC">
      <w:pPr>
        <w:rPr>
          <w:rFonts w:cs="Segoe UI"/>
          <w:szCs w:val="18"/>
        </w:rPr>
      </w:pPr>
    </w:p>
    <w:p w14:paraId="52360CCA" w14:textId="77777777" w:rsidR="00CE5BEC" w:rsidRPr="00CE5BEC" w:rsidRDefault="00CE5BEC" w:rsidP="00CE5BEC">
      <w:pPr>
        <w:rPr>
          <w:rFonts w:cs="Segoe UI"/>
          <w:szCs w:val="18"/>
        </w:rPr>
      </w:pPr>
    </w:p>
    <w:p w14:paraId="7E9576A6" w14:textId="77777777" w:rsidR="00CE5BEC" w:rsidRPr="00CE5BEC" w:rsidRDefault="00CE5BEC" w:rsidP="00CE5BEC">
      <w:pPr>
        <w:rPr>
          <w:rFonts w:cs="Segoe UI"/>
          <w:szCs w:val="18"/>
        </w:rPr>
      </w:pPr>
      <w:r w:rsidRPr="00CE5BEC">
        <w:rPr>
          <w:rFonts w:cs="Segoe UI"/>
          <w:szCs w:val="18"/>
        </w:rPr>
        <w:t>Datum:</w:t>
      </w:r>
      <w:r w:rsidRPr="00CE5BEC">
        <w:rPr>
          <w:rFonts w:cs="Segoe UI"/>
          <w:szCs w:val="18"/>
        </w:rPr>
        <w:tab/>
      </w:r>
      <w:r w:rsidRPr="00CE5BEC">
        <w:rPr>
          <w:rFonts w:cs="Segoe UI"/>
          <w:szCs w:val="18"/>
        </w:rPr>
        <w:tab/>
      </w:r>
      <w:r w:rsidRPr="00CE5BEC">
        <w:rPr>
          <w:snapToGrid w:val="0"/>
        </w:rPr>
        <w:t>.............................................................</w:t>
      </w:r>
      <w:r w:rsidRPr="00CE5BEC">
        <w:rPr>
          <w:rFonts w:cs="Segoe UI"/>
          <w:szCs w:val="18"/>
        </w:rPr>
        <w:tab/>
        <w:t>Datum:</w:t>
      </w:r>
      <w:r w:rsidRPr="00CE5BEC">
        <w:rPr>
          <w:rFonts w:cs="Segoe UI"/>
          <w:szCs w:val="18"/>
        </w:rPr>
        <w:tab/>
      </w:r>
      <w:r w:rsidRPr="00CE5BEC">
        <w:rPr>
          <w:rFonts w:cs="Segoe UI"/>
          <w:szCs w:val="18"/>
        </w:rPr>
        <w:tab/>
      </w:r>
      <w:r w:rsidRPr="00CE5BEC">
        <w:rPr>
          <w:snapToGrid w:val="0"/>
        </w:rPr>
        <w:t>.............................................................</w:t>
      </w:r>
    </w:p>
    <w:p w14:paraId="46F5B345" w14:textId="77777777" w:rsidR="00CE5BEC" w:rsidRPr="00CE5BEC" w:rsidRDefault="00CE5BEC" w:rsidP="00CE5BEC">
      <w:pPr>
        <w:rPr>
          <w:rFonts w:cs="Segoe UI"/>
          <w:szCs w:val="18"/>
        </w:rPr>
      </w:pPr>
    </w:p>
    <w:p w14:paraId="5AEB265F" w14:textId="77777777" w:rsidR="00CE5BEC" w:rsidRPr="00CE5BEC" w:rsidRDefault="00CE5BEC" w:rsidP="00CE5BEC">
      <w:pPr>
        <w:rPr>
          <w:rFonts w:cs="Segoe UI"/>
          <w:szCs w:val="18"/>
        </w:rPr>
      </w:pPr>
    </w:p>
    <w:p w14:paraId="0A2BEF38" w14:textId="77777777" w:rsidR="00CE5BEC" w:rsidRPr="00CE5BEC" w:rsidRDefault="00CE5BEC" w:rsidP="00CE5BEC">
      <w:pPr>
        <w:rPr>
          <w:rFonts w:cs="Segoe UI"/>
          <w:szCs w:val="18"/>
        </w:rPr>
      </w:pPr>
      <w:r w:rsidRPr="00CE5BEC">
        <w:rPr>
          <w:rFonts w:cs="Segoe UI"/>
          <w:szCs w:val="18"/>
        </w:rPr>
        <w:t>Naam:</w:t>
      </w:r>
      <w:r w:rsidRPr="00CE5BEC">
        <w:rPr>
          <w:rFonts w:cs="Segoe UI"/>
          <w:szCs w:val="18"/>
        </w:rPr>
        <w:tab/>
      </w:r>
      <w:r w:rsidRPr="00CE5BEC">
        <w:rPr>
          <w:rFonts w:cs="Segoe UI"/>
          <w:szCs w:val="18"/>
        </w:rPr>
        <w:tab/>
      </w:r>
      <w:r w:rsidRPr="00CE5BEC">
        <w:rPr>
          <w:snapToGrid w:val="0"/>
        </w:rPr>
        <w:t>.............................................................</w:t>
      </w:r>
      <w:r w:rsidRPr="00CE5BEC">
        <w:rPr>
          <w:rFonts w:cs="Segoe UI"/>
          <w:szCs w:val="18"/>
        </w:rPr>
        <w:tab/>
        <w:t>Naam:</w:t>
      </w:r>
      <w:r w:rsidRPr="00CE5BEC">
        <w:rPr>
          <w:rFonts w:cs="Segoe UI"/>
          <w:szCs w:val="18"/>
        </w:rPr>
        <w:tab/>
      </w:r>
      <w:r w:rsidRPr="00CE5BEC">
        <w:rPr>
          <w:rFonts w:cs="Segoe UI"/>
          <w:szCs w:val="18"/>
        </w:rPr>
        <w:tab/>
      </w:r>
      <w:r w:rsidRPr="00CE5BEC">
        <w:rPr>
          <w:snapToGrid w:val="0"/>
        </w:rPr>
        <w:t>.............................................................</w:t>
      </w:r>
    </w:p>
    <w:p w14:paraId="5284EF9D" w14:textId="77777777" w:rsidR="00CE5BEC" w:rsidRPr="00CE5BEC" w:rsidRDefault="00CE5BEC" w:rsidP="00CE5BEC">
      <w:pPr>
        <w:rPr>
          <w:rFonts w:cs="Segoe UI"/>
          <w:szCs w:val="18"/>
        </w:rPr>
      </w:pPr>
    </w:p>
    <w:p w14:paraId="50E943AF" w14:textId="77777777" w:rsidR="00CE5BEC" w:rsidRPr="00CE5BEC" w:rsidRDefault="00CE5BEC" w:rsidP="00CE5BEC">
      <w:pPr>
        <w:rPr>
          <w:rFonts w:cs="Segoe UI"/>
          <w:szCs w:val="18"/>
        </w:rPr>
      </w:pPr>
    </w:p>
    <w:p w14:paraId="1FD66EC3" w14:textId="77777777" w:rsidR="00CE5BEC" w:rsidRPr="00CE5BEC" w:rsidRDefault="00CE5BEC" w:rsidP="00CE5BEC">
      <w:pPr>
        <w:rPr>
          <w:rFonts w:cs="Segoe UI"/>
          <w:szCs w:val="18"/>
        </w:rPr>
      </w:pPr>
    </w:p>
    <w:p w14:paraId="0063EEAF" w14:textId="77777777" w:rsidR="00CE5BEC" w:rsidRPr="00CE5BEC" w:rsidRDefault="00CE5BEC" w:rsidP="00CE5BEC">
      <w:pPr>
        <w:rPr>
          <w:rFonts w:cs="Segoe UI"/>
          <w:szCs w:val="18"/>
        </w:rPr>
      </w:pPr>
    </w:p>
    <w:p w14:paraId="14C859C3" w14:textId="77777777" w:rsidR="00CE5BEC" w:rsidRPr="00CE5BEC" w:rsidRDefault="00CE5BEC" w:rsidP="00CE5BEC">
      <w:pPr>
        <w:rPr>
          <w:rFonts w:cs="Segoe UI"/>
          <w:szCs w:val="18"/>
        </w:rPr>
      </w:pPr>
      <w:r w:rsidRPr="00CE5BEC">
        <w:rPr>
          <w:rFonts w:cs="Segoe UI"/>
          <w:szCs w:val="18"/>
        </w:rPr>
        <w:t>Handtekening:</w:t>
      </w:r>
      <w:r w:rsidRPr="00CE5BEC">
        <w:rPr>
          <w:rFonts w:cs="Segoe UI"/>
          <w:szCs w:val="18"/>
        </w:rPr>
        <w:tab/>
      </w:r>
      <w:r w:rsidRPr="00CE5BEC">
        <w:rPr>
          <w:snapToGrid w:val="0"/>
        </w:rPr>
        <w:t>.............................................................</w:t>
      </w:r>
      <w:r w:rsidRPr="00CE5BEC">
        <w:rPr>
          <w:rFonts w:cs="Segoe UI"/>
          <w:szCs w:val="18"/>
        </w:rPr>
        <w:tab/>
        <w:t>Handtekening:</w:t>
      </w:r>
      <w:r w:rsidRPr="00CE5BEC">
        <w:rPr>
          <w:rFonts w:cs="Segoe UI"/>
          <w:szCs w:val="18"/>
        </w:rPr>
        <w:tab/>
      </w:r>
      <w:r w:rsidRPr="00CE5BEC">
        <w:rPr>
          <w:snapToGrid w:val="0"/>
        </w:rPr>
        <w:t>.............................................................</w:t>
      </w:r>
    </w:p>
    <w:p w14:paraId="65284B6E" w14:textId="77777777" w:rsidR="00CE5BEC" w:rsidRPr="00CE5BEC" w:rsidRDefault="00CE5BEC" w:rsidP="00CE5BEC"/>
    <w:p w14:paraId="55E2AF01" w14:textId="77777777" w:rsidR="00CE5BEC" w:rsidRPr="00CE5BEC" w:rsidRDefault="00CE5BEC" w:rsidP="00CE5BEC"/>
    <w:p w14:paraId="7460A8EE" w14:textId="77777777" w:rsidR="00CE5BEC" w:rsidRPr="00CE5BEC" w:rsidRDefault="00CE5BEC" w:rsidP="00CE5BEC"/>
    <w:p w14:paraId="1728D541" w14:textId="77777777" w:rsidR="002A433D" w:rsidRPr="005F10BD" w:rsidRDefault="002A433D" w:rsidP="002A433D"/>
    <w:sectPr w:rsidR="002A433D" w:rsidRPr="005F10BD"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925A9" w14:textId="77777777" w:rsidR="00CE5BEC" w:rsidRDefault="00CE5BEC" w:rsidP="0098253C">
      <w:pPr>
        <w:spacing w:line="240" w:lineRule="auto"/>
      </w:pPr>
      <w:r>
        <w:separator/>
      </w:r>
    </w:p>
  </w:endnote>
  <w:endnote w:type="continuationSeparator" w:id="0">
    <w:p w14:paraId="0A4DA17C" w14:textId="77777777" w:rsidR="00CE5BEC" w:rsidRDefault="00CE5BEC"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9E400" w14:textId="77777777" w:rsidR="00CE5BEC" w:rsidRPr="0098253C" w:rsidRDefault="00CE5BEC" w:rsidP="0098253C">
      <w:pPr>
        <w:pStyle w:val="autorisatiekopje"/>
        <w:rPr>
          <w:rFonts w:ascii="Arial" w:hAnsi="Arial"/>
          <w:vertAlign w:val="superscript"/>
        </w:rPr>
      </w:pPr>
      <w:r w:rsidRPr="00096F10">
        <w:rPr>
          <w:rStyle w:val="FootnoteReference"/>
        </w:rPr>
        <w:continuationSeparator/>
      </w:r>
    </w:p>
  </w:footnote>
  <w:footnote w:type="continuationSeparator" w:id="0">
    <w:p w14:paraId="5C0B57CD" w14:textId="77777777" w:rsidR="00CE5BEC" w:rsidRDefault="00CE5BEC"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03B8EDFA"/>
    <w:lvl w:ilvl="0">
      <w:start w:val="1"/>
      <w:numFmt w:val="decimal"/>
      <w:pStyle w:val="Heading1"/>
      <w:lvlText w:val="%1"/>
      <w:lvlJc w:val="left"/>
      <w:pPr>
        <w:ind w:left="0" w:firstLine="0"/>
      </w:pPr>
      <w:rPr>
        <w:rFonts w:ascii="Segoe UI Light" w:hAnsi="Segoe UI Light" w:hint="default"/>
        <w:b w:val="0"/>
        <w:i w:val="0"/>
        <w:color w:val="005D76"/>
        <w:sz w:val="100"/>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7"/>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2273948"/>
    <w:multiLevelType w:val="multilevel"/>
    <w:tmpl w:val="1ED4F5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bullet"/>
      <w:lvlText w:val="-"/>
      <w:lvlJc w:val="left"/>
      <w:pPr>
        <w:ind w:left="1728" w:hanging="648"/>
      </w:pPr>
      <w:rPr>
        <w:rFonts w:ascii="Arial" w:hAnsi="Arial" w:hint="default"/>
        <w:b w:val="0"/>
        <w:i w:val="0"/>
        <w:sz w:val="2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CE0885"/>
    <w:multiLevelType w:val="multilevel"/>
    <w:tmpl w:val="079C2A2A"/>
    <w:lvl w:ilvl="0">
      <w:start w:val="2"/>
      <w:numFmt w:val="decimal"/>
      <w:lvlText w:val="%1"/>
      <w:lvlJc w:val="left"/>
      <w:pPr>
        <w:tabs>
          <w:tab w:val="num" w:pos="301"/>
        </w:tabs>
        <w:ind w:left="301" w:hanging="301"/>
      </w:pPr>
      <w:rPr>
        <w:rFonts w:ascii="Segoe UI" w:hAnsi="Segoe UI" w:cs="Segoe UI" w:hint="default"/>
        <w:b w:val="0"/>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0"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2"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7"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2"/>
  </w:num>
  <w:num w:numId="4">
    <w:abstractNumId w:val="1"/>
  </w:num>
  <w:num w:numId="5">
    <w:abstractNumId w:val="17"/>
  </w:num>
  <w:num w:numId="6">
    <w:abstractNumId w:val="10"/>
  </w:num>
  <w:num w:numId="7">
    <w:abstractNumId w:val="13"/>
  </w:num>
  <w:num w:numId="8">
    <w:abstractNumId w:val="3"/>
  </w:num>
  <w:num w:numId="9">
    <w:abstractNumId w:val="14"/>
  </w:num>
  <w:num w:numId="10">
    <w:abstractNumId w:val="15"/>
  </w:num>
  <w:num w:numId="11">
    <w:abstractNumId w:val="8"/>
  </w:num>
  <w:num w:numId="12">
    <w:abstractNumId w:val="5"/>
  </w:num>
  <w:num w:numId="13">
    <w:abstractNumId w:val="0"/>
  </w:num>
  <w:num w:numId="14">
    <w:abstractNumId w:val="0"/>
  </w:num>
  <w:num w:numId="15">
    <w:abstractNumId w:val="2"/>
  </w:num>
  <w:num w:numId="16">
    <w:abstractNumId w:val="16"/>
  </w:num>
  <w:num w:numId="17">
    <w:abstractNumId w:val="4"/>
  </w:num>
  <w:num w:numId="18">
    <w:abstractNumId w:val="11"/>
  </w:num>
  <w:num w:numId="19">
    <w:abstractNumId w:val="1"/>
  </w:num>
  <w:num w:numId="20">
    <w:abstractNumId w:val="1"/>
  </w:num>
  <w:num w:numId="21">
    <w:abstractNumId w:val="1"/>
  </w:num>
  <w:num w:numId="22">
    <w:abstractNumId w:val="1"/>
  </w:num>
  <w:num w:numId="23">
    <w:abstractNumId w:val="1"/>
  </w:num>
  <w:num w:numId="24">
    <w:abstractNumId w:val="7"/>
  </w:num>
  <w:num w:numId="25">
    <w:abstractNumId w:val="16"/>
  </w:num>
  <w:num w:numId="26">
    <w:abstractNumId w:val="1"/>
  </w:num>
  <w:num w:numId="27">
    <w:abstractNumId w:val="1"/>
  </w:num>
  <w:num w:numId="28">
    <w:abstractNumId w:val="1"/>
  </w:num>
  <w:num w:numId="29">
    <w:abstractNumId w:val="1"/>
  </w:num>
  <w:num w:numId="30">
    <w:abstractNumId w:val="1"/>
  </w:num>
  <w:num w:numId="31">
    <w:abstractNumId w:val="1"/>
  </w:num>
  <w:num w:numId="32">
    <w:abstractNumId w:val="4"/>
  </w:num>
  <w:num w:numId="33">
    <w:abstractNumId w:val="11"/>
  </w:num>
  <w:num w:numId="34">
    <w:abstractNumId w:val="16"/>
  </w:num>
  <w:num w:numId="35">
    <w:abstractNumId w:val="4"/>
  </w:num>
  <w:num w:numId="36">
    <w:abstractNumId w:val="11"/>
  </w:num>
  <w:num w:numId="37">
    <w:abstractNumId w:val="11"/>
  </w:num>
  <w:num w:numId="38">
    <w:abstractNumId w:val="9"/>
  </w:num>
  <w:num w:numId="3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EC"/>
    <w:rsid w:val="00031741"/>
    <w:rsid w:val="00074132"/>
    <w:rsid w:val="0008210E"/>
    <w:rsid w:val="00094EE8"/>
    <w:rsid w:val="000B086E"/>
    <w:rsid w:val="000B7DEC"/>
    <w:rsid w:val="000F1701"/>
    <w:rsid w:val="00197162"/>
    <w:rsid w:val="001C010B"/>
    <w:rsid w:val="001D4160"/>
    <w:rsid w:val="001F5BC7"/>
    <w:rsid w:val="00224A73"/>
    <w:rsid w:val="00236B0B"/>
    <w:rsid w:val="002A433D"/>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90713C"/>
    <w:rsid w:val="0095368E"/>
    <w:rsid w:val="0098253C"/>
    <w:rsid w:val="00A134C1"/>
    <w:rsid w:val="00A2106B"/>
    <w:rsid w:val="00A70FDB"/>
    <w:rsid w:val="00AF3FE9"/>
    <w:rsid w:val="00B04B09"/>
    <w:rsid w:val="00B316FD"/>
    <w:rsid w:val="00B33E23"/>
    <w:rsid w:val="00B470C0"/>
    <w:rsid w:val="00BC01C1"/>
    <w:rsid w:val="00BC4CE5"/>
    <w:rsid w:val="00C60534"/>
    <w:rsid w:val="00C846FC"/>
    <w:rsid w:val="00CB37C8"/>
    <w:rsid w:val="00CE12F3"/>
    <w:rsid w:val="00CE5BEC"/>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CF3B1B"/>
  <w15:docId w15:val="{2F5DFAC7-29BE-4B5E-971F-F0F3D9E6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BEC"/>
    <w:pPr>
      <w:suppressAutoHyphens/>
      <w:spacing w:line="252" w:lineRule="atLeast"/>
    </w:pPr>
    <w:rPr>
      <w:rFonts w:ascii="Segoe UI" w:hAnsi="Segoe UI"/>
      <w:sz w:val="18"/>
      <w:szCs w:val="24"/>
    </w:rPr>
  </w:style>
  <w:style w:type="paragraph" w:styleId="Heading1">
    <w:name w:val="heading 1"/>
    <w:aliases w:val="Hoofdstuk"/>
    <w:basedOn w:val="Normal"/>
    <w:next w:val="Normal"/>
    <w:qFormat/>
    <w:rsid w:val="00BC4CE5"/>
    <w:pPr>
      <w:keepNext/>
      <w:numPr>
        <w:numId w:val="4"/>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qFormat/>
    <w:rsid w:val="00BC4CE5"/>
    <w:pPr>
      <w:keepNext/>
      <w:keepLines/>
      <w:numPr>
        <w:ilvl w:val="1"/>
        <w:numId w:val="4"/>
      </w:numPr>
      <w:outlineLvl w:val="1"/>
    </w:pPr>
    <w:rPr>
      <w:color w:val="005D76"/>
      <w:sz w:val="22"/>
      <w:szCs w:val="20"/>
    </w:rPr>
  </w:style>
  <w:style w:type="paragraph" w:styleId="Heading3">
    <w:name w:val="heading 3"/>
    <w:aliases w:val="Subparagraaf"/>
    <w:basedOn w:val="Normal"/>
    <w:next w:val="Normal"/>
    <w:qFormat/>
    <w:rsid w:val="00BC4CE5"/>
    <w:pPr>
      <w:keepNext/>
      <w:keepLines/>
      <w:numPr>
        <w:ilvl w:val="2"/>
        <w:numId w:val="4"/>
      </w:numPr>
      <w:outlineLvl w:val="2"/>
    </w:pPr>
    <w:rPr>
      <w:color w:val="005D76"/>
      <w:sz w:val="22"/>
      <w:szCs w:val="20"/>
    </w:rPr>
  </w:style>
  <w:style w:type="paragraph" w:styleId="Heading4">
    <w:name w:val="heading 4"/>
    <w:aliases w:val="Kopje"/>
    <w:basedOn w:val="Normal"/>
    <w:next w:val="Normal"/>
    <w:link w:val="Heading4Char"/>
    <w:qFormat/>
    <w:rsid w:val="00BC4CE5"/>
    <w:pPr>
      <w:keepNext/>
      <w:keepLines/>
      <w:numPr>
        <w:ilvl w:val="3"/>
        <w:numId w:val="4"/>
      </w:numPr>
      <w:outlineLvl w:val="3"/>
    </w:pPr>
    <w:rPr>
      <w:rFonts w:ascii="Segoe UI Semibold" w:hAnsi="Segoe UI Semibold"/>
      <w:color w:val="005D76"/>
      <w:szCs w:val="20"/>
    </w:rPr>
  </w:style>
  <w:style w:type="paragraph" w:styleId="Heading5">
    <w:name w:val="heading 5"/>
    <w:aliases w:val="cursief"/>
    <w:basedOn w:val="Normal"/>
    <w:next w:val="Normal"/>
    <w:qFormat/>
    <w:rsid w:val="00BC4CE5"/>
    <w:pPr>
      <w:outlineLvl w:val="4"/>
    </w:pPr>
    <w:rPr>
      <w:bCs/>
      <w:i/>
      <w:iCs/>
      <w:color w:val="005D76"/>
      <w:szCs w:val="26"/>
    </w:rPr>
  </w:style>
  <w:style w:type="paragraph" w:styleId="Heading6">
    <w:name w:val="heading 6"/>
    <w:basedOn w:val="Normal"/>
    <w:next w:val="Normal"/>
    <w:qFormat/>
    <w:rsid w:val="005D3645"/>
    <w:pPr>
      <w:spacing w:before="240" w:after="60"/>
      <w:outlineLvl w:val="5"/>
    </w:pPr>
    <w:rPr>
      <w:bCs/>
      <w:szCs w:val="22"/>
    </w:rPr>
  </w:style>
  <w:style w:type="paragraph" w:styleId="Heading7">
    <w:name w:val="heading 7"/>
    <w:basedOn w:val="Normal"/>
    <w:next w:val="Normal"/>
    <w:qFormat/>
    <w:rsid w:val="005D3645"/>
    <w:pPr>
      <w:spacing w:before="240" w:after="60"/>
      <w:outlineLvl w:val="6"/>
    </w:pPr>
  </w:style>
  <w:style w:type="paragraph" w:styleId="Heading8">
    <w:name w:val="heading 8"/>
    <w:basedOn w:val="Normal"/>
    <w:next w:val="Normal"/>
    <w:qFormat/>
    <w:rsid w:val="00BC4CE5"/>
    <w:pPr>
      <w:numPr>
        <w:ilvl w:val="7"/>
        <w:numId w:val="4"/>
      </w:numPr>
      <w:outlineLvl w:val="7"/>
    </w:pPr>
    <w:rPr>
      <w:rFonts w:ascii="Segoe UI Semibold" w:hAnsi="Segoe UI Semibold"/>
      <w:iCs/>
      <w:caps/>
      <w:color w:val="005D76"/>
      <w:sz w:val="22"/>
    </w:rPr>
  </w:style>
  <w:style w:type="paragraph" w:styleId="Heading9">
    <w:name w:val="heading 9"/>
    <w:basedOn w:val="Normal"/>
    <w:next w:val="Normal"/>
    <w:qFormat/>
    <w:rsid w:val="00BC4CE5"/>
    <w:pPr>
      <w:numPr>
        <w:ilvl w:val="8"/>
        <w:numId w:val="4"/>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Kopje Char"/>
    <w:basedOn w:val="DefaultParagraphFont"/>
    <w:link w:val="Heading4"/>
    <w:rsid w:val="005F10BD"/>
    <w:rPr>
      <w:rFonts w:ascii="Segoe UI Semibold" w:hAnsi="Segoe UI Semibold"/>
      <w:color w:val="005D76"/>
      <w:sz w:val="18"/>
    </w:rPr>
  </w:style>
  <w:style w:type="paragraph" w:customStyle="1" w:styleId="Adresgegevens">
    <w:name w:val="Adresgegevens"/>
    <w:basedOn w:val="Normal"/>
    <w:link w:val="AdresgegevensChar"/>
    <w:rsid w:val="005F10BD"/>
    <w:pPr>
      <w:ind w:left="57"/>
    </w:pPr>
    <w:rPr>
      <w:b/>
      <w:sz w:val="12"/>
    </w:rPr>
  </w:style>
  <w:style w:type="character" w:customStyle="1" w:styleId="AdresgegevensChar">
    <w:name w:val="Adresgegevens Char"/>
    <w:basedOn w:val="DefaultParagraphFont"/>
    <w:link w:val="Adresgegevens"/>
    <w:rsid w:val="005F10BD"/>
    <w:rPr>
      <w:rFonts w:ascii="Arial" w:hAnsi="Arial"/>
      <w:b/>
      <w:sz w:val="12"/>
      <w:szCs w:val="24"/>
      <w:lang w:val="nl-NL" w:eastAsia="nl-NL" w:bidi="ar-SA"/>
    </w:rPr>
  </w:style>
  <w:style w:type="paragraph" w:styleId="Caption">
    <w:name w:val="caption"/>
    <w:basedOn w:val="Normal"/>
    <w:next w:val="Normal"/>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Normal"/>
    <w:rsid w:val="00BC4CE5"/>
    <w:rPr>
      <w:rFonts w:ascii="Segoe UI Semibold" w:hAnsi="Segoe UI Semibold"/>
      <w:b/>
      <w:caps/>
      <w:color w:val="005D76"/>
      <w:sz w:val="22"/>
    </w:rPr>
  </w:style>
  <w:style w:type="paragraph" w:customStyle="1" w:styleId="Kaderkopje">
    <w:name w:val="Kaderkopje"/>
    <w:basedOn w:val="Normal"/>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Normal"/>
    <w:rsid w:val="00846073"/>
    <w:rPr>
      <w:rFonts w:ascii="Segoe UI Semibold" w:hAnsi="Segoe UI Semibold"/>
      <w:sz w:val="13"/>
    </w:rPr>
  </w:style>
  <w:style w:type="paragraph" w:customStyle="1" w:styleId="Tabelkopje">
    <w:name w:val="Tabelkopje"/>
    <w:basedOn w:val="Normal"/>
    <w:next w:val="Tabeltekst"/>
    <w:rsid w:val="00BC4CE5"/>
    <w:pPr>
      <w:spacing w:line="210" w:lineRule="atLeast"/>
    </w:pPr>
    <w:rPr>
      <w:rFonts w:ascii="Segoe UI Semibold" w:hAnsi="Segoe UI Semibold"/>
      <w:color w:val="005D76"/>
      <w:sz w:val="15"/>
      <w:szCs w:val="20"/>
    </w:rPr>
  </w:style>
  <w:style w:type="paragraph" w:styleId="Footer">
    <w:name w:val="footer"/>
    <w:basedOn w:val="Normal"/>
    <w:uiPriority w:val="99"/>
    <w:rsid w:val="00BC4CE5"/>
    <w:pPr>
      <w:spacing w:line="240" w:lineRule="auto"/>
      <w:ind w:left="680" w:hanging="680"/>
    </w:pPr>
    <w:rPr>
      <w:color w:val="005D76"/>
      <w:sz w:val="13"/>
    </w:rPr>
  </w:style>
  <w:style w:type="paragraph" w:styleId="BalloonText">
    <w:name w:val="Balloon Text"/>
    <w:basedOn w:val="Normal"/>
    <w:semiHidden/>
    <w:rsid w:val="00A70FDB"/>
    <w:rPr>
      <w:rFonts w:ascii="Tahoma" w:hAnsi="Tahoma" w:cs="Tahoma"/>
      <w:sz w:val="16"/>
      <w:szCs w:val="16"/>
    </w:rPr>
  </w:style>
  <w:style w:type="paragraph" w:styleId="FootnoteText">
    <w:name w:val="footnote text"/>
    <w:basedOn w:val="Normal"/>
    <w:semiHidden/>
    <w:rsid w:val="00BC4CE5"/>
    <w:pPr>
      <w:tabs>
        <w:tab w:val="left" w:pos="215"/>
        <w:tab w:val="left" w:pos="680"/>
      </w:tabs>
      <w:ind w:left="215" w:hanging="215"/>
    </w:pPr>
    <w:rPr>
      <w:sz w:val="15"/>
      <w:szCs w:val="20"/>
    </w:rPr>
  </w:style>
  <w:style w:type="paragraph" w:customStyle="1" w:styleId="Figuurkader">
    <w:name w:val="Figuurkader"/>
    <w:basedOn w:val="Normal"/>
    <w:next w:val="Normal"/>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TOC2">
    <w:name w:val="toc 2"/>
    <w:basedOn w:val="Normal"/>
    <w:next w:val="Normal"/>
    <w:autoRedefine/>
    <w:semiHidden/>
    <w:rsid w:val="005F10BD"/>
    <w:pPr>
      <w:tabs>
        <w:tab w:val="right" w:pos="8505"/>
      </w:tabs>
      <w:ind w:left="924" w:right="284" w:hanging="584"/>
    </w:pPr>
    <w:rPr>
      <w:szCs w:val="20"/>
    </w:rPr>
  </w:style>
  <w:style w:type="paragraph" w:styleId="TOC3">
    <w:name w:val="toc 3"/>
    <w:basedOn w:val="Normal"/>
    <w:next w:val="Normal"/>
    <w:autoRedefine/>
    <w:semiHidden/>
    <w:rsid w:val="005F10BD"/>
    <w:pPr>
      <w:tabs>
        <w:tab w:val="right" w:pos="8505"/>
      </w:tabs>
      <w:ind w:left="1758" w:right="340" w:hanging="851"/>
    </w:pPr>
    <w:rPr>
      <w:szCs w:val="20"/>
    </w:rPr>
  </w:style>
  <w:style w:type="paragraph" w:styleId="TOC4">
    <w:name w:val="toc 4"/>
    <w:basedOn w:val="Normal"/>
    <w:next w:val="Normal"/>
    <w:autoRedefine/>
    <w:semiHidden/>
    <w:rsid w:val="005F10BD"/>
    <w:pPr>
      <w:ind w:left="630"/>
    </w:pPr>
  </w:style>
  <w:style w:type="character" w:styleId="PageNumber">
    <w:name w:val="page number"/>
    <w:basedOn w:val="DefaultParagraphFont"/>
    <w:rsid w:val="005F10BD"/>
  </w:style>
  <w:style w:type="paragraph" w:customStyle="1" w:styleId="Tabeltekst">
    <w:name w:val="Tabeltekst"/>
    <w:basedOn w:val="Normal"/>
    <w:rsid w:val="00BC4CE5"/>
    <w:pPr>
      <w:spacing w:line="210" w:lineRule="atLeast"/>
    </w:pPr>
    <w:rPr>
      <w:color w:val="005D76"/>
      <w:sz w:val="15"/>
    </w:rPr>
  </w:style>
  <w:style w:type="character" w:styleId="FootnoteReference">
    <w:name w:val="footnote reference"/>
    <w:basedOn w:val="DefaultParagraphFont"/>
    <w:semiHidden/>
    <w:rsid w:val="00BC4CE5"/>
    <w:rPr>
      <w:vertAlign w:val="superscript"/>
    </w:rPr>
  </w:style>
  <w:style w:type="numbering" w:customStyle="1" w:styleId="Inspringen">
    <w:name w:val="Inspringen"/>
    <w:basedOn w:val="NoList"/>
    <w:rsid w:val="004E462F"/>
    <w:pPr>
      <w:numPr>
        <w:numId w:val="16"/>
      </w:numPr>
    </w:pPr>
  </w:style>
  <w:style w:type="numbering" w:customStyle="1" w:styleId="Nummering">
    <w:name w:val="Nummering"/>
    <w:basedOn w:val="NoList"/>
    <w:rsid w:val="004E462F"/>
    <w:pPr>
      <w:numPr>
        <w:numId w:val="17"/>
      </w:numPr>
    </w:pPr>
  </w:style>
  <w:style w:type="numbering" w:customStyle="1" w:styleId="Opsomming">
    <w:name w:val="Opsomming"/>
    <w:basedOn w:val="NoList"/>
    <w:rsid w:val="00A134C1"/>
    <w:pPr>
      <w:numPr>
        <w:numId w:val="18"/>
      </w:numPr>
    </w:pPr>
  </w:style>
  <w:style w:type="paragraph" w:customStyle="1" w:styleId="autorisatiekopje">
    <w:name w:val="autorisatiekopje"/>
    <w:basedOn w:val="Normal"/>
    <w:rsid w:val="0098253C"/>
    <w:pPr>
      <w:spacing w:before="60" w:line="240" w:lineRule="auto"/>
    </w:pPr>
    <w:rPr>
      <w:color w:val="005D76"/>
      <w:sz w:val="12"/>
    </w:rPr>
  </w:style>
  <w:style w:type="paragraph" w:styleId="NoSpacing">
    <w:name w:val="No Spacing"/>
    <w:uiPriority w:val="1"/>
    <w:qFormat/>
    <w:rsid w:val="00CE5BEC"/>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A231A-3AD1-4730-9060-CFDEC87B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1</TotalTime>
  <Pages>3</Pages>
  <Words>668</Words>
  <Characters>4614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Elbersen</dc:creator>
  <cp:lastModifiedBy>Robin Elbersen</cp:lastModifiedBy>
  <cp:revision>2</cp:revision>
  <dcterms:created xsi:type="dcterms:W3CDTF">2021-11-23T12:17:00Z</dcterms:created>
  <dcterms:modified xsi:type="dcterms:W3CDTF">2021-11-23T12:19:00Z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NL;DE;EN;FR;RU#NL</vt:lpwstr>
  </property>
  <property fmtid="{D5CDD505-2E9C-101B-9397-08002B2CF9AE}" pid="3" name="documenths">
    <vt:lpwstr>#DV</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10.21.05</vt:lpwstr>
  </property>
  <property fmtid="{D5CDD505-2E9C-101B-9397-08002B2CF9AE}" pid="8" name="hsdir">
    <vt:lpwstr/>
  </property>
</Properties>
</file>