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3F" w:rsidRDefault="00FF633F" w:rsidP="00FF633F">
      <w:pPr>
        <w:pStyle w:val="Koptekstdocumentnaam"/>
      </w:pPr>
      <w:r>
        <w:rPr>
          <w:noProof/>
        </w:rPr>
        <w:drawing>
          <wp:anchor distT="0" distB="0" distL="114300" distR="114300" simplePos="0" relativeHeight="251659264" behindDoc="1" locked="0" layoutInCell="1" allowOverlap="1" wp14:anchorId="435DD8A4" wp14:editId="024CF322">
            <wp:simplePos x="0" y="0"/>
            <wp:positionH relativeFrom="margin">
              <wp:align>left</wp:align>
            </wp:positionH>
            <wp:positionV relativeFrom="paragraph">
              <wp:posOffset>620</wp:posOffset>
            </wp:positionV>
            <wp:extent cx="5805805" cy="1222375"/>
            <wp:effectExtent l="0" t="0" r="4445" b="0"/>
            <wp:wrapTight wrapText="bothSides">
              <wp:wrapPolygon edited="0">
                <wp:start x="0" y="0"/>
                <wp:lineTo x="0" y="21207"/>
                <wp:lineTo x="21546" y="21207"/>
                <wp:lineTo x="21546"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52890" t="25923" r="5924" b="58631"/>
                    <a:stretch/>
                  </pic:blipFill>
                  <pic:spPr bwMode="auto">
                    <a:xfrm>
                      <a:off x="0" y="0"/>
                      <a:ext cx="5805805" cy="1222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Tariefopbouw hulp bij huishouden 2021 ev</w:t>
      </w:r>
    </w:p>
    <w:p w:rsidR="00FF633F" w:rsidRDefault="00FF633F" w:rsidP="00FF633F"/>
    <w:p w:rsidR="00FF633F" w:rsidRDefault="00FF633F" w:rsidP="00FF633F"/>
    <w:p w:rsidR="00FF633F" w:rsidRDefault="00FF633F" w:rsidP="00FF633F">
      <w:r>
        <w:t>Met dit document lichten we de afwegingen toe die gemaakt zijn om het tarief voor de hulp bij het huishouden vast te stellen.</w:t>
      </w:r>
      <w:r>
        <w:rPr>
          <w:highlight w:val="yellow"/>
        </w:rPr>
        <w:t xml:space="preserve"> </w:t>
      </w:r>
    </w:p>
    <w:p w:rsidR="00FF633F" w:rsidRDefault="00FF633F" w:rsidP="00FF633F"/>
    <w:p w:rsidR="00FF633F" w:rsidRPr="001E3944" w:rsidRDefault="00FF633F" w:rsidP="00FF633F">
      <w:pPr>
        <w:rPr>
          <w:i/>
        </w:rPr>
      </w:pPr>
      <w:r>
        <w:rPr>
          <w:i/>
        </w:rPr>
        <w:t>Rekenmodel van de ACTIZ/BTN/VNG</w:t>
      </w:r>
    </w:p>
    <w:p w:rsidR="00FF633F" w:rsidRDefault="00FF633F" w:rsidP="00FF633F">
      <w:r>
        <w:t xml:space="preserve">Om gemeenten te ondersteunen bij het bepalen van de tarieven voor hulp bij het huishouden heeft de VNG samen met ACTIZ en BTN (Branchebelang Thuiszorg Nederland) een model opgesteld. Dit rekenmodel doet recht aan de wettelijke vereisten voor tariefstelling en stelt gemeenten in staat om een afweging te maken </w:t>
      </w:r>
      <w:bookmarkStart w:id="0" w:name="_GoBack"/>
      <w:bookmarkEnd w:id="0"/>
      <w:r>
        <w:t xml:space="preserve">welk tarief op lokaal niveau verantwoord is. Het model is gebruikt om onder de gecontracteerde aanbieders een uitvraag te doen om daarmee inzicht te krijgen in de voor hen van toepassing zijnde kosten voor het aanbieden van hulp bij het huishouden. De aanbieders zijn met elkaar vergeleken en op basis daarvan is beoordeeld wat als een redelijk gemiddelde kan gelden voor diverse componenten. Met ‘gemiddelde’ wordt hier gedoeld op het gemiddelde van alle zorgaanbieders die gegevens aangeleverd hebben. </w:t>
      </w:r>
    </w:p>
    <w:p w:rsidR="00FF633F" w:rsidRDefault="00FF633F" w:rsidP="00FF633F"/>
    <w:p w:rsidR="00FF633F" w:rsidRPr="001E3944" w:rsidRDefault="00FF633F" w:rsidP="00FF633F">
      <w:pPr>
        <w:rPr>
          <w:i/>
        </w:rPr>
      </w:pPr>
      <w:r>
        <w:rPr>
          <w:i/>
        </w:rPr>
        <w:t>Toelichting op het model en de afzonderlijke componenten</w:t>
      </w:r>
    </w:p>
    <w:p w:rsidR="00FF633F" w:rsidRDefault="00FF633F" w:rsidP="00FF633F">
      <w:r>
        <w:t xml:space="preserve"> De kolom met ‘component’ laat zien uit welke onderdelen het tarief opgebouwd wordt. De kolom met ‘normering’ laat zien welke norm wij als reëel zien en die dus is gebruikt om het tarief te bepalen. In de laatste kolom lichten we dit toe.</w:t>
      </w:r>
    </w:p>
    <w:p w:rsidR="00FF633F" w:rsidRDefault="00FF633F" w:rsidP="00FF633F"/>
    <w:p w:rsidR="00FF633F" w:rsidRDefault="00FF633F" w:rsidP="00FF633F"/>
    <w:p w:rsidR="00FF633F" w:rsidRPr="00FF633F" w:rsidRDefault="00FF633F" w:rsidP="00FF633F">
      <w:pPr>
        <w:pStyle w:val="Bijschrift"/>
        <w:keepNext/>
        <w:ind w:left="-851"/>
        <w:rPr>
          <w:color w:val="auto"/>
        </w:rPr>
      </w:pPr>
      <w:r w:rsidRPr="00FF633F">
        <w:rPr>
          <w:color w:val="auto"/>
        </w:rPr>
        <w:t xml:space="preserve">Tabel </w:t>
      </w:r>
      <w:r w:rsidRPr="00FF633F">
        <w:rPr>
          <w:color w:val="auto"/>
        </w:rPr>
        <w:fldChar w:fldCharType="begin"/>
      </w:r>
      <w:r w:rsidRPr="00FF633F">
        <w:rPr>
          <w:color w:val="auto"/>
        </w:rPr>
        <w:instrText xml:space="preserve"> SEQ Tabel \* ARABIC </w:instrText>
      </w:r>
      <w:r w:rsidRPr="00FF633F">
        <w:rPr>
          <w:color w:val="auto"/>
        </w:rPr>
        <w:fldChar w:fldCharType="separate"/>
      </w:r>
      <w:r w:rsidRPr="00FF633F">
        <w:rPr>
          <w:noProof/>
          <w:color w:val="auto"/>
        </w:rPr>
        <w:t>1</w:t>
      </w:r>
      <w:r w:rsidRPr="00FF633F">
        <w:rPr>
          <w:noProof/>
          <w:color w:val="auto"/>
        </w:rPr>
        <w:fldChar w:fldCharType="end"/>
      </w:r>
      <w:r w:rsidRPr="00FF633F">
        <w:rPr>
          <w:color w:val="auto"/>
        </w:rPr>
        <w:t xml:space="preserve"> Opbouw van en toelichting op het tarief voor hulp bij het huishouden per 1 september 2021 en vanaf 2022</w:t>
      </w:r>
    </w:p>
    <w:tbl>
      <w:tblPr>
        <w:tblStyle w:val="Tabelraster"/>
        <w:tblW w:w="11057" w:type="dxa"/>
        <w:tblInd w:w="-743" w:type="dxa"/>
        <w:tblLook w:val="04A0" w:firstRow="1" w:lastRow="0" w:firstColumn="1" w:lastColumn="0" w:noHBand="0" w:noVBand="1"/>
      </w:tblPr>
      <w:tblGrid>
        <w:gridCol w:w="3686"/>
        <w:gridCol w:w="1418"/>
        <w:gridCol w:w="5953"/>
      </w:tblGrid>
      <w:tr w:rsidR="00FF633F" w:rsidRPr="005F74AC" w:rsidTr="00FF633F">
        <w:trPr>
          <w:trHeight w:val="285"/>
          <w:tblHeader/>
        </w:trPr>
        <w:tc>
          <w:tcPr>
            <w:tcW w:w="3686" w:type="dxa"/>
            <w:noWrap/>
            <w:hideMark/>
          </w:tcPr>
          <w:p w:rsidR="00FF633F" w:rsidRPr="005F74AC" w:rsidRDefault="00FF633F" w:rsidP="004D7564">
            <w:pPr>
              <w:tabs>
                <w:tab w:val="right" w:pos="2268"/>
              </w:tabs>
              <w:spacing w:line="250" w:lineRule="exact"/>
              <w:rPr>
                <w:b/>
                <w:bCs/>
              </w:rPr>
            </w:pPr>
            <w:r>
              <w:rPr>
                <w:b/>
                <w:bCs/>
              </w:rPr>
              <w:t>Component</w:t>
            </w:r>
          </w:p>
        </w:tc>
        <w:tc>
          <w:tcPr>
            <w:tcW w:w="1418" w:type="dxa"/>
            <w:noWrap/>
            <w:hideMark/>
          </w:tcPr>
          <w:p w:rsidR="00FF633F" w:rsidRPr="005F74AC" w:rsidRDefault="00FF633F" w:rsidP="004D7564">
            <w:pPr>
              <w:tabs>
                <w:tab w:val="right" w:pos="2268"/>
              </w:tabs>
              <w:spacing w:line="250" w:lineRule="exact"/>
              <w:rPr>
                <w:b/>
                <w:bCs/>
              </w:rPr>
            </w:pPr>
            <w:r w:rsidRPr="005F74AC">
              <w:rPr>
                <w:b/>
                <w:bCs/>
              </w:rPr>
              <w:t>Normering</w:t>
            </w:r>
          </w:p>
        </w:tc>
        <w:tc>
          <w:tcPr>
            <w:tcW w:w="5953" w:type="dxa"/>
          </w:tcPr>
          <w:p w:rsidR="00FF633F" w:rsidRPr="005F74AC" w:rsidRDefault="00FF633F" w:rsidP="004D7564">
            <w:pPr>
              <w:tabs>
                <w:tab w:val="right" w:pos="2268"/>
              </w:tabs>
              <w:spacing w:line="250" w:lineRule="exact"/>
              <w:rPr>
                <w:b/>
                <w:bCs/>
              </w:rPr>
            </w:pPr>
            <w:r>
              <w:rPr>
                <w:b/>
                <w:bCs/>
              </w:rPr>
              <w:t>Toelichting</w:t>
            </w:r>
          </w:p>
        </w:tc>
      </w:tr>
      <w:tr w:rsidR="00FF633F" w:rsidRPr="005F74AC" w:rsidTr="00FF633F">
        <w:trPr>
          <w:trHeight w:val="285"/>
        </w:trPr>
        <w:tc>
          <w:tcPr>
            <w:tcW w:w="3686" w:type="dxa"/>
            <w:noWrap/>
            <w:hideMark/>
          </w:tcPr>
          <w:p w:rsidR="00FF633F" w:rsidRPr="005F74AC" w:rsidRDefault="00FF633F" w:rsidP="004D7564">
            <w:pPr>
              <w:tabs>
                <w:tab w:val="right" w:pos="2268"/>
              </w:tabs>
              <w:spacing w:line="250" w:lineRule="exact"/>
            </w:pPr>
            <w:r>
              <w:t xml:space="preserve">Periode </w:t>
            </w:r>
            <w:r w:rsidRPr="005F74AC">
              <w:t>0</w:t>
            </w:r>
          </w:p>
        </w:tc>
        <w:tc>
          <w:tcPr>
            <w:tcW w:w="1418" w:type="dxa"/>
            <w:noWrap/>
            <w:hideMark/>
          </w:tcPr>
          <w:p w:rsidR="00FF633F" w:rsidRPr="005F74AC" w:rsidRDefault="00FF633F" w:rsidP="004D7564">
            <w:pPr>
              <w:tabs>
                <w:tab w:val="right" w:pos="2268"/>
              </w:tabs>
              <w:spacing w:line="250" w:lineRule="exact"/>
            </w:pPr>
            <w:r w:rsidRPr="005F74AC">
              <w:t>24,7%</w:t>
            </w:r>
          </w:p>
        </w:tc>
        <w:tc>
          <w:tcPr>
            <w:tcW w:w="5953" w:type="dxa"/>
          </w:tcPr>
          <w:p w:rsidR="00FF633F" w:rsidRPr="005F74AC" w:rsidRDefault="00FF633F" w:rsidP="004D7564">
            <w:pPr>
              <w:tabs>
                <w:tab w:val="right" w:pos="2268"/>
              </w:tabs>
              <w:spacing w:line="250" w:lineRule="exact"/>
            </w:pPr>
            <w:r>
              <w:t>Gemiddelde aangehouden.</w:t>
            </w:r>
          </w:p>
        </w:tc>
      </w:tr>
      <w:tr w:rsidR="00FF633F" w:rsidRPr="005F74AC" w:rsidTr="00FF633F">
        <w:trPr>
          <w:trHeight w:val="285"/>
        </w:trPr>
        <w:tc>
          <w:tcPr>
            <w:tcW w:w="3686" w:type="dxa"/>
            <w:noWrap/>
            <w:hideMark/>
          </w:tcPr>
          <w:p w:rsidR="00FF633F" w:rsidRPr="005F74AC" w:rsidRDefault="00FF633F" w:rsidP="004D7564">
            <w:pPr>
              <w:tabs>
                <w:tab w:val="right" w:pos="2268"/>
              </w:tabs>
              <w:spacing w:line="250" w:lineRule="exact"/>
            </w:pPr>
            <w:r>
              <w:t>Periode</w:t>
            </w:r>
            <w:r w:rsidRPr="005F74AC">
              <w:t xml:space="preserve"> 1</w:t>
            </w:r>
          </w:p>
        </w:tc>
        <w:tc>
          <w:tcPr>
            <w:tcW w:w="1418" w:type="dxa"/>
            <w:noWrap/>
            <w:hideMark/>
          </w:tcPr>
          <w:p w:rsidR="00FF633F" w:rsidRPr="005F74AC" w:rsidRDefault="00FF633F" w:rsidP="004D7564">
            <w:pPr>
              <w:tabs>
                <w:tab w:val="right" w:pos="2268"/>
              </w:tabs>
              <w:spacing w:line="250" w:lineRule="exact"/>
            </w:pPr>
            <w:r w:rsidRPr="005F74AC">
              <w:t>19,8%</w:t>
            </w:r>
          </w:p>
        </w:tc>
        <w:tc>
          <w:tcPr>
            <w:tcW w:w="5953" w:type="dxa"/>
          </w:tcPr>
          <w:p w:rsidR="00FF633F" w:rsidRPr="005F74AC" w:rsidRDefault="00FF633F" w:rsidP="004D7564">
            <w:pPr>
              <w:tabs>
                <w:tab w:val="right" w:pos="2268"/>
              </w:tabs>
              <w:spacing w:line="250" w:lineRule="exact"/>
            </w:pPr>
            <w:r>
              <w:t>Gemiddelde aangehouden.</w:t>
            </w:r>
          </w:p>
        </w:tc>
      </w:tr>
      <w:tr w:rsidR="00FF633F" w:rsidRPr="005F74AC" w:rsidTr="00FF633F">
        <w:trPr>
          <w:trHeight w:val="285"/>
        </w:trPr>
        <w:tc>
          <w:tcPr>
            <w:tcW w:w="3686" w:type="dxa"/>
            <w:noWrap/>
            <w:hideMark/>
          </w:tcPr>
          <w:p w:rsidR="00FF633F" w:rsidRPr="005F74AC" w:rsidRDefault="00FF633F" w:rsidP="004D7564">
            <w:pPr>
              <w:tabs>
                <w:tab w:val="right" w:pos="2268"/>
              </w:tabs>
              <w:spacing w:line="250" w:lineRule="exact"/>
            </w:pPr>
            <w:r>
              <w:t>Periode</w:t>
            </w:r>
            <w:r w:rsidRPr="005F74AC">
              <w:t xml:space="preserve"> 2</w:t>
            </w:r>
          </w:p>
        </w:tc>
        <w:tc>
          <w:tcPr>
            <w:tcW w:w="1418" w:type="dxa"/>
            <w:noWrap/>
            <w:hideMark/>
          </w:tcPr>
          <w:p w:rsidR="00FF633F" w:rsidRPr="005F74AC" w:rsidRDefault="00FF633F" w:rsidP="004D7564">
            <w:pPr>
              <w:tabs>
                <w:tab w:val="right" w:pos="2268"/>
              </w:tabs>
              <w:spacing w:line="250" w:lineRule="exact"/>
            </w:pPr>
            <w:r w:rsidRPr="005F74AC">
              <w:t>12,9%</w:t>
            </w:r>
          </w:p>
        </w:tc>
        <w:tc>
          <w:tcPr>
            <w:tcW w:w="5953" w:type="dxa"/>
          </w:tcPr>
          <w:p w:rsidR="00FF633F" w:rsidRPr="005F74AC" w:rsidRDefault="00FF633F" w:rsidP="004D7564">
            <w:pPr>
              <w:tabs>
                <w:tab w:val="right" w:pos="2268"/>
              </w:tabs>
              <w:spacing w:line="250" w:lineRule="exact"/>
            </w:pPr>
            <w:r>
              <w:t>Gemiddelde aangehouden.</w:t>
            </w:r>
          </w:p>
        </w:tc>
      </w:tr>
      <w:tr w:rsidR="00FF633F" w:rsidRPr="005F74AC" w:rsidTr="00FF633F">
        <w:trPr>
          <w:trHeight w:val="285"/>
        </w:trPr>
        <w:tc>
          <w:tcPr>
            <w:tcW w:w="3686" w:type="dxa"/>
            <w:noWrap/>
            <w:hideMark/>
          </w:tcPr>
          <w:p w:rsidR="00FF633F" w:rsidRPr="005F74AC" w:rsidRDefault="00FF633F" w:rsidP="004D7564">
            <w:pPr>
              <w:tabs>
                <w:tab w:val="right" w:pos="2268"/>
              </w:tabs>
              <w:spacing w:line="250" w:lineRule="exact"/>
            </w:pPr>
            <w:r>
              <w:t>Periode</w:t>
            </w:r>
            <w:r w:rsidRPr="005F74AC">
              <w:t xml:space="preserve"> 3</w:t>
            </w:r>
          </w:p>
        </w:tc>
        <w:tc>
          <w:tcPr>
            <w:tcW w:w="1418" w:type="dxa"/>
            <w:noWrap/>
            <w:hideMark/>
          </w:tcPr>
          <w:p w:rsidR="00FF633F" w:rsidRPr="005F74AC" w:rsidRDefault="00FF633F" w:rsidP="004D7564">
            <w:pPr>
              <w:tabs>
                <w:tab w:val="right" w:pos="2268"/>
              </w:tabs>
              <w:spacing w:line="250" w:lineRule="exact"/>
            </w:pPr>
            <w:r w:rsidRPr="005F74AC">
              <w:t>27,5%</w:t>
            </w:r>
          </w:p>
        </w:tc>
        <w:tc>
          <w:tcPr>
            <w:tcW w:w="5953" w:type="dxa"/>
          </w:tcPr>
          <w:p w:rsidR="00FF633F" w:rsidRPr="005F74AC" w:rsidRDefault="00FF633F" w:rsidP="004D7564">
            <w:pPr>
              <w:tabs>
                <w:tab w:val="right" w:pos="2268"/>
              </w:tabs>
              <w:spacing w:line="250" w:lineRule="exact"/>
            </w:pPr>
            <w:r>
              <w:t>Gemiddelde aangehouden.</w:t>
            </w:r>
          </w:p>
        </w:tc>
      </w:tr>
      <w:tr w:rsidR="00FF633F" w:rsidRPr="005F74AC" w:rsidTr="00FF633F">
        <w:trPr>
          <w:trHeight w:val="285"/>
        </w:trPr>
        <w:tc>
          <w:tcPr>
            <w:tcW w:w="3686" w:type="dxa"/>
            <w:noWrap/>
            <w:hideMark/>
          </w:tcPr>
          <w:p w:rsidR="00FF633F" w:rsidRPr="005F74AC" w:rsidRDefault="00FF633F" w:rsidP="004D7564">
            <w:pPr>
              <w:tabs>
                <w:tab w:val="right" w:pos="2268"/>
              </w:tabs>
              <w:spacing w:line="250" w:lineRule="exact"/>
            </w:pPr>
            <w:r>
              <w:t>Periode</w:t>
            </w:r>
            <w:r w:rsidRPr="005F74AC">
              <w:t xml:space="preserve"> 4</w:t>
            </w:r>
          </w:p>
        </w:tc>
        <w:tc>
          <w:tcPr>
            <w:tcW w:w="1418" w:type="dxa"/>
            <w:noWrap/>
            <w:hideMark/>
          </w:tcPr>
          <w:p w:rsidR="00FF633F" w:rsidRPr="005F74AC" w:rsidRDefault="00FF633F" w:rsidP="004D7564">
            <w:pPr>
              <w:tabs>
                <w:tab w:val="right" w:pos="2268"/>
              </w:tabs>
              <w:spacing w:line="250" w:lineRule="exact"/>
            </w:pPr>
            <w:r w:rsidRPr="005F74AC">
              <w:t>10,4%</w:t>
            </w:r>
          </w:p>
        </w:tc>
        <w:tc>
          <w:tcPr>
            <w:tcW w:w="5953" w:type="dxa"/>
          </w:tcPr>
          <w:p w:rsidR="00FF633F" w:rsidRPr="005F74AC" w:rsidRDefault="00FF633F" w:rsidP="004D7564">
            <w:pPr>
              <w:tabs>
                <w:tab w:val="right" w:pos="2268"/>
              </w:tabs>
              <w:spacing w:line="250" w:lineRule="exact"/>
            </w:pPr>
            <w:r>
              <w:t>Gemiddelde aangehouden.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t>Periode</w:t>
            </w:r>
            <w:r w:rsidRPr="005A279A">
              <w:t xml:space="preserve"> 5</w:t>
            </w:r>
          </w:p>
        </w:tc>
        <w:tc>
          <w:tcPr>
            <w:tcW w:w="1418" w:type="dxa"/>
            <w:noWrap/>
            <w:hideMark/>
          </w:tcPr>
          <w:p w:rsidR="00FF633F" w:rsidRPr="005A279A" w:rsidRDefault="00FF633F" w:rsidP="004D7564">
            <w:pPr>
              <w:tabs>
                <w:tab w:val="right" w:pos="2268"/>
              </w:tabs>
              <w:spacing w:line="250" w:lineRule="exact"/>
            </w:pPr>
            <w:r w:rsidRPr="005A279A">
              <w:t>4,6%</w:t>
            </w:r>
          </w:p>
        </w:tc>
        <w:tc>
          <w:tcPr>
            <w:tcW w:w="5953" w:type="dxa"/>
          </w:tcPr>
          <w:p w:rsidR="00FF633F" w:rsidRPr="005A279A" w:rsidRDefault="00FF633F" w:rsidP="004D7564">
            <w:pPr>
              <w:tabs>
                <w:tab w:val="right" w:pos="2268"/>
              </w:tabs>
              <w:spacing w:line="250" w:lineRule="exact"/>
            </w:pPr>
            <w:r w:rsidRPr="005A279A">
              <w:t>Gemiddelde aangehouden.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t>Periode</w:t>
            </w:r>
            <w:r w:rsidRPr="005A279A">
              <w:t xml:space="preserve"> 5+</w:t>
            </w:r>
          </w:p>
        </w:tc>
        <w:tc>
          <w:tcPr>
            <w:tcW w:w="1418" w:type="dxa"/>
            <w:noWrap/>
            <w:hideMark/>
          </w:tcPr>
          <w:p w:rsidR="00FF633F" w:rsidRPr="005A279A" w:rsidRDefault="00FF633F" w:rsidP="004D7564">
            <w:pPr>
              <w:tabs>
                <w:tab w:val="right" w:pos="2268"/>
              </w:tabs>
              <w:spacing w:line="250" w:lineRule="exact"/>
            </w:pPr>
            <w:r w:rsidRPr="005A279A">
              <w:t>0,0%</w:t>
            </w:r>
          </w:p>
        </w:tc>
        <w:tc>
          <w:tcPr>
            <w:tcW w:w="5953" w:type="dxa"/>
          </w:tcPr>
          <w:p w:rsidR="00FF633F" w:rsidRPr="005A279A" w:rsidRDefault="00FF633F" w:rsidP="004D7564">
            <w:pPr>
              <w:tabs>
                <w:tab w:val="right" w:pos="2268"/>
              </w:tabs>
              <w:spacing w:line="250" w:lineRule="exact"/>
            </w:pPr>
            <w:r w:rsidRPr="005A279A">
              <w:t>Gemiddelde aangehouden.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Opslag ORT (%)</w:t>
            </w:r>
          </w:p>
        </w:tc>
        <w:tc>
          <w:tcPr>
            <w:tcW w:w="1418" w:type="dxa"/>
            <w:noWrap/>
            <w:hideMark/>
          </w:tcPr>
          <w:p w:rsidR="00FF633F" w:rsidRPr="005A279A" w:rsidRDefault="00FF633F" w:rsidP="004D7564">
            <w:pPr>
              <w:tabs>
                <w:tab w:val="right" w:pos="2268"/>
              </w:tabs>
              <w:spacing w:line="250" w:lineRule="exact"/>
            </w:pPr>
            <w:r w:rsidRPr="005A279A">
              <w:t>0</w:t>
            </w:r>
          </w:p>
        </w:tc>
        <w:tc>
          <w:tcPr>
            <w:tcW w:w="5953" w:type="dxa"/>
          </w:tcPr>
          <w:p w:rsidR="00FF633F" w:rsidRPr="005A279A" w:rsidRDefault="00FF633F" w:rsidP="004D7564">
            <w:pPr>
              <w:tabs>
                <w:tab w:val="right" w:pos="2268"/>
              </w:tabs>
              <w:spacing w:line="250" w:lineRule="exact"/>
            </w:pPr>
            <w:r w:rsidRPr="005A279A">
              <w:t>Gemiddelde aangehouden.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 xml:space="preserve">Eenmalige uitkeringen </w:t>
            </w:r>
          </w:p>
          <w:p w:rsidR="00FF633F" w:rsidRPr="005A279A" w:rsidRDefault="00FF633F" w:rsidP="004D7564">
            <w:pPr>
              <w:tabs>
                <w:tab w:val="right" w:pos="2268"/>
              </w:tabs>
              <w:spacing w:line="250" w:lineRule="exact"/>
            </w:pPr>
            <w:r w:rsidRPr="005A279A">
              <w:t>(totaal per FTE, in euro)</w:t>
            </w:r>
          </w:p>
        </w:tc>
        <w:tc>
          <w:tcPr>
            <w:tcW w:w="1418" w:type="dxa"/>
            <w:noWrap/>
            <w:hideMark/>
          </w:tcPr>
          <w:p w:rsidR="00FF633F" w:rsidRPr="005A279A" w:rsidRDefault="00FF633F" w:rsidP="004D7564">
            <w:pPr>
              <w:tabs>
                <w:tab w:val="right" w:pos="2268"/>
              </w:tabs>
              <w:spacing w:line="250" w:lineRule="exact"/>
            </w:pPr>
            <w:r w:rsidRPr="005A279A">
              <w:t>0</w:t>
            </w:r>
          </w:p>
        </w:tc>
        <w:tc>
          <w:tcPr>
            <w:tcW w:w="5953" w:type="dxa"/>
          </w:tcPr>
          <w:p w:rsidR="00FF633F" w:rsidRPr="005A279A" w:rsidRDefault="00FF633F" w:rsidP="004D7564">
            <w:pPr>
              <w:tabs>
                <w:tab w:val="right" w:pos="2268"/>
              </w:tabs>
              <w:spacing w:line="250" w:lineRule="exact"/>
            </w:pPr>
            <w:r w:rsidRPr="005A279A">
              <w:t>Gemiddelde aangehouden.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Totaal werkgeversdeel pensioenpremies</w:t>
            </w:r>
          </w:p>
        </w:tc>
        <w:tc>
          <w:tcPr>
            <w:tcW w:w="1418" w:type="dxa"/>
            <w:noWrap/>
            <w:hideMark/>
          </w:tcPr>
          <w:p w:rsidR="00FF633F" w:rsidRPr="005A279A" w:rsidRDefault="00FF633F" w:rsidP="004D7564">
            <w:pPr>
              <w:tabs>
                <w:tab w:val="right" w:pos="2268"/>
              </w:tabs>
              <w:spacing w:line="250" w:lineRule="exact"/>
            </w:pPr>
            <w:r w:rsidRPr="005A279A">
              <w:t>6,6%</w:t>
            </w:r>
          </w:p>
        </w:tc>
        <w:tc>
          <w:tcPr>
            <w:tcW w:w="5953" w:type="dxa"/>
          </w:tcPr>
          <w:p w:rsidR="00FF633F" w:rsidRPr="005A279A" w:rsidRDefault="00FF633F" w:rsidP="004D7564">
            <w:pPr>
              <w:tabs>
                <w:tab w:val="right" w:pos="2268"/>
              </w:tabs>
              <w:spacing w:line="250" w:lineRule="exact"/>
            </w:pPr>
            <w:r w:rsidRPr="005A279A">
              <w:t>Gemiddelde aangehouden.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WAO / WIA (IVA en WGA)</w:t>
            </w:r>
          </w:p>
        </w:tc>
        <w:tc>
          <w:tcPr>
            <w:tcW w:w="1418" w:type="dxa"/>
            <w:noWrap/>
            <w:hideMark/>
          </w:tcPr>
          <w:p w:rsidR="00FF633F" w:rsidRPr="005A279A" w:rsidRDefault="00FF633F" w:rsidP="004D7564">
            <w:pPr>
              <w:tabs>
                <w:tab w:val="right" w:pos="2268"/>
              </w:tabs>
              <w:spacing w:line="250" w:lineRule="exact"/>
              <w:rPr>
                <w:bCs/>
              </w:rPr>
            </w:pPr>
            <w:r w:rsidRPr="005A279A">
              <w:rPr>
                <w:bCs/>
              </w:rPr>
              <w:t>7,53%</w:t>
            </w:r>
          </w:p>
        </w:tc>
        <w:tc>
          <w:tcPr>
            <w:tcW w:w="5953" w:type="dxa"/>
          </w:tcPr>
          <w:p w:rsidR="00FF633F" w:rsidRPr="005A279A" w:rsidRDefault="00FF633F" w:rsidP="004D7564">
            <w:pPr>
              <w:tabs>
                <w:tab w:val="right" w:pos="2268"/>
              </w:tabs>
              <w:spacing w:line="250" w:lineRule="exact"/>
              <w:rPr>
                <w:bCs/>
              </w:rPr>
            </w:pPr>
            <w:r w:rsidRPr="005A279A">
              <w:rPr>
                <w:bCs/>
              </w:rPr>
              <w:t>Dit is het feitelijk</w:t>
            </w:r>
            <w:r>
              <w:rPr>
                <w:bCs/>
              </w:rPr>
              <w:t>,</w:t>
            </w:r>
            <w:r w:rsidRPr="005A279A">
              <w:rPr>
                <w:bCs/>
              </w:rPr>
              <w:t xml:space="preserve"> wettelijk percentage.</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WW</w:t>
            </w:r>
          </w:p>
        </w:tc>
        <w:tc>
          <w:tcPr>
            <w:tcW w:w="1418" w:type="dxa"/>
            <w:noWrap/>
            <w:hideMark/>
          </w:tcPr>
          <w:p w:rsidR="00FF633F" w:rsidRPr="005A279A" w:rsidRDefault="00FF633F" w:rsidP="004D7564">
            <w:pPr>
              <w:tabs>
                <w:tab w:val="right" w:pos="2268"/>
              </w:tabs>
              <w:spacing w:line="250" w:lineRule="exact"/>
              <w:rPr>
                <w:bCs/>
              </w:rPr>
            </w:pPr>
            <w:r w:rsidRPr="005A279A">
              <w:rPr>
                <w:bCs/>
              </w:rPr>
              <w:t>4,4%</w:t>
            </w:r>
          </w:p>
        </w:tc>
        <w:tc>
          <w:tcPr>
            <w:tcW w:w="5953" w:type="dxa"/>
          </w:tcPr>
          <w:p w:rsidR="00FF633F" w:rsidRPr="005A279A" w:rsidRDefault="00FF633F" w:rsidP="004D7564">
            <w:pPr>
              <w:tabs>
                <w:tab w:val="right" w:pos="2268"/>
              </w:tabs>
              <w:spacing w:line="250" w:lineRule="exact"/>
              <w:rPr>
                <w:bCs/>
              </w:rPr>
            </w:pPr>
            <w:r w:rsidRPr="005A279A">
              <w:rPr>
                <w:rFonts w:cs="Arial"/>
                <w:szCs w:val="20"/>
              </w:rPr>
              <w:t>Eén aanbieder heeft een extreem afwijkend percentage genoemd. Dit vertekent het gemiddelde en is daarom niet meegerekend.</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ZVW</w:t>
            </w:r>
          </w:p>
        </w:tc>
        <w:tc>
          <w:tcPr>
            <w:tcW w:w="1418" w:type="dxa"/>
            <w:noWrap/>
            <w:hideMark/>
          </w:tcPr>
          <w:p w:rsidR="00FF633F" w:rsidRPr="005A279A" w:rsidRDefault="00FF633F" w:rsidP="004D7564">
            <w:pPr>
              <w:tabs>
                <w:tab w:val="right" w:pos="2268"/>
              </w:tabs>
              <w:spacing w:line="250" w:lineRule="exact"/>
              <w:rPr>
                <w:bCs/>
              </w:rPr>
            </w:pPr>
            <w:r w:rsidRPr="005A279A">
              <w:rPr>
                <w:bCs/>
              </w:rPr>
              <w:t>7,0%</w:t>
            </w:r>
          </w:p>
        </w:tc>
        <w:tc>
          <w:tcPr>
            <w:tcW w:w="5953" w:type="dxa"/>
          </w:tcPr>
          <w:p w:rsidR="00FF633F" w:rsidRPr="005A279A" w:rsidRDefault="00FF633F" w:rsidP="004D7564">
            <w:pPr>
              <w:tabs>
                <w:tab w:val="right" w:pos="2268"/>
              </w:tabs>
              <w:spacing w:line="250" w:lineRule="exact"/>
              <w:rPr>
                <w:bCs/>
              </w:rPr>
            </w:pPr>
            <w:r w:rsidRPr="005A279A">
              <w:rPr>
                <w:bCs/>
              </w:rPr>
              <w:t>Dit is het feitelijk wettelijk percentage.</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WHK</w:t>
            </w:r>
          </w:p>
        </w:tc>
        <w:tc>
          <w:tcPr>
            <w:tcW w:w="1418" w:type="dxa"/>
            <w:noWrap/>
            <w:hideMark/>
          </w:tcPr>
          <w:p w:rsidR="00FF633F" w:rsidRPr="005A279A" w:rsidRDefault="00FF633F" w:rsidP="004D7564">
            <w:pPr>
              <w:tabs>
                <w:tab w:val="right" w:pos="2268"/>
              </w:tabs>
              <w:spacing w:line="250" w:lineRule="exact"/>
            </w:pPr>
            <w:r w:rsidRPr="005A279A">
              <w:t>1,3%</w:t>
            </w:r>
          </w:p>
        </w:tc>
        <w:tc>
          <w:tcPr>
            <w:tcW w:w="5953" w:type="dxa"/>
          </w:tcPr>
          <w:p w:rsidR="00FF633F" w:rsidRPr="005A279A" w:rsidRDefault="00FF633F" w:rsidP="004D7564">
            <w:pPr>
              <w:tabs>
                <w:tab w:val="right" w:pos="2268"/>
              </w:tabs>
              <w:spacing w:line="250" w:lineRule="exact"/>
            </w:pPr>
            <w:r w:rsidRPr="005A279A">
              <w:t>Gemiddelde aangehouden.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WGA eigen risico; herverzekerd</w:t>
            </w:r>
          </w:p>
        </w:tc>
        <w:tc>
          <w:tcPr>
            <w:tcW w:w="1418" w:type="dxa"/>
            <w:noWrap/>
            <w:hideMark/>
          </w:tcPr>
          <w:p w:rsidR="00FF633F" w:rsidRPr="005A279A" w:rsidRDefault="00FF633F" w:rsidP="004D7564">
            <w:pPr>
              <w:tabs>
                <w:tab w:val="right" w:pos="2268"/>
              </w:tabs>
              <w:spacing w:line="250" w:lineRule="exact"/>
            </w:pPr>
            <w:r w:rsidRPr="005A279A">
              <w:t>0,3%</w:t>
            </w:r>
          </w:p>
        </w:tc>
        <w:tc>
          <w:tcPr>
            <w:tcW w:w="5953" w:type="dxa"/>
          </w:tcPr>
          <w:p w:rsidR="00FF633F" w:rsidRPr="005A279A" w:rsidRDefault="00FF633F" w:rsidP="004D7564">
            <w:pPr>
              <w:tabs>
                <w:tab w:val="right" w:pos="2268"/>
              </w:tabs>
              <w:spacing w:line="250" w:lineRule="exact"/>
            </w:pPr>
            <w:r w:rsidRPr="005A279A">
              <w:t>Gemiddelde aangehouden.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lastRenderedPageBreak/>
              <w:t xml:space="preserve">Totaal sociale lasten </w:t>
            </w:r>
          </w:p>
          <w:p w:rsidR="00FF633F" w:rsidRPr="005A279A" w:rsidRDefault="00FF633F" w:rsidP="004D7564">
            <w:pPr>
              <w:tabs>
                <w:tab w:val="right" w:pos="2268"/>
              </w:tabs>
              <w:spacing w:line="250" w:lineRule="exact"/>
            </w:pPr>
            <w:r w:rsidRPr="005A279A">
              <w:t>(excl. pensioenpremies)</w:t>
            </w:r>
          </w:p>
        </w:tc>
        <w:tc>
          <w:tcPr>
            <w:tcW w:w="1418" w:type="dxa"/>
            <w:noWrap/>
            <w:hideMark/>
          </w:tcPr>
          <w:p w:rsidR="00FF633F" w:rsidRPr="005A279A" w:rsidRDefault="00FF633F" w:rsidP="004D7564">
            <w:pPr>
              <w:tabs>
                <w:tab w:val="right" w:pos="2268"/>
              </w:tabs>
              <w:spacing w:line="250" w:lineRule="exact"/>
            </w:pPr>
            <w:r w:rsidRPr="005A279A">
              <w:t>20,8%</w:t>
            </w:r>
          </w:p>
        </w:tc>
        <w:tc>
          <w:tcPr>
            <w:tcW w:w="5953" w:type="dxa"/>
          </w:tcPr>
          <w:p w:rsidR="00FF633F" w:rsidRPr="005A279A" w:rsidRDefault="00FF633F" w:rsidP="004D7564">
            <w:pPr>
              <w:tabs>
                <w:tab w:val="right" w:pos="2268"/>
              </w:tabs>
              <w:spacing w:line="250" w:lineRule="exact"/>
            </w:pPr>
            <w:r w:rsidRPr="005A279A">
              <w:t>Gemiddelde aangehouden.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Ziekteverzuim</w:t>
            </w:r>
          </w:p>
        </w:tc>
        <w:tc>
          <w:tcPr>
            <w:tcW w:w="1418" w:type="dxa"/>
            <w:noWrap/>
            <w:hideMark/>
          </w:tcPr>
          <w:p w:rsidR="00FF633F" w:rsidRPr="005A279A" w:rsidRDefault="00FF633F" w:rsidP="004D7564">
            <w:pPr>
              <w:tabs>
                <w:tab w:val="right" w:pos="2268"/>
              </w:tabs>
              <w:spacing w:line="250" w:lineRule="exact"/>
              <w:rPr>
                <w:bCs/>
              </w:rPr>
            </w:pPr>
            <w:r w:rsidRPr="005A279A">
              <w:rPr>
                <w:bCs/>
              </w:rPr>
              <w:t>6,17%</w:t>
            </w:r>
          </w:p>
        </w:tc>
        <w:tc>
          <w:tcPr>
            <w:tcW w:w="5953" w:type="dxa"/>
          </w:tcPr>
          <w:p w:rsidR="00FF633F" w:rsidRPr="005A279A" w:rsidRDefault="00FF633F" w:rsidP="004D7564">
            <w:pPr>
              <w:tabs>
                <w:tab w:val="right" w:pos="2268"/>
              </w:tabs>
              <w:spacing w:line="250" w:lineRule="exact"/>
              <w:rPr>
                <w:bCs/>
              </w:rPr>
            </w:pPr>
            <w:r w:rsidRPr="005A279A">
              <w:rPr>
                <w:bCs/>
              </w:rPr>
              <w:t>Hier is een normering opgelegd ter hoogte van het gemiddelde van de laagste drie scores.</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Verlof</w:t>
            </w:r>
          </w:p>
        </w:tc>
        <w:tc>
          <w:tcPr>
            <w:tcW w:w="1418" w:type="dxa"/>
            <w:noWrap/>
            <w:hideMark/>
          </w:tcPr>
          <w:p w:rsidR="00FF633F" w:rsidRPr="005A279A" w:rsidRDefault="00FF633F" w:rsidP="004D7564">
            <w:pPr>
              <w:tabs>
                <w:tab w:val="right" w:pos="2268"/>
              </w:tabs>
              <w:spacing w:line="250" w:lineRule="exact"/>
            </w:pPr>
            <w:r w:rsidRPr="005A279A">
              <w:t>237,4</w:t>
            </w:r>
          </w:p>
        </w:tc>
        <w:tc>
          <w:tcPr>
            <w:tcW w:w="5953" w:type="dxa"/>
          </w:tcPr>
          <w:p w:rsidR="00FF633F" w:rsidRPr="005A279A" w:rsidRDefault="00FF633F" w:rsidP="004D7564">
            <w:pPr>
              <w:tabs>
                <w:tab w:val="right" w:pos="2268"/>
              </w:tabs>
              <w:spacing w:line="250" w:lineRule="exact"/>
            </w:pPr>
            <w:r w:rsidRPr="005A279A">
              <w:t>Gemiddelde aangehouden.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Aanvullend verlof</w:t>
            </w:r>
          </w:p>
        </w:tc>
        <w:tc>
          <w:tcPr>
            <w:tcW w:w="1418" w:type="dxa"/>
            <w:noWrap/>
            <w:hideMark/>
          </w:tcPr>
          <w:p w:rsidR="00FF633F" w:rsidRPr="005A279A" w:rsidRDefault="00FF633F" w:rsidP="004D7564">
            <w:pPr>
              <w:tabs>
                <w:tab w:val="right" w:pos="2268"/>
              </w:tabs>
              <w:spacing w:line="250" w:lineRule="exact"/>
              <w:rPr>
                <w:bCs/>
              </w:rPr>
            </w:pPr>
            <w:r w:rsidRPr="005A279A">
              <w:rPr>
                <w:bCs/>
              </w:rPr>
              <w:t>3,1</w:t>
            </w:r>
          </w:p>
        </w:tc>
        <w:tc>
          <w:tcPr>
            <w:tcW w:w="5953" w:type="dxa"/>
          </w:tcPr>
          <w:p w:rsidR="00FF633F" w:rsidRPr="005A279A" w:rsidRDefault="00FF633F" w:rsidP="004D7564">
            <w:pPr>
              <w:tabs>
                <w:tab w:val="right" w:pos="2268"/>
              </w:tabs>
              <w:spacing w:line="250" w:lineRule="exact"/>
              <w:rPr>
                <w:bCs/>
              </w:rPr>
            </w:pPr>
            <w:r w:rsidRPr="005A279A">
              <w:rPr>
                <w:bCs/>
              </w:rPr>
              <w:t>Een aantal aanbieders had hier 0 ingevuld, wat cao-technisch niet realistisch is. Daarom is het gemiddelde van de overige aanbieders genomen.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Doorbetaalde pauzes</w:t>
            </w:r>
          </w:p>
        </w:tc>
        <w:tc>
          <w:tcPr>
            <w:tcW w:w="1418" w:type="dxa"/>
            <w:noWrap/>
            <w:hideMark/>
          </w:tcPr>
          <w:p w:rsidR="00FF633F" w:rsidRPr="005A279A" w:rsidRDefault="00FF633F" w:rsidP="004D7564">
            <w:pPr>
              <w:tabs>
                <w:tab w:val="right" w:pos="2268"/>
              </w:tabs>
              <w:spacing w:line="250" w:lineRule="exact"/>
            </w:pPr>
            <w:r w:rsidRPr="005A279A">
              <w:t>0,0%</w:t>
            </w:r>
          </w:p>
        </w:tc>
        <w:tc>
          <w:tcPr>
            <w:tcW w:w="5953" w:type="dxa"/>
          </w:tcPr>
          <w:p w:rsidR="00FF633F" w:rsidRPr="005A279A" w:rsidRDefault="00FF633F" w:rsidP="004D7564">
            <w:pPr>
              <w:tabs>
                <w:tab w:val="right" w:pos="2268"/>
              </w:tabs>
              <w:spacing w:line="250" w:lineRule="exact"/>
            </w:pPr>
            <w:r w:rsidRPr="005A279A">
              <w:t>Gemiddelde aangehouden.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Scholing</w:t>
            </w:r>
          </w:p>
        </w:tc>
        <w:tc>
          <w:tcPr>
            <w:tcW w:w="1418" w:type="dxa"/>
            <w:noWrap/>
            <w:hideMark/>
          </w:tcPr>
          <w:p w:rsidR="00FF633F" w:rsidRPr="005A279A" w:rsidRDefault="00FF633F" w:rsidP="004D7564">
            <w:pPr>
              <w:tabs>
                <w:tab w:val="right" w:pos="2268"/>
              </w:tabs>
              <w:spacing w:line="250" w:lineRule="exact"/>
              <w:rPr>
                <w:bCs/>
              </w:rPr>
            </w:pPr>
            <w:r w:rsidRPr="005A279A">
              <w:rPr>
                <w:bCs/>
              </w:rPr>
              <w:t>1,0%</w:t>
            </w:r>
          </w:p>
        </w:tc>
        <w:tc>
          <w:tcPr>
            <w:tcW w:w="5953" w:type="dxa"/>
          </w:tcPr>
          <w:p w:rsidR="00FF633F" w:rsidRPr="005A279A" w:rsidRDefault="00FF633F" w:rsidP="004D7564">
            <w:pPr>
              <w:tabs>
                <w:tab w:val="right" w:pos="2268"/>
              </w:tabs>
              <w:spacing w:line="250" w:lineRule="exact"/>
              <w:rPr>
                <w:bCs/>
              </w:rPr>
            </w:pPr>
            <w:r w:rsidRPr="005A279A">
              <w:rPr>
                <w:rFonts w:cs="Arial"/>
                <w:szCs w:val="20"/>
              </w:rPr>
              <w:t>De cao bepaalt dat scholing minimaal 2% van de loonsom is. Daarom wordt 1% gerekend bij scholingstijd hier en 1% bij scholingskosten (overhead).</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Reflectie</w:t>
            </w:r>
          </w:p>
        </w:tc>
        <w:tc>
          <w:tcPr>
            <w:tcW w:w="1418" w:type="dxa"/>
            <w:noWrap/>
            <w:hideMark/>
          </w:tcPr>
          <w:p w:rsidR="00FF633F" w:rsidRPr="005A279A" w:rsidRDefault="00FF633F" w:rsidP="004D7564">
            <w:pPr>
              <w:tabs>
                <w:tab w:val="right" w:pos="2268"/>
              </w:tabs>
              <w:spacing w:line="250" w:lineRule="exact"/>
              <w:rPr>
                <w:bCs/>
              </w:rPr>
            </w:pPr>
            <w:r w:rsidRPr="005A279A">
              <w:rPr>
                <w:bCs/>
              </w:rPr>
              <w:t>0,1%</w:t>
            </w:r>
          </w:p>
        </w:tc>
        <w:tc>
          <w:tcPr>
            <w:tcW w:w="5953" w:type="dxa"/>
          </w:tcPr>
          <w:p w:rsidR="00FF633F" w:rsidRPr="005A279A" w:rsidRDefault="00FF633F" w:rsidP="004D7564">
            <w:pPr>
              <w:tabs>
                <w:tab w:val="right" w:pos="2268"/>
              </w:tabs>
              <w:spacing w:line="250" w:lineRule="exact"/>
              <w:rPr>
                <w:bCs/>
              </w:rPr>
            </w:pPr>
            <w:r w:rsidRPr="005A279A">
              <w:rPr>
                <w:rFonts w:cs="Arial"/>
                <w:szCs w:val="20"/>
              </w:rPr>
              <w:t>Eén aanbieder heeft een extreem afwijkend percentage genoemd. Dit vertekent het gemiddelde en is daarom niet meegerekend.</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Zakelijke reistijd (in uren)</w:t>
            </w:r>
          </w:p>
        </w:tc>
        <w:tc>
          <w:tcPr>
            <w:tcW w:w="1418" w:type="dxa"/>
            <w:noWrap/>
            <w:hideMark/>
          </w:tcPr>
          <w:p w:rsidR="00FF633F" w:rsidRPr="005A279A" w:rsidRDefault="00FF633F" w:rsidP="004D7564">
            <w:pPr>
              <w:tabs>
                <w:tab w:val="right" w:pos="2268"/>
              </w:tabs>
              <w:spacing w:line="250" w:lineRule="exact"/>
              <w:rPr>
                <w:bCs/>
              </w:rPr>
            </w:pPr>
            <w:r w:rsidRPr="005A279A">
              <w:rPr>
                <w:bCs/>
              </w:rPr>
              <w:t>30,0</w:t>
            </w:r>
          </w:p>
        </w:tc>
        <w:tc>
          <w:tcPr>
            <w:tcW w:w="5953" w:type="dxa"/>
          </w:tcPr>
          <w:p w:rsidR="00FF633F" w:rsidRPr="005A279A" w:rsidRDefault="00FF633F" w:rsidP="004D7564">
            <w:pPr>
              <w:tabs>
                <w:tab w:val="right" w:pos="2268"/>
              </w:tabs>
              <w:spacing w:line="250" w:lineRule="exact"/>
              <w:rPr>
                <w:bCs/>
              </w:rPr>
            </w:pPr>
            <w:r w:rsidRPr="005A279A">
              <w:rPr>
                <w:bCs/>
              </w:rPr>
              <w:t xml:space="preserve">Dit is een nieuwe variabele waar aanbieders nog registratie op moeten starten. De opgegeven uren lopen uiteen met een verschil van 38 uur. De laagste waarden waren niet realistisch en zijn daarom niet meegeteld. We zijn tussen de hoge waarden in gaan zitten. </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Administratie en overleg</w:t>
            </w:r>
          </w:p>
        </w:tc>
        <w:tc>
          <w:tcPr>
            <w:tcW w:w="1418" w:type="dxa"/>
            <w:noWrap/>
            <w:hideMark/>
          </w:tcPr>
          <w:p w:rsidR="00FF633F" w:rsidRPr="005A279A" w:rsidRDefault="00FF633F" w:rsidP="004D7564">
            <w:pPr>
              <w:tabs>
                <w:tab w:val="right" w:pos="2268"/>
              </w:tabs>
              <w:spacing w:line="250" w:lineRule="exact"/>
              <w:rPr>
                <w:bCs/>
              </w:rPr>
            </w:pPr>
            <w:r w:rsidRPr="005A279A">
              <w:rPr>
                <w:bCs/>
              </w:rPr>
              <w:t>0,3%</w:t>
            </w:r>
          </w:p>
        </w:tc>
        <w:tc>
          <w:tcPr>
            <w:tcW w:w="5953" w:type="dxa"/>
          </w:tcPr>
          <w:p w:rsidR="00FF633F" w:rsidRPr="005A279A" w:rsidRDefault="00FF633F" w:rsidP="004D7564">
            <w:pPr>
              <w:tabs>
                <w:tab w:val="right" w:pos="2268"/>
              </w:tabs>
              <w:spacing w:line="250" w:lineRule="exact"/>
              <w:rPr>
                <w:bCs/>
              </w:rPr>
            </w:pPr>
            <w:r w:rsidRPr="005A279A">
              <w:rPr>
                <w:rFonts w:cs="Arial"/>
                <w:szCs w:val="20"/>
              </w:rPr>
              <w:t>Eén aanbieder heeft een extreem afwijkend percentage genoemd. Dit vertekent het gemiddelde en is daarom niet meegerekend.</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Cliënt niet aanwezig (no-show)</w:t>
            </w:r>
          </w:p>
        </w:tc>
        <w:tc>
          <w:tcPr>
            <w:tcW w:w="1418" w:type="dxa"/>
            <w:noWrap/>
            <w:hideMark/>
          </w:tcPr>
          <w:p w:rsidR="00FF633F" w:rsidRPr="005A279A" w:rsidRDefault="00FF633F" w:rsidP="004D7564">
            <w:pPr>
              <w:tabs>
                <w:tab w:val="right" w:pos="2268"/>
              </w:tabs>
              <w:spacing w:line="250" w:lineRule="exact"/>
              <w:rPr>
                <w:bCs/>
              </w:rPr>
            </w:pPr>
            <w:r w:rsidRPr="005A279A">
              <w:rPr>
                <w:bCs/>
              </w:rPr>
              <w:t>0,1%</w:t>
            </w:r>
          </w:p>
        </w:tc>
        <w:tc>
          <w:tcPr>
            <w:tcW w:w="5953" w:type="dxa"/>
          </w:tcPr>
          <w:p w:rsidR="00FF633F" w:rsidRPr="005A279A" w:rsidRDefault="00FF633F" w:rsidP="004D7564">
            <w:pPr>
              <w:tabs>
                <w:tab w:val="right" w:pos="2268"/>
              </w:tabs>
              <w:spacing w:line="250" w:lineRule="exact"/>
              <w:rPr>
                <w:bCs/>
              </w:rPr>
            </w:pPr>
            <w:r w:rsidRPr="005A279A">
              <w:rPr>
                <w:rFonts w:cs="Arial"/>
                <w:szCs w:val="20"/>
              </w:rPr>
              <w:t>Eén aanbieder heeft een extreem afwijkend percentage genoemd. Dit vertekent het gemiddelde en is daarom niet meegerekend.</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rPr>
                <w:bCs/>
              </w:rPr>
            </w:pPr>
            <w:r w:rsidRPr="005A279A">
              <w:rPr>
                <w:bCs/>
              </w:rPr>
              <w:t>Netto uren</w:t>
            </w:r>
          </w:p>
        </w:tc>
        <w:tc>
          <w:tcPr>
            <w:tcW w:w="1418" w:type="dxa"/>
            <w:noWrap/>
            <w:hideMark/>
          </w:tcPr>
          <w:p w:rsidR="00FF633F" w:rsidRPr="005A279A" w:rsidRDefault="00FF633F" w:rsidP="004D7564">
            <w:pPr>
              <w:tabs>
                <w:tab w:val="right" w:pos="2268"/>
              </w:tabs>
              <w:spacing w:line="250" w:lineRule="exact"/>
              <w:rPr>
                <w:bCs/>
              </w:rPr>
            </w:pPr>
            <w:r w:rsidRPr="005A279A">
              <w:rPr>
                <w:bCs/>
              </w:rPr>
              <w:t>1.465</w:t>
            </w:r>
          </w:p>
        </w:tc>
        <w:tc>
          <w:tcPr>
            <w:tcW w:w="5953" w:type="dxa"/>
          </w:tcPr>
          <w:p w:rsidR="00FF633F" w:rsidRPr="005A279A" w:rsidRDefault="00FF633F" w:rsidP="004D7564">
            <w:pPr>
              <w:tabs>
                <w:tab w:val="right" w:pos="2268"/>
              </w:tabs>
              <w:spacing w:line="250" w:lineRule="exact"/>
              <w:rPr>
                <w:bCs/>
              </w:rPr>
            </w:pPr>
            <w:r w:rsidRPr="005A279A">
              <w:rPr>
                <w:bCs/>
              </w:rPr>
              <w:t>Dit is een resultante van de gemaakte keuzes hierboven.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Productiviteit %</w:t>
            </w:r>
          </w:p>
        </w:tc>
        <w:tc>
          <w:tcPr>
            <w:tcW w:w="1418" w:type="dxa"/>
            <w:noWrap/>
            <w:hideMark/>
          </w:tcPr>
          <w:p w:rsidR="00FF633F" w:rsidRPr="005A279A" w:rsidRDefault="00FF633F" w:rsidP="004D7564">
            <w:pPr>
              <w:tabs>
                <w:tab w:val="right" w:pos="2268"/>
              </w:tabs>
              <w:spacing w:line="250" w:lineRule="exact"/>
              <w:rPr>
                <w:bCs/>
              </w:rPr>
            </w:pPr>
            <w:r w:rsidRPr="005A279A">
              <w:rPr>
                <w:bCs/>
              </w:rPr>
              <w:t>78,0%</w:t>
            </w:r>
          </w:p>
        </w:tc>
        <w:tc>
          <w:tcPr>
            <w:tcW w:w="5953" w:type="dxa"/>
          </w:tcPr>
          <w:p w:rsidR="00FF633F" w:rsidRPr="005A279A" w:rsidRDefault="00FF633F" w:rsidP="004D7564">
            <w:pPr>
              <w:tabs>
                <w:tab w:val="right" w:pos="2268"/>
              </w:tabs>
              <w:spacing w:line="250" w:lineRule="exact"/>
              <w:rPr>
                <w:bCs/>
              </w:rPr>
            </w:pPr>
            <w:r w:rsidRPr="005A279A">
              <w:rPr>
                <w:bCs/>
              </w:rPr>
              <w:t>Hier is een normering opgelegd ter hoogte van het gemiddelde van alle aanbieders minus één aanbieder met het laagste aantal netto uren.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Kosten woon-werkverkeer per gewerkt uur</w:t>
            </w:r>
          </w:p>
        </w:tc>
        <w:tc>
          <w:tcPr>
            <w:tcW w:w="1418" w:type="dxa"/>
            <w:noWrap/>
            <w:hideMark/>
          </w:tcPr>
          <w:p w:rsidR="00FF633F" w:rsidRPr="005A279A" w:rsidRDefault="00FF633F" w:rsidP="004D7564">
            <w:pPr>
              <w:tabs>
                <w:tab w:val="right" w:pos="2268"/>
              </w:tabs>
              <w:spacing w:line="250" w:lineRule="exact"/>
            </w:pPr>
          </w:p>
        </w:tc>
        <w:tc>
          <w:tcPr>
            <w:tcW w:w="5953" w:type="dxa"/>
          </w:tcPr>
          <w:p w:rsidR="00FF633F" w:rsidRPr="005A279A" w:rsidRDefault="00FF633F" w:rsidP="004D7564">
            <w:pPr>
              <w:tabs>
                <w:tab w:val="right" w:pos="2268"/>
              </w:tabs>
              <w:spacing w:line="250" w:lineRule="exact"/>
            </w:pPr>
            <w:r w:rsidRPr="005A279A">
              <w:t>Conform cao artikel 9.2 wordt er geen woon-werkvergoeding verstrekt.</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Kosten werk-werkverkeer per gewerkt uur</w:t>
            </w:r>
          </w:p>
        </w:tc>
        <w:tc>
          <w:tcPr>
            <w:tcW w:w="1418" w:type="dxa"/>
            <w:noWrap/>
            <w:hideMark/>
          </w:tcPr>
          <w:p w:rsidR="00FF633F" w:rsidRPr="005A279A" w:rsidRDefault="00FF633F" w:rsidP="004D7564">
            <w:pPr>
              <w:tabs>
                <w:tab w:val="right" w:pos="2268"/>
              </w:tabs>
              <w:spacing w:line="250" w:lineRule="exact"/>
              <w:rPr>
                <w:bCs/>
              </w:rPr>
            </w:pPr>
            <w:r w:rsidRPr="005A279A">
              <w:rPr>
                <w:bCs/>
              </w:rPr>
              <w:t>€ 0,40</w:t>
            </w:r>
          </w:p>
        </w:tc>
        <w:tc>
          <w:tcPr>
            <w:tcW w:w="5953" w:type="dxa"/>
          </w:tcPr>
          <w:p w:rsidR="00FF633F" w:rsidRPr="005A279A" w:rsidRDefault="00FF633F" w:rsidP="004D7564">
            <w:pPr>
              <w:tabs>
                <w:tab w:val="right" w:pos="2268"/>
              </w:tabs>
              <w:spacing w:line="250" w:lineRule="exact"/>
              <w:rPr>
                <w:bCs/>
              </w:rPr>
            </w:pPr>
            <w:r w:rsidRPr="005A279A">
              <w:rPr>
                <w:rFonts w:cs="Arial"/>
                <w:szCs w:val="20"/>
              </w:rPr>
              <w:t>Eén aanbieder heeft een extreem afwijkend percentage genoemd. Dit vertekent het gemiddelde en is daarom niet meegerekend.</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Totale reiskosten</w:t>
            </w:r>
          </w:p>
        </w:tc>
        <w:tc>
          <w:tcPr>
            <w:tcW w:w="1418" w:type="dxa"/>
            <w:noWrap/>
            <w:hideMark/>
          </w:tcPr>
          <w:p w:rsidR="00FF633F" w:rsidRPr="005A279A" w:rsidRDefault="00FF633F" w:rsidP="004D7564">
            <w:pPr>
              <w:tabs>
                <w:tab w:val="right" w:pos="2268"/>
              </w:tabs>
              <w:spacing w:line="250" w:lineRule="exact"/>
              <w:rPr>
                <w:bCs/>
              </w:rPr>
            </w:pPr>
            <w:r w:rsidRPr="005A279A">
              <w:rPr>
                <w:bCs/>
              </w:rPr>
              <w:t>€ 0,40</w:t>
            </w:r>
          </w:p>
        </w:tc>
        <w:tc>
          <w:tcPr>
            <w:tcW w:w="5953" w:type="dxa"/>
          </w:tcPr>
          <w:p w:rsidR="00FF633F" w:rsidRPr="005A279A" w:rsidRDefault="00FF633F" w:rsidP="004D7564">
            <w:pPr>
              <w:tabs>
                <w:tab w:val="right" w:pos="2268"/>
              </w:tabs>
              <w:spacing w:line="250" w:lineRule="exact"/>
              <w:rPr>
                <w:bCs/>
              </w:rPr>
            </w:pPr>
            <w:r w:rsidRPr="005A279A">
              <w:rPr>
                <w:rFonts w:cs="Arial"/>
                <w:szCs w:val="20"/>
              </w:rPr>
              <w:t>Eén aanbieder heeft een extreem afwijkend percentage genoemd. Dit vertekent het gemiddelde en is daarom niet meegerekend.</w:t>
            </w:r>
          </w:p>
        </w:tc>
      </w:tr>
      <w:tr w:rsidR="00FF633F" w:rsidRPr="005F74AC" w:rsidTr="00FF633F">
        <w:trPr>
          <w:trHeight w:val="323"/>
        </w:trPr>
        <w:tc>
          <w:tcPr>
            <w:tcW w:w="3686" w:type="dxa"/>
            <w:noWrap/>
            <w:hideMark/>
          </w:tcPr>
          <w:p w:rsidR="00FF633F" w:rsidRPr="005A279A" w:rsidRDefault="00FF633F" w:rsidP="004D7564">
            <w:pPr>
              <w:tabs>
                <w:tab w:val="right" w:pos="2268"/>
              </w:tabs>
              <w:spacing w:line="250" w:lineRule="exact"/>
            </w:pPr>
            <w:r w:rsidRPr="005A279A">
              <w:t xml:space="preserve">Kosten overheadpersoneel </w:t>
            </w:r>
          </w:p>
          <w:p w:rsidR="00FF633F" w:rsidRPr="005A279A" w:rsidRDefault="00FF633F" w:rsidP="004D7564">
            <w:pPr>
              <w:tabs>
                <w:tab w:val="right" w:pos="2268"/>
              </w:tabs>
              <w:spacing w:line="250" w:lineRule="exact"/>
            </w:pPr>
            <w:r w:rsidRPr="005A279A">
              <w:t>(% van totale kosten)</w:t>
            </w:r>
          </w:p>
        </w:tc>
        <w:tc>
          <w:tcPr>
            <w:tcW w:w="1418" w:type="dxa"/>
            <w:noWrap/>
            <w:hideMark/>
          </w:tcPr>
          <w:p w:rsidR="00FF633F" w:rsidRPr="005A279A" w:rsidRDefault="00FF633F" w:rsidP="004D7564">
            <w:pPr>
              <w:tabs>
                <w:tab w:val="right" w:pos="2268"/>
              </w:tabs>
              <w:spacing w:line="250" w:lineRule="exact"/>
              <w:rPr>
                <w:bCs/>
              </w:rPr>
            </w:pPr>
            <w:r w:rsidRPr="005A279A">
              <w:rPr>
                <w:bCs/>
              </w:rPr>
              <w:t>9,3%</w:t>
            </w:r>
          </w:p>
        </w:tc>
        <w:tc>
          <w:tcPr>
            <w:tcW w:w="5953" w:type="dxa"/>
          </w:tcPr>
          <w:p w:rsidR="00FF633F" w:rsidRPr="005A279A" w:rsidRDefault="00FF633F" w:rsidP="004D7564">
            <w:pPr>
              <w:tabs>
                <w:tab w:val="right" w:pos="2268"/>
              </w:tabs>
              <w:spacing w:line="250" w:lineRule="exact"/>
              <w:rPr>
                <w:bCs/>
              </w:rPr>
            </w:pPr>
            <w:r w:rsidRPr="005A279A">
              <w:rPr>
                <w:rFonts w:cs="Arial"/>
                <w:szCs w:val="20"/>
              </w:rPr>
              <w:t>Eén aanbieder heeft een extreem afwijkend percentage genoemd. Dit vertekent het gemiddelde en is daarom niet meegerekend.</w:t>
            </w:r>
          </w:p>
        </w:tc>
      </w:tr>
      <w:tr w:rsidR="00FF633F" w:rsidRPr="005F74AC" w:rsidTr="00FF633F">
        <w:trPr>
          <w:trHeight w:val="323"/>
        </w:trPr>
        <w:tc>
          <w:tcPr>
            <w:tcW w:w="3686" w:type="dxa"/>
            <w:noWrap/>
            <w:hideMark/>
          </w:tcPr>
          <w:p w:rsidR="00FF633F" w:rsidRPr="005A279A" w:rsidRDefault="00FF633F" w:rsidP="004D7564">
            <w:pPr>
              <w:tabs>
                <w:tab w:val="right" w:pos="2268"/>
              </w:tabs>
              <w:spacing w:line="250" w:lineRule="exact"/>
            </w:pPr>
            <w:r w:rsidRPr="005A279A">
              <w:t xml:space="preserve">Inhuur / uitbesteding overheadtaken </w:t>
            </w:r>
          </w:p>
          <w:p w:rsidR="00FF633F" w:rsidRPr="005A279A" w:rsidRDefault="00FF633F" w:rsidP="004D7564">
            <w:pPr>
              <w:tabs>
                <w:tab w:val="right" w:pos="2268"/>
              </w:tabs>
              <w:spacing w:line="250" w:lineRule="exact"/>
            </w:pPr>
            <w:r w:rsidRPr="005A279A">
              <w:t>(% van totale kosten)</w:t>
            </w:r>
          </w:p>
        </w:tc>
        <w:tc>
          <w:tcPr>
            <w:tcW w:w="1418" w:type="dxa"/>
            <w:noWrap/>
            <w:hideMark/>
          </w:tcPr>
          <w:p w:rsidR="00FF633F" w:rsidRPr="005A279A" w:rsidRDefault="00FF633F" w:rsidP="004D7564">
            <w:pPr>
              <w:tabs>
                <w:tab w:val="right" w:pos="2268"/>
              </w:tabs>
              <w:spacing w:line="250" w:lineRule="exact"/>
            </w:pPr>
            <w:r w:rsidRPr="005A279A">
              <w:t>0,5%</w:t>
            </w:r>
          </w:p>
        </w:tc>
        <w:tc>
          <w:tcPr>
            <w:tcW w:w="5953" w:type="dxa"/>
          </w:tcPr>
          <w:p w:rsidR="00FF633F" w:rsidRPr="005A279A" w:rsidRDefault="00FF633F" w:rsidP="004D7564">
            <w:pPr>
              <w:tabs>
                <w:tab w:val="right" w:pos="2268"/>
              </w:tabs>
              <w:spacing w:line="250" w:lineRule="exact"/>
            </w:pPr>
            <w:r w:rsidRPr="005A279A">
              <w:t>Gemiddelde aangehouden.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 xml:space="preserve">Materiële overheadkosten </w:t>
            </w:r>
          </w:p>
          <w:p w:rsidR="00FF633F" w:rsidRPr="005A279A" w:rsidRDefault="00FF633F" w:rsidP="004D7564">
            <w:pPr>
              <w:tabs>
                <w:tab w:val="right" w:pos="2268"/>
              </w:tabs>
              <w:spacing w:line="250" w:lineRule="exact"/>
            </w:pPr>
            <w:r w:rsidRPr="005A279A">
              <w:t>(% van totale kosten)</w:t>
            </w:r>
          </w:p>
        </w:tc>
        <w:tc>
          <w:tcPr>
            <w:tcW w:w="1418" w:type="dxa"/>
            <w:noWrap/>
            <w:hideMark/>
          </w:tcPr>
          <w:p w:rsidR="00FF633F" w:rsidRPr="005A279A" w:rsidRDefault="00FF633F" w:rsidP="004D7564">
            <w:pPr>
              <w:tabs>
                <w:tab w:val="right" w:pos="2268"/>
              </w:tabs>
              <w:spacing w:line="250" w:lineRule="exact"/>
            </w:pPr>
            <w:r w:rsidRPr="005A279A">
              <w:t>3,5%</w:t>
            </w:r>
          </w:p>
        </w:tc>
        <w:tc>
          <w:tcPr>
            <w:tcW w:w="5953" w:type="dxa"/>
          </w:tcPr>
          <w:p w:rsidR="00FF633F" w:rsidRPr="005A279A" w:rsidRDefault="00FF633F" w:rsidP="004D7564">
            <w:pPr>
              <w:tabs>
                <w:tab w:val="right" w:pos="2268"/>
              </w:tabs>
              <w:spacing w:line="250" w:lineRule="exact"/>
            </w:pPr>
            <w:r w:rsidRPr="005A279A">
              <w:t>Gemiddelde aangehouden. Hier zit ook de 1% opleidingskosten bij in.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 xml:space="preserve">Totale overheadkosten </w:t>
            </w:r>
          </w:p>
          <w:p w:rsidR="00FF633F" w:rsidRPr="005A279A" w:rsidRDefault="00FF633F" w:rsidP="004D7564">
            <w:pPr>
              <w:tabs>
                <w:tab w:val="right" w:pos="2268"/>
              </w:tabs>
              <w:spacing w:line="250" w:lineRule="exact"/>
            </w:pPr>
            <w:r w:rsidRPr="005A279A">
              <w:t>(% van totale kosten)</w:t>
            </w:r>
          </w:p>
        </w:tc>
        <w:tc>
          <w:tcPr>
            <w:tcW w:w="1418" w:type="dxa"/>
            <w:noWrap/>
            <w:hideMark/>
          </w:tcPr>
          <w:p w:rsidR="00FF633F" w:rsidRPr="005A279A" w:rsidRDefault="00FF633F" w:rsidP="004D7564">
            <w:pPr>
              <w:tabs>
                <w:tab w:val="right" w:pos="2268"/>
              </w:tabs>
              <w:spacing w:line="250" w:lineRule="exact"/>
              <w:rPr>
                <w:bCs/>
              </w:rPr>
            </w:pPr>
            <w:r w:rsidRPr="005A279A">
              <w:rPr>
                <w:bCs/>
              </w:rPr>
              <w:t>13,3%</w:t>
            </w:r>
          </w:p>
        </w:tc>
        <w:tc>
          <w:tcPr>
            <w:tcW w:w="5953" w:type="dxa"/>
          </w:tcPr>
          <w:p w:rsidR="00FF633F" w:rsidRPr="005A279A" w:rsidRDefault="00FF633F" w:rsidP="004D7564">
            <w:pPr>
              <w:tabs>
                <w:tab w:val="right" w:pos="2268"/>
              </w:tabs>
              <w:spacing w:line="250" w:lineRule="exact"/>
              <w:rPr>
                <w:bCs/>
              </w:rPr>
            </w:pPr>
            <w:r w:rsidRPr="005A279A">
              <w:rPr>
                <w:bCs/>
              </w:rPr>
              <w:t>Hier is een normering opgelegd ter hoogte van het gemiddelde van alle aanbieders minus één aanbieder met de hoogste overheadkosten.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 xml:space="preserve">Kosten voor vastgoed </w:t>
            </w:r>
          </w:p>
          <w:p w:rsidR="00FF633F" w:rsidRPr="005A279A" w:rsidRDefault="00FF633F" w:rsidP="004D7564">
            <w:pPr>
              <w:tabs>
                <w:tab w:val="right" w:pos="2268"/>
              </w:tabs>
              <w:spacing w:line="250" w:lineRule="exact"/>
            </w:pPr>
            <w:r w:rsidRPr="005A279A">
              <w:t>(% van totale kosten)</w:t>
            </w:r>
          </w:p>
        </w:tc>
        <w:tc>
          <w:tcPr>
            <w:tcW w:w="1418" w:type="dxa"/>
            <w:noWrap/>
            <w:hideMark/>
          </w:tcPr>
          <w:p w:rsidR="00FF633F" w:rsidRPr="005A279A" w:rsidRDefault="00FF633F" w:rsidP="004D7564">
            <w:pPr>
              <w:tabs>
                <w:tab w:val="right" w:pos="2268"/>
              </w:tabs>
              <w:spacing w:line="250" w:lineRule="exact"/>
            </w:pPr>
            <w:r w:rsidRPr="005A279A">
              <w:t>0,7%</w:t>
            </w:r>
          </w:p>
        </w:tc>
        <w:tc>
          <w:tcPr>
            <w:tcW w:w="5953" w:type="dxa"/>
          </w:tcPr>
          <w:p w:rsidR="00FF633F" w:rsidRPr="005A279A" w:rsidRDefault="00FF633F" w:rsidP="004D7564">
            <w:pPr>
              <w:tabs>
                <w:tab w:val="right" w:pos="2268"/>
              </w:tabs>
              <w:spacing w:line="250" w:lineRule="exact"/>
            </w:pPr>
            <w:r w:rsidRPr="005A279A">
              <w:t>Gemiddelde aangehouden.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 xml:space="preserve">Overige personele kosten </w:t>
            </w:r>
          </w:p>
          <w:p w:rsidR="00FF633F" w:rsidRPr="005A279A" w:rsidRDefault="00FF633F" w:rsidP="004D7564">
            <w:pPr>
              <w:tabs>
                <w:tab w:val="right" w:pos="2268"/>
              </w:tabs>
              <w:spacing w:line="250" w:lineRule="exact"/>
            </w:pPr>
            <w:r w:rsidRPr="005A279A">
              <w:t>(% van totale kosten)</w:t>
            </w:r>
          </w:p>
        </w:tc>
        <w:tc>
          <w:tcPr>
            <w:tcW w:w="1418" w:type="dxa"/>
            <w:noWrap/>
            <w:hideMark/>
          </w:tcPr>
          <w:p w:rsidR="00FF633F" w:rsidRPr="005A279A" w:rsidRDefault="00FF633F" w:rsidP="004D7564">
            <w:pPr>
              <w:tabs>
                <w:tab w:val="right" w:pos="2268"/>
              </w:tabs>
              <w:spacing w:line="250" w:lineRule="exact"/>
            </w:pPr>
            <w:r w:rsidRPr="005A279A">
              <w:t>1,9%</w:t>
            </w:r>
          </w:p>
        </w:tc>
        <w:tc>
          <w:tcPr>
            <w:tcW w:w="5953" w:type="dxa"/>
          </w:tcPr>
          <w:p w:rsidR="00FF633F" w:rsidRPr="005A279A" w:rsidRDefault="00FF633F" w:rsidP="004D7564">
            <w:pPr>
              <w:tabs>
                <w:tab w:val="right" w:pos="2268"/>
              </w:tabs>
              <w:spacing w:line="250" w:lineRule="exact"/>
            </w:pPr>
            <w:r w:rsidRPr="005A279A">
              <w:t>Gemiddelde aangehouden.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Opslag kosten gemeentelijke eisen</w:t>
            </w:r>
          </w:p>
        </w:tc>
        <w:tc>
          <w:tcPr>
            <w:tcW w:w="1418" w:type="dxa"/>
            <w:noWrap/>
            <w:hideMark/>
          </w:tcPr>
          <w:p w:rsidR="00FF633F" w:rsidRPr="005A279A" w:rsidRDefault="00FF633F" w:rsidP="004D7564">
            <w:pPr>
              <w:tabs>
                <w:tab w:val="right" w:pos="2268"/>
              </w:tabs>
              <w:spacing w:line="250" w:lineRule="exact"/>
            </w:pPr>
            <w:r w:rsidRPr="005A279A">
              <w:t>0,0%</w:t>
            </w:r>
          </w:p>
        </w:tc>
        <w:tc>
          <w:tcPr>
            <w:tcW w:w="5953" w:type="dxa"/>
          </w:tcPr>
          <w:p w:rsidR="00FF633F" w:rsidRPr="005A279A" w:rsidRDefault="00FF633F" w:rsidP="004D7564">
            <w:pPr>
              <w:tabs>
                <w:tab w:val="right" w:pos="2268"/>
              </w:tabs>
              <w:spacing w:line="250" w:lineRule="exact"/>
            </w:pPr>
            <w:r w:rsidRPr="005A279A">
              <w:t>Gemiddelde aangehouden.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Opslag voor risico</w:t>
            </w:r>
          </w:p>
        </w:tc>
        <w:tc>
          <w:tcPr>
            <w:tcW w:w="1418" w:type="dxa"/>
            <w:noWrap/>
            <w:hideMark/>
          </w:tcPr>
          <w:p w:rsidR="00FF633F" w:rsidRPr="005A279A" w:rsidRDefault="00FF633F" w:rsidP="004D7564">
            <w:pPr>
              <w:tabs>
                <w:tab w:val="right" w:pos="2268"/>
              </w:tabs>
              <w:spacing w:line="250" w:lineRule="exact"/>
            </w:pPr>
          </w:p>
        </w:tc>
        <w:tc>
          <w:tcPr>
            <w:tcW w:w="5953" w:type="dxa"/>
            <w:vMerge w:val="restart"/>
          </w:tcPr>
          <w:p w:rsidR="00FF633F" w:rsidRPr="005A279A" w:rsidRDefault="00FF633F" w:rsidP="004D7564">
            <w:pPr>
              <w:tabs>
                <w:tab w:val="right" w:pos="2268"/>
              </w:tabs>
              <w:spacing w:line="250" w:lineRule="exact"/>
            </w:pPr>
            <w:r w:rsidRPr="005A279A">
              <w:t>De algemene normen voor deze componenten samen is 3%. Daarom houden we dit percentage als normering aan.</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Opslag voor innovatie</w:t>
            </w:r>
          </w:p>
        </w:tc>
        <w:tc>
          <w:tcPr>
            <w:tcW w:w="1418" w:type="dxa"/>
            <w:noWrap/>
            <w:hideMark/>
          </w:tcPr>
          <w:p w:rsidR="00FF633F" w:rsidRPr="005A279A" w:rsidRDefault="00FF633F" w:rsidP="004D7564">
            <w:pPr>
              <w:tabs>
                <w:tab w:val="right" w:pos="2268"/>
              </w:tabs>
              <w:spacing w:line="250" w:lineRule="exact"/>
              <w:rPr>
                <w:bCs/>
              </w:rPr>
            </w:pPr>
            <w:r w:rsidRPr="005A279A">
              <w:rPr>
                <w:bCs/>
              </w:rPr>
              <w:t>1,0%</w:t>
            </w:r>
          </w:p>
        </w:tc>
        <w:tc>
          <w:tcPr>
            <w:tcW w:w="5953" w:type="dxa"/>
            <w:vMerge/>
          </w:tcPr>
          <w:p w:rsidR="00FF633F" w:rsidRPr="005A279A" w:rsidRDefault="00FF633F" w:rsidP="004D7564">
            <w:pPr>
              <w:tabs>
                <w:tab w:val="right" w:pos="2268"/>
              </w:tabs>
              <w:spacing w:line="250" w:lineRule="exact"/>
              <w:rPr>
                <w:bCs/>
              </w:rPr>
            </w:pP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Opslag voor marge</w:t>
            </w:r>
          </w:p>
        </w:tc>
        <w:tc>
          <w:tcPr>
            <w:tcW w:w="1418" w:type="dxa"/>
            <w:noWrap/>
            <w:hideMark/>
          </w:tcPr>
          <w:p w:rsidR="00FF633F" w:rsidRPr="005A279A" w:rsidRDefault="00FF633F" w:rsidP="004D7564">
            <w:pPr>
              <w:tabs>
                <w:tab w:val="right" w:pos="2268"/>
              </w:tabs>
              <w:spacing w:line="250" w:lineRule="exact"/>
              <w:rPr>
                <w:bCs/>
              </w:rPr>
            </w:pPr>
            <w:r w:rsidRPr="005A279A">
              <w:rPr>
                <w:bCs/>
              </w:rPr>
              <w:t>1,0%</w:t>
            </w:r>
          </w:p>
        </w:tc>
        <w:tc>
          <w:tcPr>
            <w:tcW w:w="5953" w:type="dxa"/>
            <w:vMerge/>
          </w:tcPr>
          <w:p w:rsidR="00FF633F" w:rsidRPr="005A279A" w:rsidRDefault="00FF633F" w:rsidP="004D7564">
            <w:pPr>
              <w:tabs>
                <w:tab w:val="right" w:pos="2268"/>
              </w:tabs>
              <w:spacing w:line="250" w:lineRule="exact"/>
              <w:rPr>
                <w:bCs/>
              </w:rPr>
            </w:pP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lastRenderedPageBreak/>
              <w:t>Totale risico, innovatie en marge</w:t>
            </w:r>
          </w:p>
        </w:tc>
        <w:tc>
          <w:tcPr>
            <w:tcW w:w="1418" w:type="dxa"/>
            <w:noWrap/>
            <w:hideMark/>
          </w:tcPr>
          <w:p w:rsidR="00FF633F" w:rsidRPr="005A279A" w:rsidRDefault="00FF633F" w:rsidP="004D7564">
            <w:pPr>
              <w:tabs>
                <w:tab w:val="right" w:pos="2268"/>
              </w:tabs>
              <w:spacing w:line="250" w:lineRule="exact"/>
              <w:rPr>
                <w:bCs/>
              </w:rPr>
            </w:pPr>
            <w:r w:rsidRPr="005A279A">
              <w:rPr>
                <w:bCs/>
              </w:rPr>
              <w:t>2,0%</w:t>
            </w:r>
          </w:p>
        </w:tc>
        <w:tc>
          <w:tcPr>
            <w:tcW w:w="5953" w:type="dxa"/>
            <w:vMerge/>
          </w:tcPr>
          <w:p w:rsidR="00FF633F" w:rsidRPr="005A279A" w:rsidRDefault="00FF633F" w:rsidP="004D7564">
            <w:pPr>
              <w:tabs>
                <w:tab w:val="right" w:pos="2268"/>
              </w:tabs>
              <w:spacing w:line="250" w:lineRule="exact"/>
              <w:rPr>
                <w:bCs/>
              </w:rPr>
            </w:pP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pPr>
            <w:r w:rsidRPr="005A279A">
              <w:t>Kosten personeel primair proces</w:t>
            </w:r>
          </w:p>
        </w:tc>
        <w:tc>
          <w:tcPr>
            <w:tcW w:w="1418" w:type="dxa"/>
            <w:noWrap/>
            <w:hideMark/>
          </w:tcPr>
          <w:p w:rsidR="00FF633F" w:rsidRPr="005A279A" w:rsidRDefault="00FF633F" w:rsidP="004D7564">
            <w:pPr>
              <w:tabs>
                <w:tab w:val="right" w:pos="2268"/>
              </w:tabs>
              <w:spacing w:line="250" w:lineRule="exact"/>
              <w:rPr>
                <w:bCs/>
              </w:rPr>
            </w:pPr>
            <w:r w:rsidRPr="005A279A">
              <w:rPr>
                <w:bCs/>
              </w:rPr>
              <w:t>84,1%</w:t>
            </w:r>
          </w:p>
        </w:tc>
        <w:tc>
          <w:tcPr>
            <w:tcW w:w="5953" w:type="dxa"/>
          </w:tcPr>
          <w:p w:rsidR="00FF633F" w:rsidRPr="005A279A" w:rsidRDefault="00FF633F" w:rsidP="004D7564">
            <w:pPr>
              <w:tabs>
                <w:tab w:val="right" w:pos="2268"/>
              </w:tabs>
              <w:spacing w:line="250" w:lineRule="exact"/>
              <w:rPr>
                <w:bCs/>
              </w:rPr>
            </w:pPr>
            <w:r w:rsidRPr="005A279A">
              <w:rPr>
                <w:bCs/>
              </w:rPr>
              <w:t>Deze norm volgt uit de waarden van de overhead en ligt hoger dan het gemiddelde.</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rPr>
                <w:bCs/>
              </w:rPr>
            </w:pPr>
            <w:r w:rsidRPr="005A279A">
              <w:rPr>
                <w:bCs/>
              </w:rPr>
              <w:t>HbH tarief</w:t>
            </w:r>
          </w:p>
        </w:tc>
        <w:tc>
          <w:tcPr>
            <w:tcW w:w="1418" w:type="dxa"/>
            <w:noWrap/>
            <w:hideMark/>
          </w:tcPr>
          <w:p w:rsidR="00FF633F" w:rsidRPr="005A279A" w:rsidRDefault="00FF633F" w:rsidP="004D7564">
            <w:pPr>
              <w:tabs>
                <w:tab w:val="right" w:pos="2268"/>
              </w:tabs>
              <w:spacing w:line="250" w:lineRule="exact"/>
              <w:rPr>
                <w:bCs/>
              </w:rPr>
            </w:pPr>
            <w:r w:rsidRPr="005A279A">
              <w:rPr>
                <w:bCs/>
              </w:rPr>
              <w:t>€</w:t>
            </w:r>
            <w:r>
              <w:rPr>
                <w:bCs/>
              </w:rPr>
              <w:t xml:space="preserve"> 29,4</w:t>
            </w:r>
            <w:r w:rsidRPr="005A279A">
              <w:rPr>
                <w:bCs/>
              </w:rPr>
              <w:t>0</w:t>
            </w:r>
          </w:p>
        </w:tc>
        <w:tc>
          <w:tcPr>
            <w:tcW w:w="5953" w:type="dxa"/>
          </w:tcPr>
          <w:p w:rsidR="00FF633F" w:rsidRPr="005A279A" w:rsidRDefault="00FF633F" w:rsidP="004D7564">
            <w:pPr>
              <w:tabs>
                <w:tab w:val="right" w:pos="2268"/>
              </w:tabs>
              <w:spacing w:line="250" w:lineRule="exact"/>
              <w:rPr>
                <w:bCs/>
              </w:rPr>
            </w:pPr>
            <w:r w:rsidRPr="005A279A">
              <w:rPr>
                <w:bCs/>
              </w:rPr>
              <w:t xml:space="preserve">Dit is het bedrag dat voortkomt uit de bovengemaakte keuzes en dat daarna afgerond is om het deelbaar door 60 te laten zijn. </w:t>
            </w:r>
          </w:p>
        </w:tc>
      </w:tr>
      <w:tr w:rsidR="00FF633F" w:rsidRPr="005F74AC" w:rsidTr="00FF633F">
        <w:trPr>
          <w:trHeight w:val="285"/>
        </w:trPr>
        <w:tc>
          <w:tcPr>
            <w:tcW w:w="3686" w:type="dxa"/>
            <w:noWrap/>
            <w:hideMark/>
          </w:tcPr>
          <w:p w:rsidR="00FF633F" w:rsidRPr="005A279A" w:rsidRDefault="00FF633F" w:rsidP="004D7564">
            <w:pPr>
              <w:tabs>
                <w:tab w:val="right" w:pos="2268"/>
              </w:tabs>
              <w:spacing w:line="250" w:lineRule="exact"/>
              <w:rPr>
                <w:bCs/>
              </w:rPr>
            </w:pPr>
            <w:r w:rsidRPr="005A279A">
              <w:rPr>
                <w:bCs/>
              </w:rPr>
              <w:t>Overhead</w:t>
            </w:r>
          </w:p>
        </w:tc>
        <w:tc>
          <w:tcPr>
            <w:tcW w:w="1418" w:type="dxa"/>
            <w:noWrap/>
            <w:hideMark/>
          </w:tcPr>
          <w:p w:rsidR="00FF633F" w:rsidRPr="005A279A" w:rsidRDefault="00FF633F" w:rsidP="004D7564">
            <w:pPr>
              <w:tabs>
                <w:tab w:val="right" w:pos="2268"/>
              </w:tabs>
              <w:spacing w:line="250" w:lineRule="exact"/>
              <w:rPr>
                <w:bCs/>
              </w:rPr>
            </w:pPr>
            <w:r w:rsidRPr="005A279A">
              <w:rPr>
                <w:bCs/>
              </w:rPr>
              <w:t>€ 6.881</w:t>
            </w:r>
          </w:p>
        </w:tc>
        <w:tc>
          <w:tcPr>
            <w:tcW w:w="5953" w:type="dxa"/>
          </w:tcPr>
          <w:p w:rsidR="00FF633F" w:rsidRPr="005A279A" w:rsidRDefault="00FF633F" w:rsidP="004D7564">
            <w:pPr>
              <w:tabs>
                <w:tab w:val="right" w:pos="2268"/>
              </w:tabs>
              <w:spacing w:line="250" w:lineRule="exact"/>
              <w:rPr>
                <w:bCs/>
              </w:rPr>
            </w:pPr>
            <w:r w:rsidRPr="005A279A">
              <w:rPr>
                <w:rFonts w:cs="Arial"/>
                <w:szCs w:val="20"/>
              </w:rPr>
              <w:t>Eén aanbieder heeft een extreem afwijkend percentage genoemd. Dit vertekent het gemiddelde en is daarom niet meegerekend.</w:t>
            </w:r>
          </w:p>
        </w:tc>
      </w:tr>
    </w:tbl>
    <w:p w:rsidR="00FF633F" w:rsidRDefault="00FF633F" w:rsidP="00FF633F">
      <w:pPr>
        <w:tabs>
          <w:tab w:val="right" w:pos="2268"/>
        </w:tabs>
        <w:spacing w:line="250" w:lineRule="exact"/>
        <w:rPr>
          <w:rFonts w:ascii="CharterITC" w:hAnsi="CharterITC"/>
        </w:rPr>
      </w:pPr>
    </w:p>
    <w:p w:rsidR="00FF633F" w:rsidRPr="006C4CC6" w:rsidRDefault="00FF633F" w:rsidP="00FF633F">
      <w:pPr>
        <w:tabs>
          <w:tab w:val="right" w:pos="2268"/>
        </w:tabs>
        <w:spacing w:line="250" w:lineRule="exact"/>
        <w:rPr>
          <w:b/>
        </w:rPr>
      </w:pPr>
    </w:p>
    <w:p w:rsidR="00FF633F" w:rsidRPr="006C4CC6" w:rsidRDefault="00FF633F" w:rsidP="00FF633F">
      <w:pPr>
        <w:tabs>
          <w:tab w:val="right" w:pos="2268"/>
        </w:tabs>
        <w:spacing w:line="250" w:lineRule="exact"/>
      </w:pPr>
      <w:r w:rsidRPr="006C4CC6">
        <w:rPr>
          <w:b/>
        </w:rPr>
        <w:t>Conclusie</w:t>
      </w:r>
    </w:p>
    <w:p w:rsidR="00FF633F" w:rsidRDefault="00FF633F" w:rsidP="00FF633F">
      <w:pPr>
        <w:tabs>
          <w:tab w:val="right" w:pos="2268"/>
        </w:tabs>
        <w:spacing w:line="250" w:lineRule="exact"/>
      </w:pPr>
      <w:r w:rsidRPr="006C4CC6">
        <w:t xml:space="preserve">Bovenstaande normering leidt tot de tarieven in onderstaande tabel. </w:t>
      </w:r>
      <w:r>
        <w:t>Een tarief voor 2023 en verder is nog niet opgenomen vanwege de onzekerheid rondom de cao vvt-wijzigingen en verschuivingen in de inzetmix.</w:t>
      </w:r>
    </w:p>
    <w:p w:rsidR="00FF633F" w:rsidRPr="006C4CC6" w:rsidRDefault="00FF633F" w:rsidP="00FF633F">
      <w:pPr>
        <w:tabs>
          <w:tab w:val="right" w:pos="2268"/>
        </w:tabs>
        <w:spacing w:line="250" w:lineRule="exact"/>
      </w:pPr>
    </w:p>
    <w:tbl>
      <w:tblPr>
        <w:tblW w:w="2681" w:type="dxa"/>
        <w:tblInd w:w="75" w:type="dxa"/>
        <w:tblCellMar>
          <w:left w:w="70" w:type="dxa"/>
          <w:right w:w="70" w:type="dxa"/>
        </w:tblCellMar>
        <w:tblLook w:val="04A0" w:firstRow="1" w:lastRow="0" w:firstColumn="1" w:lastColumn="0" w:noHBand="0" w:noVBand="1"/>
      </w:tblPr>
      <w:tblGrid>
        <w:gridCol w:w="1621"/>
        <w:gridCol w:w="1060"/>
      </w:tblGrid>
      <w:tr w:rsidR="00FF633F" w:rsidRPr="006C4CC6" w:rsidTr="004D7564">
        <w:trPr>
          <w:trHeight w:val="345"/>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633F" w:rsidRPr="006C4CC6" w:rsidRDefault="00FF633F" w:rsidP="004D7564">
            <w:pPr>
              <w:spacing w:line="240" w:lineRule="auto"/>
              <w:rPr>
                <w:rFonts w:cs="Segoe UI"/>
                <w:b/>
                <w:szCs w:val="20"/>
              </w:rPr>
            </w:pPr>
            <w:r w:rsidRPr="006C4CC6">
              <w:rPr>
                <w:rFonts w:cs="Segoe UI"/>
                <w:b/>
                <w:szCs w:val="20"/>
              </w:rPr>
              <w:t>Periode</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FF633F" w:rsidRPr="006C4CC6" w:rsidRDefault="00FF633F" w:rsidP="004D7564">
            <w:pPr>
              <w:spacing w:line="240" w:lineRule="auto"/>
              <w:jc w:val="right"/>
              <w:rPr>
                <w:rFonts w:cs="Segoe UI"/>
                <w:b/>
                <w:szCs w:val="20"/>
              </w:rPr>
            </w:pPr>
            <w:r w:rsidRPr="006C4CC6">
              <w:rPr>
                <w:rFonts w:cs="Segoe UI"/>
                <w:b/>
                <w:szCs w:val="20"/>
              </w:rPr>
              <w:t>Tarief</w:t>
            </w:r>
          </w:p>
        </w:tc>
      </w:tr>
      <w:tr w:rsidR="00FF633F" w:rsidRPr="006C4CC6" w:rsidTr="004D7564">
        <w:trPr>
          <w:trHeight w:val="345"/>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633F" w:rsidRPr="006C4CC6" w:rsidRDefault="00FF633F" w:rsidP="004D7564">
            <w:pPr>
              <w:spacing w:line="240" w:lineRule="auto"/>
              <w:rPr>
                <w:rFonts w:cs="Segoe UI"/>
                <w:szCs w:val="20"/>
              </w:rPr>
            </w:pPr>
            <w:r w:rsidRPr="006C4CC6">
              <w:rPr>
                <w:rFonts w:cs="Segoe UI"/>
                <w:szCs w:val="20"/>
              </w:rPr>
              <w:t>Sept-dec 2021</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FF633F" w:rsidRPr="006C4CC6" w:rsidRDefault="00FF633F" w:rsidP="004D7564">
            <w:pPr>
              <w:spacing w:line="240" w:lineRule="auto"/>
              <w:jc w:val="right"/>
              <w:rPr>
                <w:rFonts w:cs="Segoe UI"/>
                <w:bCs/>
                <w:szCs w:val="20"/>
              </w:rPr>
            </w:pPr>
            <w:r w:rsidRPr="006C4CC6">
              <w:rPr>
                <w:rFonts w:cs="Segoe UI"/>
                <w:szCs w:val="20"/>
              </w:rPr>
              <w:t>€ 29,40</w:t>
            </w:r>
          </w:p>
        </w:tc>
      </w:tr>
      <w:tr w:rsidR="00FF633F" w:rsidRPr="006C4CC6" w:rsidTr="004D7564">
        <w:trPr>
          <w:trHeight w:val="345"/>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633F" w:rsidRPr="006C4CC6" w:rsidRDefault="00FF633F" w:rsidP="004D7564">
            <w:pPr>
              <w:spacing w:line="240" w:lineRule="auto"/>
              <w:rPr>
                <w:rFonts w:cs="Segoe UI"/>
                <w:bCs/>
                <w:szCs w:val="20"/>
              </w:rPr>
            </w:pPr>
            <w:r w:rsidRPr="006C4CC6">
              <w:rPr>
                <w:rFonts w:cs="Segoe UI"/>
                <w:bCs/>
                <w:szCs w:val="20"/>
              </w:rPr>
              <w:t>Heel 2022</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FF633F" w:rsidRPr="006C4CC6" w:rsidRDefault="00FF633F" w:rsidP="004D7564">
            <w:pPr>
              <w:spacing w:line="240" w:lineRule="auto"/>
              <w:jc w:val="right"/>
              <w:rPr>
                <w:rFonts w:cs="Segoe UI"/>
                <w:bCs/>
                <w:szCs w:val="20"/>
              </w:rPr>
            </w:pPr>
            <w:r w:rsidRPr="006C4CC6">
              <w:rPr>
                <w:rFonts w:cs="Segoe UI"/>
                <w:bCs/>
                <w:szCs w:val="20"/>
              </w:rPr>
              <w:t>€ 30,60</w:t>
            </w:r>
          </w:p>
        </w:tc>
      </w:tr>
    </w:tbl>
    <w:p w:rsidR="00FF633F" w:rsidRPr="006C4CC6" w:rsidRDefault="00FF633F" w:rsidP="00FF633F">
      <w:pPr>
        <w:tabs>
          <w:tab w:val="right" w:pos="2268"/>
        </w:tabs>
        <w:spacing w:line="250" w:lineRule="exact"/>
      </w:pPr>
    </w:p>
    <w:p w:rsidR="00FF633F" w:rsidRPr="006C4CC6" w:rsidRDefault="00FF633F" w:rsidP="00FF633F">
      <w:pPr>
        <w:pStyle w:val="Bijschrift"/>
        <w:keepNext/>
      </w:pPr>
    </w:p>
    <w:p w:rsidR="00FF633F" w:rsidRDefault="00FF633F" w:rsidP="00FF633F"/>
    <w:p w:rsidR="00A815F8" w:rsidRDefault="00A815F8"/>
    <w:sectPr w:rsidR="00A815F8" w:rsidSect="00942950">
      <w:footerReference w:type="default" r:id="rId7"/>
      <w:pgSz w:w="11906" w:h="16838" w:code="9"/>
      <w:pgMar w:top="709" w:right="851" w:bottom="851" w:left="1276"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42950">
      <w:pPr>
        <w:spacing w:line="240" w:lineRule="auto"/>
      </w:pPr>
      <w:r>
        <w:separator/>
      </w:r>
    </w:p>
  </w:endnote>
  <w:endnote w:type="continuationSeparator" w:id="0">
    <w:p w:rsidR="00000000" w:rsidRDefault="009429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harterITC BT">
    <w:panose1 w:val="02040503050506020203"/>
    <w:charset w:val="00"/>
    <w:family w:val="roman"/>
    <w:pitch w:val="variable"/>
    <w:sig w:usb0="00000087" w:usb1="00000000" w:usb2="00000000" w:usb3="00000000" w:csb0="0000001B" w:csb1="00000000"/>
  </w:font>
  <w:font w:name="CharterITC">
    <w:panose1 w:val="02060503050506020203"/>
    <w:charset w:val="00"/>
    <w:family w:val="roman"/>
    <w:notTrueType/>
    <w:pitch w:val="variable"/>
    <w:sig w:usb0="800002F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1D5" w:rsidRDefault="00FF633F" w:rsidP="00E03C30">
    <w:pPr>
      <w:pStyle w:val="Voettekstpaginering"/>
      <w:framePr w:wrap="around"/>
    </w:pPr>
    <w:r>
      <w:t xml:space="preserve">Pagina </w:t>
    </w:r>
    <w:r>
      <w:fldChar w:fldCharType="begin"/>
    </w:r>
    <w:r>
      <w:instrText xml:space="preserve"> Page </w:instrText>
    </w:r>
    <w:r>
      <w:fldChar w:fldCharType="separate"/>
    </w:r>
    <w:r w:rsidR="00942950">
      <w:rPr>
        <w:noProof/>
      </w:rPr>
      <w:t>1</w:t>
    </w:r>
    <w:r>
      <w:fldChar w:fldCharType="end"/>
    </w:r>
    <w:r>
      <w:t xml:space="preserve"> van </w:t>
    </w:r>
    <w:fldSimple w:instr=" Numpages ">
      <w:r w:rsidR="00942950">
        <w:rPr>
          <w:noProof/>
        </w:rPr>
        <w:t>3</w:t>
      </w:r>
    </w:fldSimple>
  </w:p>
  <w:p w:rsidR="00BF11D5" w:rsidRDefault="00FF633F" w:rsidP="00E03C30">
    <w:pPr>
      <w:pStyle w:val="Voettekst"/>
    </w:pPr>
    <w:r>
      <w:t>Bijlage tariefopbouw huishoudelijke hulp september 2021 e.v.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42950">
      <w:pPr>
        <w:spacing w:line="240" w:lineRule="auto"/>
      </w:pPr>
      <w:r>
        <w:separator/>
      </w:r>
    </w:p>
  </w:footnote>
  <w:footnote w:type="continuationSeparator" w:id="0">
    <w:p w:rsidR="00000000" w:rsidRDefault="0094295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33F"/>
    <w:rsid w:val="00942950"/>
    <w:rsid w:val="00A7261D"/>
    <w:rsid w:val="00A815F8"/>
    <w:rsid w:val="00FF63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398749-6F73-43F8-9E92-C5BB31F4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633F"/>
    <w:pPr>
      <w:spacing w:after="0" w:line="284" w:lineRule="atLeast"/>
    </w:pPr>
    <w:rPr>
      <w:rFonts w:ascii="Arial" w:eastAsia="Times New Roman" w:hAnsi="Arial" w:cs="Times New Roman"/>
      <w:sz w:val="20"/>
      <w:szCs w:val="24"/>
      <w:lang w:eastAsia="nl-NL"/>
    </w:rPr>
  </w:style>
  <w:style w:type="paragraph" w:styleId="Kop1">
    <w:name w:val="heading 1"/>
    <w:basedOn w:val="Standaard"/>
    <w:next w:val="Standaard"/>
    <w:link w:val="Kop1Char"/>
    <w:uiPriority w:val="9"/>
    <w:qFormat/>
    <w:rsid w:val="00A726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A726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Standaard"/>
    <w:link w:val="Kop4Char"/>
    <w:uiPriority w:val="1"/>
    <w:qFormat/>
    <w:rsid w:val="00A7261D"/>
    <w:pPr>
      <w:widowControl w:val="0"/>
      <w:spacing w:line="240" w:lineRule="auto"/>
      <w:ind w:left="191"/>
      <w:outlineLvl w:val="3"/>
    </w:pPr>
    <w:rPr>
      <w:rFonts w:ascii="Calibri" w:eastAsia="Calibri" w:hAnsi="Calibri"/>
      <w:b/>
      <w:b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leParagraph">
    <w:name w:val="Table Paragraph"/>
    <w:basedOn w:val="Standaard"/>
    <w:uiPriority w:val="1"/>
    <w:qFormat/>
    <w:rsid w:val="00A7261D"/>
    <w:pPr>
      <w:widowControl w:val="0"/>
      <w:spacing w:line="240" w:lineRule="auto"/>
    </w:pPr>
    <w:rPr>
      <w:lang w:val="en-US"/>
    </w:rPr>
  </w:style>
  <w:style w:type="character" w:customStyle="1" w:styleId="Kop1Char">
    <w:name w:val="Kop 1 Char"/>
    <w:basedOn w:val="Standaardalinea-lettertype"/>
    <w:link w:val="Kop1"/>
    <w:uiPriority w:val="9"/>
    <w:rsid w:val="00A7261D"/>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A7261D"/>
    <w:rPr>
      <w:rFonts w:asciiTheme="majorHAnsi" w:eastAsiaTheme="majorEastAsia" w:hAnsiTheme="majorHAnsi" w:cstheme="majorBidi"/>
      <w:b/>
      <w:bCs/>
      <w:color w:val="4F81BD" w:themeColor="accent1"/>
      <w:sz w:val="26"/>
      <w:szCs w:val="26"/>
    </w:rPr>
  </w:style>
  <w:style w:type="character" w:customStyle="1" w:styleId="Kop4Char">
    <w:name w:val="Kop 4 Char"/>
    <w:basedOn w:val="Standaardalinea-lettertype"/>
    <w:link w:val="Kop4"/>
    <w:uiPriority w:val="1"/>
    <w:rsid w:val="00A7261D"/>
    <w:rPr>
      <w:rFonts w:ascii="Calibri" w:eastAsia="Calibri" w:hAnsi="Calibri"/>
      <w:b/>
      <w:bCs/>
      <w:lang w:val="en-US"/>
    </w:rPr>
  </w:style>
  <w:style w:type="paragraph" w:styleId="Plattetekst">
    <w:name w:val="Body Text"/>
    <w:basedOn w:val="Standaard"/>
    <w:link w:val="PlattetekstChar"/>
    <w:uiPriority w:val="1"/>
    <w:qFormat/>
    <w:rsid w:val="00A7261D"/>
    <w:pPr>
      <w:widowControl w:val="0"/>
      <w:spacing w:line="240" w:lineRule="auto"/>
      <w:ind w:left="191"/>
    </w:pPr>
    <w:rPr>
      <w:rFonts w:ascii="Calibri" w:eastAsia="Calibri" w:hAnsi="Calibri"/>
      <w:lang w:val="en-US"/>
    </w:rPr>
  </w:style>
  <w:style w:type="character" w:customStyle="1" w:styleId="PlattetekstChar">
    <w:name w:val="Platte tekst Char"/>
    <w:basedOn w:val="Standaardalinea-lettertype"/>
    <w:link w:val="Plattetekst"/>
    <w:uiPriority w:val="1"/>
    <w:rsid w:val="00A7261D"/>
    <w:rPr>
      <w:rFonts w:ascii="Calibri" w:eastAsia="Calibri" w:hAnsi="Calibri"/>
      <w:lang w:val="en-US"/>
    </w:rPr>
  </w:style>
  <w:style w:type="paragraph" w:styleId="Lijstalinea">
    <w:name w:val="List Paragraph"/>
    <w:basedOn w:val="Standaard"/>
    <w:uiPriority w:val="34"/>
    <w:qFormat/>
    <w:rsid w:val="00A7261D"/>
    <w:pPr>
      <w:widowControl w:val="0"/>
      <w:spacing w:line="240" w:lineRule="auto"/>
    </w:pPr>
    <w:rPr>
      <w:lang w:val="en-US"/>
    </w:rPr>
  </w:style>
  <w:style w:type="paragraph" w:styleId="Kopvaninhoudsopgave">
    <w:name w:val="TOC Heading"/>
    <w:basedOn w:val="Kop1"/>
    <w:next w:val="Standaard"/>
    <w:uiPriority w:val="39"/>
    <w:semiHidden/>
    <w:unhideWhenUsed/>
    <w:qFormat/>
    <w:rsid w:val="00A7261D"/>
    <w:pPr>
      <w:outlineLvl w:val="9"/>
    </w:pPr>
  </w:style>
  <w:style w:type="table" w:styleId="Tabelraster">
    <w:name w:val="Table Grid"/>
    <w:basedOn w:val="Standaardtabel"/>
    <w:rsid w:val="00FF633F"/>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F633F"/>
    <w:pPr>
      <w:spacing w:before="284"/>
    </w:pPr>
    <w:rPr>
      <w:sz w:val="16"/>
    </w:rPr>
  </w:style>
  <w:style w:type="character" w:customStyle="1" w:styleId="VoettekstChar">
    <w:name w:val="Voettekst Char"/>
    <w:basedOn w:val="Standaardalinea-lettertype"/>
    <w:link w:val="Voettekst"/>
    <w:rsid w:val="00FF633F"/>
    <w:rPr>
      <w:rFonts w:ascii="Arial" w:eastAsia="Times New Roman" w:hAnsi="Arial" w:cs="Times New Roman"/>
      <w:sz w:val="16"/>
      <w:szCs w:val="24"/>
      <w:lang w:eastAsia="nl-NL"/>
    </w:rPr>
  </w:style>
  <w:style w:type="paragraph" w:customStyle="1" w:styleId="Koptekstdocumentnaam">
    <w:name w:val="Koptekst documentnaam"/>
    <w:basedOn w:val="Koptekst"/>
    <w:rsid w:val="00FF633F"/>
    <w:pPr>
      <w:tabs>
        <w:tab w:val="clear" w:pos="4536"/>
        <w:tab w:val="clear" w:pos="9072"/>
      </w:tabs>
      <w:spacing w:before="420" w:line="284" w:lineRule="atLeast"/>
    </w:pPr>
    <w:rPr>
      <w:rFonts w:ascii="Times New Roman" w:hAnsi="Times New Roman"/>
      <w:b/>
      <w:i/>
      <w:sz w:val="48"/>
    </w:rPr>
  </w:style>
  <w:style w:type="paragraph" w:customStyle="1" w:styleId="Voettekstpaginering">
    <w:name w:val="Voettekst paginering"/>
    <w:basedOn w:val="Voettekst"/>
    <w:rsid w:val="00FF633F"/>
    <w:pPr>
      <w:framePr w:wrap="around" w:vAnchor="text" w:hAnchor="margin" w:xAlign="right" w:y="1"/>
    </w:pPr>
  </w:style>
  <w:style w:type="paragraph" w:styleId="Bijschrift">
    <w:name w:val="caption"/>
    <w:basedOn w:val="Standaard"/>
    <w:next w:val="Standaard"/>
    <w:unhideWhenUsed/>
    <w:qFormat/>
    <w:rsid w:val="00FF633F"/>
    <w:pPr>
      <w:spacing w:after="200" w:line="240" w:lineRule="auto"/>
    </w:pPr>
    <w:rPr>
      <w:rFonts w:ascii="CharterITC BT" w:hAnsi="CharterITC BT"/>
      <w:i/>
      <w:iCs/>
      <w:color w:val="1F497D" w:themeColor="text2"/>
      <w:sz w:val="18"/>
      <w:szCs w:val="18"/>
    </w:rPr>
  </w:style>
  <w:style w:type="paragraph" w:styleId="Koptekst">
    <w:name w:val="header"/>
    <w:basedOn w:val="Standaard"/>
    <w:link w:val="KoptekstChar"/>
    <w:uiPriority w:val="99"/>
    <w:semiHidden/>
    <w:unhideWhenUsed/>
    <w:rsid w:val="00FF633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FF633F"/>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925</Words>
  <Characters>5093</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Ict Rijk van Nijmegen</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de Groot</dc:creator>
  <cp:keywords/>
  <dc:description/>
  <cp:lastModifiedBy>Esther de Groot</cp:lastModifiedBy>
  <cp:revision>2</cp:revision>
  <dcterms:created xsi:type="dcterms:W3CDTF">2021-06-28T15:31:00Z</dcterms:created>
  <dcterms:modified xsi:type="dcterms:W3CDTF">2021-06-28T15:35:00Z</dcterms:modified>
</cp:coreProperties>
</file>