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D7B" w:rsidRPr="00243D7B" w:rsidRDefault="00243D7B" w:rsidP="00963E9A">
      <w:pPr>
        <w:rPr>
          <w:b/>
          <w:sz w:val="28"/>
          <w:szCs w:val="28"/>
        </w:rPr>
      </w:pPr>
      <w:r w:rsidRPr="00243D7B">
        <w:rPr>
          <w:b/>
          <w:sz w:val="28"/>
          <w:szCs w:val="28"/>
        </w:rPr>
        <w:t xml:space="preserve">Bijlage </w:t>
      </w:r>
      <w:r w:rsidR="00E451B0" w:rsidRPr="00E451B0">
        <w:rPr>
          <w:b/>
          <w:sz w:val="28"/>
          <w:szCs w:val="28"/>
        </w:rPr>
        <w:t>0</w:t>
      </w:r>
      <w:r w:rsidRPr="00E451B0">
        <w:rPr>
          <w:b/>
          <w:sz w:val="28"/>
          <w:szCs w:val="28"/>
        </w:rPr>
        <w:t>3.</w:t>
      </w:r>
      <w:r w:rsidR="00CD51A5" w:rsidRPr="00E451B0">
        <w:rPr>
          <w:b/>
          <w:sz w:val="28"/>
          <w:szCs w:val="28"/>
        </w:rPr>
        <w:t>1</w:t>
      </w:r>
      <w:r w:rsidRPr="00E451B0">
        <w:rPr>
          <w:b/>
          <w:sz w:val="28"/>
          <w:szCs w:val="28"/>
        </w:rPr>
        <w:t>.</w:t>
      </w:r>
    </w:p>
    <w:p w:rsidR="00243D7B" w:rsidRDefault="00243D7B" w:rsidP="00963E9A">
      <w:pPr>
        <w:rPr>
          <w:sz w:val="20"/>
        </w:rPr>
      </w:pPr>
    </w:p>
    <w:p w:rsidR="00243D7B" w:rsidRDefault="00243D7B" w:rsidP="00963E9A">
      <w:pPr>
        <w:rPr>
          <w:sz w:val="20"/>
        </w:rPr>
      </w:pPr>
    </w:p>
    <w:p w:rsidR="00243D7B" w:rsidRPr="00CD51A5" w:rsidRDefault="00243D7B" w:rsidP="00963E9A">
      <w:pPr>
        <w:rPr>
          <w:sz w:val="24"/>
          <w:szCs w:val="24"/>
        </w:rPr>
      </w:pPr>
      <w:r w:rsidRPr="00CD51A5">
        <w:rPr>
          <w:sz w:val="24"/>
          <w:szCs w:val="24"/>
        </w:rPr>
        <w:t>Staatsbosbe</w:t>
      </w:r>
      <w:r w:rsidR="005E0DB5">
        <w:rPr>
          <w:sz w:val="24"/>
          <w:szCs w:val="24"/>
        </w:rPr>
        <w:t>heer  -  Provincie Gelderland</w:t>
      </w:r>
    </w:p>
    <w:p w:rsidR="00243D7B" w:rsidRPr="00CD51A5" w:rsidRDefault="00243D7B" w:rsidP="00963E9A">
      <w:pPr>
        <w:rPr>
          <w:sz w:val="24"/>
          <w:szCs w:val="24"/>
        </w:rPr>
      </w:pPr>
    </w:p>
    <w:p w:rsidR="00CD51A5" w:rsidRDefault="00243D7B" w:rsidP="00963E9A">
      <w:pPr>
        <w:rPr>
          <w:sz w:val="24"/>
          <w:szCs w:val="24"/>
        </w:rPr>
      </w:pPr>
      <w:proofErr w:type="spellStart"/>
      <w:r w:rsidRPr="00CD51A5">
        <w:rPr>
          <w:sz w:val="24"/>
          <w:szCs w:val="24"/>
        </w:rPr>
        <w:t>Meerjaren</w:t>
      </w:r>
      <w:proofErr w:type="spellEnd"/>
      <w:r w:rsidRPr="00CD51A5">
        <w:rPr>
          <w:sz w:val="24"/>
          <w:szCs w:val="24"/>
        </w:rPr>
        <w:t xml:space="preserve"> Raamovereenkomsten Grond-, Weg-, en Waterbouw en Groenwerken </w:t>
      </w:r>
    </w:p>
    <w:p w:rsidR="00E6481A" w:rsidRPr="00CD51A5" w:rsidRDefault="00243D7B" w:rsidP="00963E9A">
      <w:pPr>
        <w:rPr>
          <w:sz w:val="24"/>
          <w:szCs w:val="24"/>
        </w:rPr>
      </w:pPr>
      <w:r w:rsidRPr="00CD51A5">
        <w:rPr>
          <w:sz w:val="24"/>
          <w:szCs w:val="24"/>
        </w:rPr>
        <w:t>202</w:t>
      </w:r>
      <w:r w:rsidR="00E451B0">
        <w:rPr>
          <w:sz w:val="24"/>
          <w:szCs w:val="24"/>
        </w:rPr>
        <w:t>2</w:t>
      </w:r>
      <w:r w:rsidRPr="00CD51A5">
        <w:rPr>
          <w:sz w:val="24"/>
          <w:szCs w:val="24"/>
        </w:rPr>
        <w:t xml:space="preserve"> e.v.</w:t>
      </w:r>
    </w:p>
    <w:p w:rsidR="00243D7B" w:rsidRPr="00CD51A5" w:rsidRDefault="00243D7B" w:rsidP="00963E9A">
      <w:pPr>
        <w:rPr>
          <w:sz w:val="24"/>
          <w:szCs w:val="24"/>
        </w:rPr>
      </w:pPr>
    </w:p>
    <w:p w:rsidR="00243D7B" w:rsidRPr="00CD51A5" w:rsidRDefault="00243D7B" w:rsidP="00963E9A">
      <w:pPr>
        <w:rPr>
          <w:sz w:val="24"/>
          <w:szCs w:val="24"/>
        </w:rPr>
      </w:pPr>
      <w:r w:rsidRPr="00CD51A5">
        <w:rPr>
          <w:sz w:val="24"/>
          <w:szCs w:val="24"/>
        </w:rPr>
        <w:t>Toelichting minicompetities</w:t>
      </w:r>
    </w:p>
    <w:p w:rsidR="00243D7B" w:rsidRPr="00243D7B" w:rsidRDefault="00243D7B" w:rsidP="00963E9A">
      <w:pPr>
        <w:rPr>
          <w:sz w:val="20"/>
        </w:rPr>
      </w:pPr>
    </w:p>
    <w:p w:rsidR="00243D7B" w:rsidRPr="00243D7B" w:rsidRDefault="00243D7B" w:rsidP="00963E9A">
      <w:pPr>
        <w:rPr>
          <w:sz w:val="20"/>
        </w:rPr>
      </w:pPr>
    </w:p>
    <w:p w:rsidR="00CD51A5" w:rsidRDefault="00243D7B" w:rsidP="00392971">
      <w:pPr>
        <w:jc w:val="both"/>
        <w:rPr>
          <w:sz w:val="20"/>
        </w:rPr>
      </w:pPr>
      <w:r w:rsidRPr="00243D7B">
        <w:rPr>
          <w:sz w:val="20"/>
        </w:rPr>
        <w:t xml:space="preserve">Binnen de Raamovereenkomsten (hierna </w:t>
      </w:r>
      <w:proofErr w:type="spellStart"/>
      <w:r w:rsidRPr="00243D7B">
        <w:rPr>
          <w:sz w:val="20"/>
        </w:rPr>
        <w:t>ROk’s</w:t>
      </w:r>
      <w:proofErr w:type="spellEnd"/>
      <w:r w:rsidRPr="00243D7B">
        <w:rPr>
          <w:sz w:val="20"/>
        </w:rPr>
        <w:t>) worden voor het uitzetten van werkelijke opdrachten minicompetities gevoerd.</w:t>
      </w:r>
      <w:r w:rsidR="00CD51A5">
        <w:rPr>
          <w:sz w:val="20"/>
        </w:rPr>
        <w:t xml:space="preserve"> Zo’n minicompetitie is nodig omdat pas hierin een werkelijke opdracht zichtbaar wordt en dus ook pas hierop door de aannemer, partner in de </w:t>
      </w:r>
      <w:proofErr w:type="spellStart"/>
      <w:r w:rsidR="00CD51A5">
        <w:rPr>
          <w:sz w:val="20"/>
        </w:rPr>
        <w:t>ROk</w:t>
      </w:r>
      <w:proofErr w:type="spellEnd"/>
      <w:r w:rsidR="00CD51A5">
        <w:rPr>
          <w:sz w:val="20"/>
        </w:rPr>
        <w:t>, een werkelijke inschrijving gedaan kan worden. Ook maakt de minicompetitie mogelijk meervoudige prijsvorming in concurrentie; belangrijk voor de rijksoverheid, verstrekker van de budgetten (= belastinggelden), opdat voor de opdracht de laagste respectievelijk beste kostprijs gevonden kan worden.</w:t>
      </w:r>
    </w:p>
    <w:p w:rsidR="00CD51A5" w:rsidRDefault="00CD51A5" w:rsidP="00392971">
      <w:pPr>
        <w:jc w:val="both"/>
        <w:rPr>
          <w:sz w:val="20"/>
        </w:rPr>
      </w:pPr>
    </w:p>
    <w:p w:rsidR="00CD51A5" w:rsidRDefault="00CD51A5" w:rsidP="00392971">
      <w:pPr>
        <w:jc w:val="both"/>
        <w:rPr>
          <w:sz w:val="20"/>
        </w:rPr>
      </w:pPr>
      <w:r>
        <w:rPr>
          <w:sz w:val="20"/>
        </w:rPr>
        <w:t xml:space="preserve">Een minicompetitie lijkt sterk op een ‘gewone’ aanbesteding middels inschrijving meervoudig </w:t>
      </w:r>
      <w:proofErr w:type="spellStart"/>
      <w:r>
        <w:rPr>
          <w:sz w:val="20"/>
        </w:rPr>
        <w:t>onder</w:t>
      </w:r>
      <w:r w:rsidR="00392971">
        <w:rPr>
          <w:sz w:val="20"/>
        </w:rPr>
        <w:t>-</w:t>
      </w:r>
      <w:r>
        <w:rPr>
          <w:sz w:val="20"/>
        </w:rPr>
        <w:t>hands</w:t>
      </w:r>
      <w:proofErr w:type="spellEnd"/>
      <w:r>
        <w:rPr>
          <w:sz w:val="20"/>
        </w:rPr>
        <w:t>, en bestaat in hoofdzaak, gewoonlijk, uit de volgende onderdelen:</w:t>
      </w:r>
    </w:p>
    <w:p w:rsidR="00CD51A5" w:rsidRDefault="00CD51A5" w:rsidP="00392971">
      <w:pPr>
        <w:pStyle w:val="Lijstalinea"/>
        <w:numPr>
          <w:ilvl w:val="0"/>
          <w:numId w:val="2"/>
        </w:numPr>
        <w:jc w:val="both"/>
        <w:rPr>
          <w:sz w:val="20"/>
        </w:rPr>
      </w:pPr>
      <w:r>
        <w:rPr>
          <w:sz w:val="20"/>
        </w:rPr>
        <w:t>Nadere Offerteaanvraag</w:t>
      </w:r>
    </w:p>
    <w:p w:rsidR="00CD51A5" w:rsidRDefault="00CD51A5" w:rsidP="00392971">
      <w:pPr>
        <w:pStyle w:val="Lijstalinea"/>
        <w:numPr>
          <w:ilvl w:val="0"/>
          <w:numId w:val="2"/>
        </w:numPr>
        <w:jc w:val="both"/>
        <w:rPr>
          <w:sz w:val="20"/>
        </w:rPr>
      </w:pPr>
      <w:r>
        <w:rPr>
          <w:sz w:val="20"/>
        </w:rPr>
        <w:t>Vragenronde met Nota van Inlichtingen</w:t>
      </w:r>
    </w:p>
    <w:p w:rsidR="00CD51A5" w:rsidRDefault="00CD51A5" w:rsidP="00392971">
      <w:pPr>
        <w:pStyle w:val="Lijstalinea"/>
        <w:numPr>
          <w:ilvl w:val="0"/>
          <w:numId w:val="2"/>
        </w:numPr>
        <w:jc w:val="both"/>
        <w:rPr>
          <w:sz w:val="20"/>
        </w:rPr>
      </w:pPr>
      <w:r>
        <w:rPr>
          <w:sz w:val="20"/>
        </w:rPr>
        <w:t>Inschrijving, veelal op basis van laagste prijs</w:t>
      </w:r>
    </w:p>
    <w:p w:rsidR="00D35186" w:rsidRDefault="00D35186" w:rsidP="00392971">
      <w:pPr>
        <w:pStyle w:val="Lijstalinea"/>
        <w:numPr>
          <w:ilvl w:val="0"/>
          <w:numId w:val="2"/>
        </w:numPr>
        <w:jc w:val="both"/>
        <w:rPr>
          <w:sz w:val="20"/>
        </w:rPr>
      </w:pPr>
      <w:r>
        <w:rPr>
          <w:sz w:val="20"/>
        </w:rPr>
        <w:t>Gunning en opmaak Nadere Overeenkomst, ook wel genoemd Nadere Opdracht</w:t>
      </w:r>
    </w:p>
    <w:p w:rsidR="00D35186" w:rsidRDefault="00CE529E" w:rsidP="00392971">
      <w:pPr>
        <w:jc w:val="both"/>
        <w:rPr>
          <w:sz w:val="20"/>
        </w:rPr>
      </w:pPr>
      <w:r>
        <w:rPr>
          <w:sz w:val="20"/>
        </w:rPr>
        <w:t xml:space="preserve">Deze vier onderdelen worden allemaal schriftelijk uitgevoerd = in hoofdzaak per email. De Nadere Opdracht heeft ook wel de vorm van </w:t>
      </w:r>
      <w:r w:rsidR="005E0DB5">
        <w:rPr>
          <w:sz w:val="20"/>
        </w:rPr>
        <w:t xml:space="preserve">alleen </w:t>
      </w:r>
      <w:r>
        <w:rPr>
          <w:sz w:val="20"/>
        </w:rPr>
        <w:t>de standaard UBW-</w:t>
      </w:r>
      <w:proofErr w:type="spellStart"/>
      <w:r>
        <w:rPr>
          <w:sz w:val="20"/>
        </w:rPr>
        <w:t>opdrachtbon</w:t>
      </w:r>
      <w:proofErr w:type="spellEnd"/>
      <w:r>
        <w:rPr>
          <w:sz w:val="20"/>
        </w:rPr>
        <w:t xml:space="preserve"> met daarop de verwijzing naar de aanbestedingsdocumenten plus de offerte, inschrijving, van de aannemer.</w:t>
      </w:r>
    </w:p>
    <w:p w:rsidR="00CE529E" w:rsidRDefault="00CE529E" w:rsidP="00392971">
      <w:pPr>
        <w:jc w:val="both"/>
        <w:rPr>
          <w:sz w:val="20"/>
        </w:rPr>
      </w:pPr>
    </w:p>
    <w:p w:rsidR="00D35186" w:rsidRPr="005E0DB5" w:rsidRDefault="00D35186" w:rsidP="00392971">
      <w:pPr>
        <w:jc w:val="both"/>
        <w:rPr>
          <w:sz w:val="24"/>
          <w:szCs w:val="24"/>
          <w:u w:val="single"/>
        </w:rPr>
      </w:pPr>
      <w:r w:rsidRPr="005E0DB5">
        <w:rPr>
          <w:sz w:val="24"/>
          <w:szCs w:val="24"/>
          <w:u w:val="single"/>
        </w:rPr>
        <w:t>Toelichting:</w:t>
      </w:r>
    </w:p>
    <w:p w:rsidR="00D35186" w:rsidRPr="004F7D83" w:rsidRDefault="00D35186" w:rsidP="00392971">
      <w:pPr>
        <w:pStyle w:val="Lijstalinea"/>
        <w:numPr>
          <w:ilvl w:val="0"/>
          <w:numId w:val="3"/>
        </w:numPr>
        <w:jc w:val="both"/>
        <w:rPr>
          <w:sz w:val="20"/>
          <w:u w:val="single"/>
        </w:rPr>
      </w:pPr>
      <w:r w:rsidRPr="004F7D83">
        <w:rPr>
          <w:sz w:val="20"/>
          <w:u w:val="single"/>
        </w:rPr>
        <w:t>Nadere Offerteaanvraag:</w:t>
      </w:r>
    </w:p>
    <w:p w:rsidR="00D35186" w:rsidRDefault="00D35186" w:rsidP="00392971">
      <w:pPr>
        <w:jc w:val="both"/>
        <w:rPr>
          <w:sz w:val="20"/>
        </w:rPr>
      </w:pPr>
      <w:r>
        <w:rPr>
          <w:sz w:val="20"/>
        </w:rPr>
        <w:t>Het eerste wat opvalt aan een (gemiddelde</w:t>
      </w:r>
      <w:r w:rsidR="005E0DB5">
        <w:rPr>
          <w:sz w:val="20"/>
        </w:rPr>
        <w:t>, gewoonlijk</w:t>
      </w:r>
      <w:r>
        <w:rPr>
          <w:sz w:val="20"/>
        </w:rPr>
        <w:t>) Nadere Offerteaanvraag is</w:t>
      </w:r>
      <w:r w:rsidR="009168EF">
        <w:rPr>
          <w:sz w:val="20"/>
        </w:rPr>
        <w:t xml:space="preserve"> dat deze qua vorm uiterst beknopt</w:t>
      </w:r>
      <w:r>
        <w:rPr>
          <w:sz w:val="20"/>
        </w:rPr>
        <w:t xml:space="preserve">, gering, van omvang is. Het is dan ook hoogst belangrijk voor zo’n </w:t>
      </w:r>
      <w:proofErr w:type="spellStart"/>
      <w:r>
        <w:rPr>
          <w:sz w:val="20"/>
        </w:rPr>
        <w:t>Nad.Off.aanvraag</w:t>
      </w:r>
      <w:proofErr w:type="spellEnd"/>
      <w:r>
        <w:rPr>
          <w:sz w:val="20"/>
        </w:rPr>
        <w:t xml:space="preserve"> dat deze </w:t>
      </w:r>
      <w:r w:rsidRPr="00D35186">
        <w:rPr>
          <w:sz w:val="20"/>
          <w:u w:val="single"/>
        </w:rPr>
        <w:t xml:space="preserve">alleen </w:t>
      </w:r>
      <w:r>
        <w:rPr>
          <w:sz w:val="20"/>
        </w:rPr>
        <w:t xml:space="preserve">bevat die bepalingen en instructies die </w:t>
      </w:r>
      <w:r w:rsidRPr="00D35186">
        <w:rPr>
          <w:sz w:val="20"/>
          <w:u w:val="single"/>
        </w:rPr>
        <w:t>niet</w:t>
      </w:r>
      <w:r>
        <w:rPr>
          <w:sz w:val="20"/>
        </w:rPr>
        <w:t xml:space="preserve"> omschreven zijn in de </w:t>
      </w:r>
      <w:proofErr w:type="spellStart"/>
      <w:r>
        <w:rPr>
          <w:sz w:val="20"/>
        </w:rPr>
        <w:t>besteksdocumenten</w:t>
      </w:r>
      <w:proofErr w:type="spellEnd"/>
      <w:r w:rsidR="009168EF">
        <w:rPr>
          <w:sz w:val="20"/>
        </w:rPr>
        <w:t>, zeker ook de Bijlagen zoals o.a. de ‘Gedragscode</w:t>
      </w:r>
      <w:r w:rsidR="00392971">
        <w:rPr>
          <w:sz w:val="20"/>
        </w:rPr>
        <w:t>s Zorgzaam</w:t>
      </w:r>
      <w:r w:rsidR="009168EF">
        <w:rPr>
          <w:sz w:val="20"/>
        </w:rPr>
        <w:t xml:space="preserve"> Natuurbeheer</w:t>
      </w:r>
      <w:r w:rsidR="00392971">
        <w:rPr>
          <w:sz w:val="20"/>
        </w:rPr>
        <w:t xml:space="preserve"> en -Bosbeheer</w:t>
      </w:r>
      <w:r w:rsidR="009168EF">
        <w:rPr>
          <w:sz w:val="20"/>
        </w:rPr>
        <w:t>’,</w:t>
      </w:r>
      <w:r>
        <w:rPr>
          <w:sz w:val="20"/>
        </w:rPr>
        <w:t xml:space="preserve"> van de overkoepelende raamovereenkomst. </w:t>
      </w:r>
    </w:p>
    <w:p w:rsidR="00D35186" w:rsidRDefault="00D35186" w:rsidP="00392971">
      <w:pPr>
        <w:jc w:val="both"/>
        <w:rPr>
          <w:sz w:val="20"/>
        </w:rPr>
      </w:pPr>
      <w:r>
        <w:rPr>
          <w:sz w:val="20"/>
        </w:rPr>
        <w:t xml:space="preserve">Dus </w:t>
      </w:r>
      <w:r w:rsidRPr="004F7D83">
        <w:rPr>
          <w:sz w:val="20"/>
          <w:u w:val="single"/>
        </w:rPr>
        <w:t>geen:</w:t>
      </w:r>
    </w:p>
    <w:p w:rsidR="00D35186" w:rsidRDefault="00D35186" w:rsidP="00392971">
      <w:pPr>
        <w:pStyle w:val="Lijstalinea"/>
        <w:numPr>
          <w:ilvl w:val="0"/>
          <w:numId w:val="4"/>
        </w:numPr>
        <w:jc w:val="both"/>
        <w:rPr>
          <w:sz w:val="20"/>
        </w:rPr>
      </w:pPr>
      <w:r>
        <w:rPr>
          <w:sz w:val="20"/>
        </w:rPr>
        <w:t xml:space="preserve">Algemeen geldende uitgangspunten zoals ‘…………. geen </w:t>
      </w:r>
      <w:proofErr w:type="spellStart"/>
      <w:r>
        <w:rPr>
          <w:sz w:val="20"/>
        </w:rPr>
        <w:t>insporing</w:t>
      </w:r>
      <w:proofErr w:type="spellEnd"/>
      <w:r>
        <w:rPr>
          <w:sz w:val="20"/>
        </w:rPr>
        <w:t xml:space="preserve"> in vegetatie, bovenlaag en ondergrond ………’, en ‘…………. houdt afstand van beschermde of anderszins beschermingswaardige planten en dieren ……………’ en ‘…………. </w:t>
      </w:r>
      <w:r w:rsidR="009A56B2">
        <w:rPr>
          <w:sz w:val="20"/>
        </w:rPr>
        <w:t>g</w:t>
      </w:r>
      <w:r>
        <w:rPr>
          <w:sz w:val="20"/>
        </w:rPr>
        <w:t>een vermijdbare hinder veroorzaken voor recreanten en recreatie ……’ etc. etc.</w:t>
      </w:r>
      <w:r w:rsidR="009A56B2">
        <w:rPr>
          <w:sz w:val="20"/>
        </w:rPr>
        <w:t xml:space="preserve"> etc.</w:t>
      </w:r>
    </w:p>
    <w:p w:rsidR="00D35186" w:rsidRDefault="00D35186" w:rsidP="00392971">
      <w:pPr>
        <w:pStyle w:val="Lijstalinea"/>
        <w:numPr>
          <w:ilvl w:val="0"/>
          <w:numId w:val="4"/>
        </w:numPr>
        <w:jc w:val="both"/>
        <w:rPr>
          <w:sz w:val="20"/>
        </w:rPr>
      </w:pPr>
      <w:r>
        <w:rPr>
          <w:sz w:val="20"/>
        </w:rPr>
        <w:t>Bepalingen en adviezen die al opgenomen zijn i</w:t>
      </w:r>
      <w:r w:rsidR="00DE2567">
        <w:rPr>
          <w:sz w:val="20"/>
        </w:rPr>
        <w:t>n de Code</w:t>
      </w:r>
      <w:r>
        <w:rPr>
          <w:sz w:val="20"/>
        </w:rPr>
        <w:t xml:space="preserve"> Zorgzaam Natuurbeheer</w:t>
      </w:r>
      <w:r w:rsidR="00392971">
        <w:rPr>
          <w:sz w:val="20"/>
        </w:rPr>
        <w:t xml:space="preserve"> en -Bosbeheer</w:t>
      </w:r>
      <w:r w:rsidR="00DE2567">
        <w:rPr>
          <w:sz w:val="20"/>
        </w:rPr>
        <w:t xml:space="preserve"> want het voldoen aan deze Code</w:t>
      </w:r>
      <w:r>
        <w:rPr>
          <w:sz w:val="20"/>
        </w:rPr>
        <w:t xml:space="preserve"> is opgenomen in de </w:t>
      </w:r>
      <w:proofErr w:type="spellStart"/>
      <w:r>
        <w:rPr>
          <w:sz w:val="20"/>
        </w:rPr>
        <w:t>ROk</w:t>
      </w:r>
      <w:proofErr w:type="spellEnd"/>
      <w:r>
        <w:rPr>
          <w:sz w:val="20"/>
        </w:rPr>
        <w:t>.</w:t>
      </w:r>
    </w:p>
    <w:p w:rsidR="00D35186" w:rsidRDefault="00D35186" w:rsidP="00392971">
      <w:pPr>
        <w:pStyle w:val="Lijstalinea"/>
        <w:numPr>
          <w:ilvl w:val="0"/>
          <w:numId w:val="4"/>
        </w:numPr>
        <w:jc w:val="both"/>
        <w:rPr>
          <w:sz w:val="20"/>
        </w:rPr>
      </w:pPr>
      <w:r>
        <w:rPr>
          <w:sz w:val="20"/>
        </w:rPr>
        <w:t>Voorschriften over het gebruik van typen brandstoffen, oliën en smeermiddelen</w:t>
      </w:r>
      <w:r w:rsidR="00392971">
        <w:rPr>
          <w:sz w:val="20"/>
        </w:rPr>
        <w:t xml:space="preserve">; dit is al geregeld in het </w:t>
      </w:r>
      <w:proofErr w:type="spellStart"/>
      <w:r w:rsidR="00392971">
        <w:rPr>
          <w:sz w:val="20"/>
        </w:rPr>
        <w:t>ErBo</w:t>
      </w:r>
      <w:proofErr w:type="spellEnd"/>
      <w:r>
        <w:rPr>
          <w:sz w:val="20"/>
        </w:rPr>
        <w:t>-certificaat en gelijkwaardig</w:t>
      </w:r>
      <w:r w:rsidR="002A438A">
        <w:rPr>
          <w:sz w:val="20"/>
        </w:rPr>
        <w:t>e certificaten</w:t>
      </w:r>
      <w:r>
        <w:rPr>
          <w:sz w:val="20"/>
        </w:rPr>
        <w:t>.</w:t>
      </w:r>
    </w:p>
    <w:p w:rsidR="009A56B2" w:rsidRPr="00E81FD8" w:rsidRDefault="009A56B2" w:rsidP="00392971">
      <w:pPr>
        <w:pStyle w:val="Lijstalinea"/>
        <w:numPr>
          <w:ilvl w:val="0"/>
          <w:numId w:val="4"/>
        </w:numPr>
        <w:jc w:val="both"/>
        <w:rPr>
          <w:sz w:val="20"/>
        </w:rPr>
      </w:pPr>
      <w:r w:rsidRPr="00E81FD8">
        <w:rPr>
          <w:sz w:val="20"/>
        </w:rPr>
        <w:t>Veiligheidsaspecten voor de verkeersveiligheid en ARBO etc. etc.</w:t>
      </w:r>
    </w:p>
    <w:p w:rsidR="009A56B2" w:rsidRPr="00E81FD8" w:rsidRDefault="00F64560" w:rsidP="00392971">
      <w:pPr>
        <w:pStyle w:val="Lijstalinea"/>
        <w:numPr>
          <w:ilvl w:val="0"/>
          <w:numId w:val="4"/>
        </w:numPr>
        <w:jc w:val="both"/>
        <w:rPr>
          <w:sz w:val="20"/>
        </w:rPr>
      </w:pPr>
      <w:r>
        <w:rPr>
          <w:sz w:val="20"/>
        </w:rPr>
        <w:t>Algemene Voorwaarden of Bijzondere Voorwaarden, ook geen UEA (Uniform Europees Aanbestedingsdocument), soms wel een formulier con</w:t>
      </w:r>
      <w:r w:rsidR="00DE2567">
        <w:rPr>
          <w:sz w:val="20"/>
        </w:rPr>
        <w:t>form ‘Model K’ (= de rechtmatigheids</w:t>
      </w:r>
      <w:r>
        <w:rPr>
          <w:sz w:val="20"/>
        </w:rPr>
        <w:t>-verklaring</w:t>
      </w:r>
      <w:r w:rsidR="00392971">
        <w:rPr>
          <w:sz w:val="20"/>
        </w:rPr>
        <w:t xml:space="preserve"> bij het inschrijven op Nadere Offerteaanvragen</w:t>
      </w:r>
      <w:r>
        <w:rPr>
          <w:sz w:val="20"/>
        </w:rPr>
        <w:t>)</w:t>
      </w:r>
    </w:p>
    <w:p w:rsidR="004F7D83" w:rsidRDefault="004F7D83" w:rsidP="00392971">
      <w:pPr>
        <w:jc w:val="both"/>
        <w:rPr>
          <w:sz w:val="20"/>
        </w:rPr>
      </w:pPr>
    </w:p>
    <w:p w:rsidR="004F7D83" w:rsidRDefault="009A56B2" w:rsidP="00392971">
      <w:pPr>
        <w:jc w:val="both"/>
        <w:rPr>
          <w:sz w:val="20"/>
        </w:rPr>
      </w:pPr>
      <w:r w:rsidRPr="00CE529E">
        <w:rPr>
          <w:sz w:val="20"/>
          <w:u w:val="single"/>
        </w:rPr>
        <w:t xml:space="preserve">Wel </w:t>
      </w:r>
      <w:r w:rsidRPr="00E81FD8">
        <w:rPr>
          <w:sz w:val="20"/>
        </w:rPr>
        <w:t>de bijzonderheden</w:t>
      </w:r>
      <w:r w:rsidR="00392971">
        <w:rPr>
          <w:sz w:val="20"/>
        </w:rPr>
        <w:t xml:space="preserve"> (lees: afwijkende elementen t.o.v. de normale praktijk)</w:t>
      </w:r>
      <w:r w:rsidRPr="00E81FD8">
        <w:rPr>
          <w:sz w:val="20"/>
        </w:rPr>
        <w:t xml:space="preserve"> die spelen, van belang zijn, voor de correcte uitvoering van de nadere opdracht en die specifiek van belang zijn voor</w:t>
      </w:r>
      <w:r w:rsidR="00E81FD8">
        <w:rPr>
          <w:sz w:val="20"/>
        </w:rPr>
        <w:t xml:space="preserve"> die locatie en dat werkterrein. En uiteraard de werkomschrijving; in ieder geval precies omschrijven wat klaar moet zijn als het</w:t>
      </w:r>
      <w:r w:rsidR="00DE2567">
        <w:rPr>
          <w:sz w:val="20"/>
        </w:rPr>
        <w:t xml:space="preserve"> klaar is. En dat mag, kan, in d</w:t>
      </w:r>
      <w:r w:rsidR="00E81FD8">
        <w:rPr>
          <w:sz w:val="20"/>
        </w:rPr>
        <w:t>e eigen woorden. Uiteraard wel redelijk duidelijk beschrijven wat je hebben wilt maar dat hoeft niet in hoogdravend Nederlands, of echt ambtelijk geschreven</w:t>
      </w:r>
      <w:r w:rsidR="004F7D83">
        <w:rPr>
          <w:sz w:val="20"/>
        </w:rPr>
        <w:t xml:space="preserve"> vage proza</w:t>
      </w:r>
      <w:r w:rsidR="00E81FD8">
        <w:rPr>
          <w:sz w:val="20"/>
        </w:rPr>
        <w:t>, en ook niet vol van juridische, afhoudende, formuleringen.</w:t>
      </w:r>
    </w:p>
    <w:p w:rsidR="00392971" w:rsidRDefault="00392971" w:rsidP="00392971">
      <w:pPr>
        <w:jc w:val="both"/>
        <w:rPr>
          <w:sz w:val="20"/>
        </w:rPr>
      </w:pPr>
    </w:p>
    <w:p w:rsidR="00E81FD8" w:rsidRDefault="00E81FD8" w:rsidP="00392971">
      <w:pPr>
        <w:jc w:val="both"/>
        <w:rPr>
          <w:sz w:val="20"/>
        </w:rPr>
      </w:pPr>
      <w:r>
        <w:rPr>
          <w:sz w:val="20"/>
        </w:rPr>
        <w:t>Als de opdracht echt groot is, en/of in technisch opzicht ingewikkeld in elkaar steekt, dan kan een RAW-opzet praktisch zijn, veelal opgesteld door een adviesbureau/ingenieursbureau; meestal voldoen</w:t>
      </w:r>
      <w:r w:rsidR="00DE2567">
        <w:rPr>
          <w:sz w:val="20"/>
        </w:rPr>
        <w:t xml:space="preserve"> echter</w:t>
      </w:r>
      <w:r>
        <w:rPr>
          <w:sz w:val="20"/>
        </w:rPr>
        <w:t xml:space="preserve"> een duidelijk verhaal in Word met eventueel een tabel in Excel. Wat vaak ook helpt: foto’s van de situatie, van geslaagde voorbeelden van een vergelijkbare opdracht, of </w:t>
      </w:r>
      <w:r w:rsidR="00392971">
        <w:rPr>
          <w:sz w:val="20"/>
        </w:rPr>
        <w:t xml:space="preserve">foto’s </w:t>
      </w:r>
      <w:r>
        <w:rPr>
          <w:sz w:val="20"/>
        </w:rPr>
        <w:t>juist van voorbeelden zoals het echt niet moet.</w:t>
      </w:r>
    </w:p>
    <w:p w:rsidR="00E81FD8" w:rsidRDefault="00E81FD8" w:rsidP="00392971">
      <w:pPr>
        <w:jc w:val="both"/>
        <w:rPr>
          <w:sz w:val="20"/>
        </w:rPr>
      </w:pPr>
      <w:r>
        <w:rPr>
          <w:sz w:val="20"/>
        </w:rPr>
        <w:t>Uiteraard ook met kaartjes en schetsen uit G</w:t>
      </w:r>
      <w:r w:rsidR="00CD18AF">
        <w:rPr>
          <w:sz w:val="20"/>
        </w:rPr>
        <w:t>IS, voorzien van de nodige arceringen,</w:t>
      </w:r>
      <w:r>
        <w:rPr>
          <w:sz w:val="20"/>
        </w:rPr>
        <w:t xml:space="preserve"> strepen</w:t>
      </w:r>
      <w:r w:rsidR="00CD18AF">
        <w:rPr>
          <w:sz w:val="20"/>
        </w:rPr>
        <w:t xml:space="preserve"> en punten of sterretjes,</w:t>
      </w:r>
      <w:r>
        <w:rPr>
          <w:sz w:val="20"/>
        </w:rPr>
        <w:t xml:space="preserve"> en een uitgebreide legenda; veelal zegt een duidelijk plaatje meer dan 1.000 woorden.</w:t>
      </w:r>
    </w:p>
    <w:p w:rsidR="00E81FD8" w:rsidRDefault="00E81FD8" w:rsidP="00392971">
      <w:pPr>
        <w:jc w:val="both"/>
        <w:rPr>
          <w:sz w:val="20"/>
        </w:rPr>
      </w:pPr>
      <w:r>
        <w:rPr>
          <w:sz w:val="20"/>
        </w:rPr>
        <w:t>En, uiteraard, met een Inschrijvingsbiljet (om ervoor te zorgen dat je vergelijkbare offertes krijgt) en met een Planningsoverzicht met daarin de voornaamste datums met de acties die erbij horen.</w:t>
      </w:r>
    </w:p>
    <w:p w:rsidR="00E81FD8" w:rsidRDefault="00E81FD8" w:rsidP="00392971">
      <w:pPr>
        <w:jc w:val="both"/>
        <w:rPr>
          <w:sz w:val="20"/>
        </w:rPr>
      </w:pPr>
    </w:p>
    <w:p w:rsidR="00E81FD8" w:rsidRDefault="00E81FD8" w:rsidP="00392971">
      <w:pPr>
        <w:jc w:val="both"/>
        <w:rPr>
          <w:sz w:val="20"/>
        </w:rPr>
      </w:pPr>
    </w:p>
    <w:p w:rsidR="00E81FD8" w:rsidRPr="004F7D83" w:rsidRDefault="00E81FD8" w:rsidP="00392971">
      <w:pPr>
        <w:pStyle w:val="Lijstalinea"/>
        <w:numPr>
          <w:ilvl w:val="0"/>
          <w:numId w:val="3"/>
        </w:numPr>
        <w:jc w:val="both"/>
        <w:rPr>
          <w:sz w:val="20"/>
          <w:u w:val="single"/>
        </w:rPr>
      </w:pPr>
      <w:r w:rsidRPr="004F7D83">
        <w:rPr>
          <w:sz w:val="20"/>
          <w:u w:val="single"/>
        </w:rPr>
        <w:t>Vragenronde met Nota van Inlichtingen</w:t>
      </w:r>
    </w:p>
    <w:p w:rsidR="009A56B2" w:rsidRDefault="00E81FD8" w:rsidP="00392971">
      <w:pPr>
        <w:jc w:val="both"/>
        <w:rPr>
          <w:sz w:val="20"/>
        </w:rPr>
      </w:pPr>
      <w:r>
        <w:rPr>
          <w:sz w:val="20"/>
        </w:rPr>
        <w:t>Na het verzenden van de Nadere Offerteaanvraag, de uitnodiging met alle gegevens, volgt een periode, +/- een week of drie (= afhankelijk van de omvang van de opdracht) waarin de partners vragen kunnen stellen. Zoals bij alle communicatie deze vragen alleen ontvangen per email</w:t>
      </w:r>
      <w:r w:rsidR="005E0DB5">
        <w:rPr>
          <w:sz w:val="20"/>
        </w:rPr>
        <w:t xml:space="preserve"> en op 2 email-adressen van SBB-medewerkers</w:t>
      </w:r>
      <w:r>
        <w:rPr>
          <w:sz w:val="20"/>
        </w:rPr>
        <w:t>; niet per telefoon of mondeling (*). Na het sluiten van de periode voor vragen stellen de Nota van Inlichtingen opmaken. Geanonimiseerd de vragen beantwoorden en die dan rondsturen naar alle 10 de partners.</w:t>
      </w:r>
    </w:p>
    <w:p w:rsidR="00F64560" w:rsidRDefault="00F64560" w:rsidP="00392971">
      <w:pPr>
        <w:jc w:val="both"/>
        <w:rPr>
          <w:sz w:val="20"/>
        </w:rPr>
      </w:pPr>
    </w:p>
    <w:p w:rsidR="00392971" w:rsidRDefault="00392971" w:rsidP="00392971">
      <w:pPr>
        <w:jc w:val="both"/>
        <w:rPr>
          <w:sz w:val="20"/>
        </w:rPr>
      </w:pPr>
      <w:r>
        <w:rPr>
          <w:sz w:val="20"/>
        </w:rPr>
        <w:t>(*): Alle communicatie van partners, genodigde inschrijvers, altijd ontvangen op 2 email-adressen (jijzelf en dat van een naaste collega). Alle vragen, opmerkingen</w:t>
      </w:r>
      <w:r w:rsidR="005E0DB5">
        <w:rPr>
          <w:sz w:val="20"/>
        </w:rPr>
        <w:t>,</w:t>
      </w:r>
      <w:r>
        <w:rPr>
          <w:sz w:val="20"/>
        </w:rPr>
        <w:t xml:space="preserve"> en</w:t>
      </w:r>
      <w:r w:rsidR="005E0DB5">
        <w:rPr>
          <w:sz w:val="20"/>
        </w:rPr>
        <w:t xml:space="preserve"> later</w:t>
      </w:r>
      <w:r>
        <w:rPr>
          <w:sz w:val="20"/>
        </w:rPr>
        <w:t xml:space="preserve"> ook de Inschrijvingsbiljetten ontvangen in je eigen </w:t>
      </w:r>
      <w:proofErr w:type="spellStart"/>
      <w:r>
        <w:rPr>
          <w:sz w:val="20"/>
        </w:rPr>
        <w:t>emailbox</w:t>
      </w:r>
      <w:proofErr w:type="spellEnd"/>
      <w:r>
        <w:rPr>
          <w:sz w:val="20"/>
        </w:rPr>
        <w:t xml:space="preserve"> en in die van een collega. Die collega hoeft verder met al die berichten meestal niets te doen, wel goed bewaren, hij</w:t>
      </w:r>
      <w:r w:rsidR="00E451B0">
        <w:rPr>
          <w:sz w:val="20"/>
        </w:rPr>
        <w:t>/zij</w:t>
      </w:r>
      <w:r>
        <w:rPr>
          <w:sz w:val="20"/>
        </w:rPr>
        <w:t xml:space="preserve"> fungeert alleen als back-up en wordt a</w:t>
      </w:r>
      <w:r w:rsidR="005E0DB5">
        <w:rPr>
          <w:sz w:val="20"/>
        </w:rPr>
        <w:t>angesproken zodra er opeens mis</w:t>
      </w:r>
      <w:r>
        <w:rPr>
          <w:sz w:val="20"/>
        </w:rPr>
        <w:t>communicatie mocht optreden.</w:t>
      </w:r>
    </w:p>
    <w:p w:rsidR="00392971" w:rsidRDefault="00392971" w:rsidP="00392971">
      <w:pPr>
        <w:jc w:val="both"/>
        <w:rPr>
          <w:sz w:val="20"/>
        </w:rPr>
      </w:pPr>
    </w:p>
    <w:p w:rsidR="00F64560" w:rsidRDefault="00F64560" w:rsidP="00392971">
      <w:pPr>
        <w:jc w:val="both"/>
        <w:rPr>
          <w:sz w:val="20"/>
        </w:rPr>
      </w:pPr>
      <w:r>
        <w:rPr>
          <w:sz w:val="20"/>
        </w:rPr>
        <w:t xml:space="preserve">Soms is het zinvol om een </w:t>
      </w:r>
      <w:proofErr w:type="spellStart"/>
      <w:r>
        <w:rPr>
          <w:sz w:val="20"/>
        </w:rPr>
        <w:t>Schouwdag</w:t>
      </w:r>
      <w:proofErr w:type="spellEnd"/>
      <w:r>
        <w:rPr>
          <w:sz w:val="20"/>
        </w:rPr>
        <w:t xml:space="preserve">, terreinbezoek-met-uitleg, toelichting, te organiseren. Binnen een </w:t>
      </w:r>
      <w:proofErr w:type="spellStart"/>
      <w:r>
        <w:rPr>
          <w:sz w:val="20"/>
        </w:rPr>
        <w:t>ROk</w:t>
      </w:r>
      <w:proofErr w:type="spellEnd"/>
      <w:r>
        <w:rPr>
          <w:sz w:val="20"/>
        </w:rPr>
        <w:t xml:space="preserve"> is dit eenvoudig te doen en zonder risico op een extra-kan</w:t>
      </w:r>
      <w:r w:rsidR="005E0DB5">
        <w:rPr>
          <w:sz w:val="20"/>
        </w:rPr>
        <w:t>s op verboden prijsvormend voor</w:t>
      </w:r>
      <w:r>
        <w:rPr>
          <w:sz w:val="20"/>
        </w:rPr>
        <w:t>overleg. De partners kennen elkaar immers al lang, sinds het opmaken van de raamo</w:t>
      </w:r>
      <w:r w:rsidR="00DE2567">
        <w:rPr>
          <w:sz w:val="20"/>
        </w:rPr>
        <w:t>vereenkomst. Mocht</w:t>
      </w:r>
      <w:r>
        <w:rPr>
          <w:sz w:val="20"/>
        </w:rPr>
        <w:t xml:space="preserve"> verboden prijsvormend vooro</w:t>
      </w:r>
      <w:r w:rsidR="00DE2567">
        <w:rPr>
          <w:sz w:val="20"/>
        </w:rPr>
        <w:t>verleg vermoed worden dan worden en/of de betrokken aannemers, partners, verwijderd uit de Raamovereenkomst en/of loopt de Raamovereenkomst af bij de eerste de beste gelegenheid</w:t>
      </w:r>
      <w:r>
        <w:rPr>
          <w:sz w:val="20"/>
        </w:rPr>
        <w:t>.</w:t>
      </w:r>
    </w:p>
    <w:p w:rsidR="00E81FD8" w:rsidRDefault="00E81FD8" w:rsidP="00392971">
      <w:pPr>
        <w:jc w:val="both"/>
        <w:rPr>
          <w:sz w:val="20"/>
        </w:rPr>
      </w:pPr>
    </w:p>
    <w:p w:rsidR="00E81FD8" w:rsidRDefault="00E81FD8" w:rsidP="00392971">
      <w:pPr>
        <w:jc w:val="both"/>
        <w:rPr>
          <w:sz w:val="20"/>
        </w:rPr>
      </w:pPr>
    </w:p>
    <w:p w:rsidR="00E81FD8" w:rsidRPr="004F7D83" w:rsidRDefault="00E81FD8" w:rsidP="00392971">
      <w:pPr>
        <w:pStyle w:val="Lijstalinea"/>
        <w:numPr>
          <w:ilvl w:val="0"/>
          <w:numId w:val="3"/>
        </w:numPr>
        <w:jc w:val="both"/>
        <w:rPr>
          <w:sz w:val="20"/>
          <w:u w:val="single"/>
        </w:rPr>
      </w:pPr>
      <w:r w:rsidRPr="004F7D83">
        <w:rPr>
          <w:sz w:val="20"/>
          <w:u w:val="single"/>
        </w:rPr>
        <w:t>Inschrijving, veelal op basis van laagste prijs</w:t>
      </w:r>
    </w:p>
    <w:p w:rsidR="00E81FD8" w:rsidRDefault="00E81FD8" w:rsidP="00392971">
      <w:pPr>
        <w:jc w:val="both"/>
        <w:rPr>
          <w:sz w:val="20"/>
        </w:rPr>
      </w:pPr>
      <w:r>
        <w:rPr>
          <w:sz w:val="20"/>
        </w:rPr>
        <w:t xml:space="preserve">Een week, of twee weken </w:t>
      </w:r>
      <w:r w:rsidR="00E451B0">
        <w:rPr>
          <w:sz w:val="20"/>
        </w:rPr>
        <w:t xml:space="preserve">later </w:t>
      </w:r>
      <w:r>
        <w:rPr>
          <w:sz w:val="20"/>
        </w:rPr>
        <w:t>(weer afhankelijk van omvang en complexiteit van de opdracht)</w:t>
      </w:r>
      <w:r w:rsidR="00F64560">
        <w:rPr>
          <w:sz w:val="20"/>
        </w:rPr>
        <w:t xml:space="preserve">, volgt dan de Inschrijving. De Inschrijvingen </w:t>
      </w:r>
      <w:r w:rsidR="005E0DB5">
        <w:rPr>
          <w:sz w:val="20"/>
        </w:rPr>
        <w:t xml:space="preserve">momenteel nog </w:t>
      </w:r>
      <w:r w:rsidR="00F64560">
        <w:rPr>
          <w:sz w:val="20"/>
        </w:rPr>
        <w:t xml:space="preserve">meestal op basis van Laagste Prijs; bijzondere </w:t>
      </w:r>
      <w:proofErr w:type="spellStart"/>
      <w:r w:rsidR="00F64560">
        <w:rPr>
          <w:sz w:val="20"/>
        </w:rPr>
        <w:t>kwaliteits</w:t>
      </w:r>
      <w:r w:rsidR="005E0DB5">
        <w:rPr>
          <w:sz w:val="20"/>
        </w:rPr>
        <w:t>-</w:t>
      </w:r>
      <w:r w:rsidR="00F64560">
        <w:rPr>
          <w:sz w:val="20"/>
        </w:rPr>
        <w:t>c</w:t>
      </w:r>
      <w:r w:rsidR="005E0DB5">
        <w:rPr>
          <w:sz w:val="20"/>
        </w:rPr>
        <w:t>riteria</w:t>
      </w:r>
      <w:proofErr w:type="spellEnd"/>
      <w:r w:rsidR="005E0DB5">
        <w:rPr>
          <w:sz w:val="20"/>
        </w:rPr>
        <w:t xml:space="preserve"> laten meewegen zoals nadere eisen of wensen t.a.v. </w:t>
      </w:r>
      <w:proofErr w:type="spellStart"/>
      <w:r w:rsidR="005E0DB5">
        <w:rPr>
          <w:sz w:val="20"/>
        </w:rPr>
        <w:t>social</w:t>
      </w:r>
      <w:proofErr w:type="spellEnd"/>
      <w:r w:rsidR="005E0DB5">
        <w:rPr>
          <w:sz w:val="20"/>
        </w:rPr>
        <w:t xml:space="preserve"> return en duurzaamheid wordt in de nabije toekomst wel een speerpunt van Staatsbosbeheer</w:t>
      </w:r>
      <w:r w:rsidR="00F64560">
        <w:rPr>
          <w:sz w:val="20"/>
        </w:rPr>
        <w:t>.</w:t>
      </w:r>
    </w:p>
    <w:p w:rsidR="00F64560" w:rsidRDefault="00F64560" w:rsidP="00392971">
      <w:pPr>
        <w:jc w:val="both"/>
        <w:rPr>
          <w:sz w:val="20"/>
        </w:rPr>
      </w:pPr>
    </w:p>
    <w:p w:rsidR="00F64560" w:rsidRDefault="00F64560" w:rsidP="00392971">
      <w:pPr>
        <w:jc w:val="both"/>
        <w:rPr>
          <w:sz w:val="20"/>
        </w:rPr>
      </w:pPr>
    </w:p>
    <w:p w:rsidR="00F64560" w:rsidRPr="004F7D83" w:rsidRDefault="00F64560" w:rsidP="00392971">
      <w:pPr>
        <w:pStyle w:val="Lijstalinea"/>
        <w:numPr>
          <w:ilvl w:val="0"/>
          <w:numId w:val="3"/>
        </w:numPr>
        <w:jc w:val="both"/>
        <w:rPr>
          <w:sz w:val="20"/>
          <w:u w:val="single"/>
        </w:rPr>
      </w:pPr>
      <w:r w:rsidRPr="004F7D83">
        <w:rPr>
          <w:sz w:val="20"/>
          <w:u w:val="single"/>
        </w:rPr>
        <w:t>Gunning en opmaak Nadere Overeenkomst, ook wel genoemd Nadere Opdracht</w:t>
      </w:r>
    </w:p>
    <w:p w:rsidR="004F7D83" w:rsidRDefault="00F64560" w:rsidP="00392971">
      <w:pPr>
        <w:jc w:val="both"/>
        <w:rPr>
          <w:sz w:val="20"/>
        </w:rPr>
      </w:pPr>
      <w:r>
        <w:rPr>
          <w:sz w:val="20"/>
        </w:rPr>
        <w:t xml:space="preserve">Volgend op het bekendmaken van het Voornemen tot Gunning aan alle partners in één bericht is een korte periode voor vragen stellen / </w:t>
      </w:r>
      <w:proofErr w:type="spellStart"/>
      <w:r>
        <w:rPr>
          <w:sz w:val="20"/>
        </w:rPr>
        <w:t>bezwaarmaken</w:t>
      </w:r>
      <w:proofErr w:type="spellEnd"/>
      <w:r>
        <w:rPr>
          <w:sz w:val="20"/>
        </w:rPr>
        <w:t xml:space="preserve"> op z’n plaats. </w:t>
      </w:r>
      <w:r w:rsidR="005E0DB5">
        <w:rPr>
          <w:sz w:val="20"/>
        </w:rPr>
        <w:t xml:space="preserve">In het email-bericht met de uitslag van de inschrijving en het Voornemen tot Gunning worden, ingeval van ‘beoordeling &amp; gunning’ op basis van laagste prijs, alle inschrijvingsbedragen bekendgemaakt aan alle inschrijvers die een valide inschrijving ingediend hebben. </w:t>
      </w:r>
      <w:r>
        <w:rPr>
          <w:sz w:val="20"/>
        </w:rPr>
        <w:t xml:space="preserve">Weer afhankelijk van de </w:t>
      </w:r>
      <w:r w:rsidR="004F7D83">
        <w:rPr>
          <w:sz w:val="20"/>
        </w:rPr>
        <w:t>omvang, de complexiteit van de opdracht en de inschrijving, de periode voor vragen stellen (weer per email en gericht aan de aanbestedende boswachter</w:t>
      </w:r>
      <w:r w:rsidR="00E451B0">
        <w:rPr>
          <w:sz w:val="20"/>
        </w:rPr>
        <w:t xml:space="preserve"> en de back-up-collega</w:t>
      </w:r>
      <w:r w:rsidR="004F7D83">
        <w:rPr>
          <w:sz w:val="20"/>
        </w:rPr>
        <w:t xml:space="preserve">; niet meteen aan </w:t>
      </w:r>
      <w:hyperlink r:id="rId7" w:history="1">
        <w:r w:rsidR="004F7D83" w:rsidRPr="00370BD4">
          <w:rPr>
            <w:rStyle w:val="Hyperlink"/>
            <w:sz w:val="20"/>
          </w:rPr>
          <w:t>sbbinkoop@staatsbosbeheer.nl</w:t>
        </w:r>
      </w:hyperlink>
      <w:r w:rsidR="004F7D83">
        <w:rPr>
          <w:sz w:val="20"/>
        </w:rPr>
        <w:t xml:space="preserve"> .) op 3 à 5 w</w:t>
      </w:r>
      <w:r w:rsidR="00DE2567">
        <w:rPr>
          <w:sz w:val="20"/>
        </w:rPr>
        <w:t>erkdagen. In deze periode kan al wel een Startoverleg gevoerd wor</w:t>
      </w:r>
      <w:r w:rsidR="004F7D83">
        <w:rPr>
          <w:sz w:val="20"/>
        </w:rPr>
        <w:t xml:space="preserve">den met de winnaar, </w:t>
      </w:r>
      <w:r w:rsidR="00CE529E">
        <w:rPr>
          <w:sz w:val="20"/>
        </w:rPr>
        <w:t xml:space="preserve">dat </w:t>
      </w:r>
      <w:r w:rsidR="005E0DB5">
        <w:rPr>
          <w:sz w:val="20"/>
        </w:rPr>
        <w:t xml:space="preserve">laatste </w:t>
      </w:r>
      <w:r w:rsidR="00CE529E">
        <w:rPr>
          <w:sz w:val="20"/>
        </w:rPr>
        <w:t xml:space="preserve">dan </w:t>
      </w:r>
      <w:r w:rsidR="004F7D83">
        <w:rPr>
          <w:sz w:val="20"/>
        </w:rPr>
        <w:t>wel met het voorbehoud dat iedere afspraak pas</w:t>
      </w:r>
      <w:r w:rsidR="005E0DB5">
        <w:rPr>
          <w:sz w:val="20"/>
        </w:rPr>
        <w:t xml:space="preserve"> definitief</w:t>
      </w:r>
      <w:r w:rsidR="004F7D83">
        <w:rPr>
          <w:sz w:val="20"/>
        </w:rPr>
        <w:t xml:space="preserve"> geldt zodra na afloop van de bezwaren</w:t>
      </w:r>
      <w:r w:rsidR="005E0DB5">
        <w:rPr>
          <w:sz w:val="20"/>
        </w:rPr>
        <w:t>-</w:t>
      </w:r>
      <w:r w:rsidR="004F7D83">
        <w:rPr>
          <w:sz w:val="20"/>
        </w:rPr>
        <w:t>termijn geen vragen en geen bezwaren zijn ontvangen.</w:t>
      </w:r>
      <w:r w:rsidR="00F109FB">
        <w:rPr>
          <w:sz w:val="20"/>
        </w:rPr>
        <w:t xml:space="preserve"> </w:t>
      </w:r>
      <w:r w:rsidR="004F7D83">
        <w:rPr>
          <w:sz w:val="20"/>
        </w:rPr>
        <w:t>De Nadere Opdracht bestaat meestal uit alleen de UBW-bon met daarop een korte verwijzing naar alle aanbestedingsdocumenten inclusief de Inschrijving van de winnaar.</w:t>
      </w:r>
    </w:p>
    <w:p w:rsidR="00DE2567" w:rsidRDefault="00DE2567" w:rsidP="00392971">
      <w:pPr>
        <w:jc w:val="both"/>
        <w:rPr>
          <w:sz w:val="20"/>
        </w:rPr>
      </w:pPr>
    </w:p>
    <w:p w:rsidR="00392971" w:rsidRDefault="00392971">
      <w:pPr>
        <w:spacing w:line="240" w:lineRule="auto"/>
        <w:rPr>
          <w:sz w:val="20"/>
          <w:u w:val="single"/>
        </w:rPr>
      </w:pPr>
    </w:p>
    <w:p w:rsidR="00F109FB" w:rsidRDefault="00F109FB">
      <w:pPr>
        <w:spacing w:line="240" w:lineRule="auto"/>
        <w:rPr>
          <w:sz w:val="20"/>
          <w:u w:val="single"/>
        </w:rPr>
      </w:pPr>
      <w:r>
        <w:rPr>
          <w:sz w:val="20"/>
          <w:u w:val="single"/>
        </w:rPr>
        <w:br w:type="page"/>
      </w:r>
    </w:p>
    <w:p w:rsidR="009168EF" w:rsidRPr="009168EF" w:rsidRDefault="009168EF" w:rsidP="00392971">
      <w:pPr>
        <w:pStyle w:val="Lijstalinea"/>
        <w:numPr>
          <w:ilvl w:val="0"/>
          <w:numId w:val="3"/>
        </w:numPr>
        <w:jc w:val="both"/>
        <w:rPr>
          <w:sz w:val="20"/>
        </w:rPr>
      </w:pPr>
      <w:bookmarkStart w:id="0" w:name="_GoBack"/>
      <w:bookmarkEnd w:id="0"/>
      <w:r>
        <w:rPr>
          <w:sz w:val="20"/>
          <w:u w:val="single"/>
        </w:rPr>
        <w:lastRenderedPageBreak/>
        <w:t>Vorm en looptijd</w:t>
      </w:r>
    </w:p>
    <w:p w:rsidR="00DE2567" w:rsidRDefault="009168EF" w:rsidP="00392971">
      <w:pPr>
        <w:jc w:val="both"/>
        <w:rPr>
          <w:sz w:val="20"/>
        </w:rPr>
      </w:pPr>
      <w:r>
        <w:rPr>
          <w:sz w:val="20"/>
        </w:rPr>
        <w:t>Zoals ook al aangegeven in het Aanbestedingsdocument kunnen een Nadere Offerteaanvraag en –Opdracht bestaan uit alleen één of enkele van de werkzaamheden of machine-combinaties opgenomen op het Invulblad P1_Inschrijvingsbiljet en beschreven in de Toelichting daarop.</w:t>
      </w:r>
      <w:r w:rsidR="00E451B0">
        <w:rPr>
          <w:sz w:val="20"/>
        </w:rPr>
        <w:t xml:space="preserve"> Zo dat het geval is, moet de partner verplicht in</w:t>
      </w:r>
      <w:r w:rsidR="00330F0E">
        <w:rPr>
          <w:sz w:val="20"/>
        </w:rPr>
        <w:t>schrijven en met een prij</w:t>
      </w:r>
      <w:r w:rsidR="00E451B0">
        <w:rPr>
          <w:sz w:val="20"/>
        </w:rPr>
        <w:t>s niet hoger dan die waarmee ingeschreven is</w:t>
      </w:r>
      <w:r w:rsidR="00330F0E">
        <w:rPr>
          <w:sz w:val="20"/>
        </w:rPr>
        <w:t xml:space="preserve"> op de over</w:t>
      </w:r>
      <w:r w:rsidR="00392971">
        <w:rPr>
          <w:sz w:val="20"/>
        </w:rPr>
        <w:t>-</w:t>
      </w:r>
      <w:r w:rsidR="00330F0E">
        <w:rPr>
          <w:sz w:val="20"/>
        </w:rPr>
        <w:t>koepelende aanbesteding van d</w:t>
      </w:r>
      <w:r w:rsidR="00E451B0">
        <w:rPr>
          <w:sz w:val="20"/>
        </w:rPr>
        <w:t>e raamovereenkomsten in het na</w:t>
      </w:r>
      <w:r w:rsidR="00330F0E">
        <w:rPr>
          <w:sz w:val="20"/>
        </w:rPr>
        <w:t>jaar van 2021.</w:t>
      </w:r>
    </w:p>
    <w:p w:rsidR="00330F0E" w:rsidRDefault="00330F0E" w:rsidP="00392971">
      <w:pPr>
        <w:jc w:val="both"/>
        <w:rPr>
          <w:sz w:val="20"/>
        </w:rPr>
      </w:pPr>
    </w:p>
    <w:p w:rsidR="00330F0E" w:rsidRDefault="00330F0E" w:rsidP="00392971">
      <w:pPr>
        <w:jc w:val="both"/>
        <w:rPr>
          <w:sz w:val="20"/>
        </w:rPr>
      </w:pPr>
      <w:r>
        <w:rPr>
          <w:sz w:val="20"/>
        </w:rPr>
        <w:t xml:space="preserve">De Nadere Offerteaanvraag en –Opdracht kunnen ook bestaan uit een beschrijving van </w:t>
      </w:r>
      <w:r w:rsidR="005E0DB5">
        <w:rPr>
          <w:sz w:val="20"/>
        </w:rPr>
        <w:t xml:space="preserve">groter geheel, complex, van </w:t>
      </w:r>
      <w:r>
        <w:rPr>
          <w:sz w:val="20"/>
        </w:rPr>
        <w:t>resultaten van werkzaamheden en diensten, een werkomschrijving veelal met kaartdelen en/of schetsen; zie hiervoor de tekst in punt 1. van deze notitie.</w:t>
      </w:r>
    </w:p>
    <w:p w:rsidR="00330F0E" w:rsidRDefault="00330F0E" w:rsidP="00392971">
      <w:pPr>
        <w:jc w:val="both"/>
        <w:rPr>
          <w:sz w:val="20"/>
        </w:rPr>
      </w:pPr>
    </w:p>
    <w:p w:rsidR="00330F0E" w:rsidRDefault="00330F0E" w:rsidP="00392971">
      <w:pPr>
        <w:jc w:val="both"/>
        <w:rPr>
          <w:sz w:val="20"/>
        </w:rPr>
      </w:pPr>
      <w:r>
        <w:rPr>
          <w:sz w:val="20"/>
        </w:rPr>
        <w:t>Uitgevraagd kan ook worden één of enkele eenheidsprijzen (prijzen per 1.000 strekkende meters, per are, per hectare, per ton. etc. etc.) Soms zijn deze eenheidsprijzen dan ook nog voorzien van een weging en dan volgt in de procedure van beoordeling en gunning een berekening die lijkt op die die gehanteerd is in de overkoepelende aanbesteding van d</w:t>
      </w:r>
      <w:r w:rsidR="00E451B0">
        <w:rPr>
          <w:sz w:val="20"/>
        </w:rPr>
        <w:t>e raamovereenkomsten in het na</w:t>
      </w:r>
      <w:r>
        <w:rPr>
          <w:sz w:val="20"/>
        </w:rPr>
        <w:t>jaar van 2021 om te komen tot de laagste combinatieprijs van alle uitgevraagde werkzaamheden.</w:t>
      </w:r>
    </w:p>
    <w:p w:rsidR="005B2C64" w:rsidRDefault="005B2C64" w:rsidP="00392971">
      <w:pPr>
        <w:jc w:val="both"/>
        <w:rPr>
          <w:sz w:val="20"/>
        </w:rPr>
      </w:pPr>
    </w:p>
    <w:p w:rsidR="005B2C64" w:rsidRDefault="005B2C64" w:rsidP="00392971">
      <w:pPr>
        <w:jc w:val="both"/>
        <w:rPr>
          <w:sz w:val="20"/>
        </w:rPr>
      </w:pPr>
      <w:r>
        <w:rPr>
          <w:sz w:val="20"/>
        </w:rPr>
        <w:t>Gezien de omvang van de herinrichtings- en herstelmaatregelen waaruit de nieuwe reeks opdrachten van subsidieverstrekker bestaan stapt Staatsbosbeheer steeds vaker over op het beschrijven en aanbesteden van complete series werkzaamheden, vaak volgend op elkaar, waarbij min-of-meer in één keer, in één opdracht (soms lopend over meerdere jaren) al</w:t>
      </w:r>
      <w:r w:rsidR="00CE529E">
        <w:rPr>
          <w:sz w:val="20"/>
        </w:rPr>
        <w:t>le werkzaamheden en acties in éé</w:t>
      </w:r>
      <w:r>
        <w:rPr>
          <w:sz w:val="20"/>
        </w:rPr>
        <w:t>n gebied</w:t>
      </w:r>
      <w:r w:rsidR="00CE529E">
        <w:rPr>
          <w:sz w:val="20"/>
        </w:rPr>
        <w:t>, één object,</w:t>
      </w:r>
      <w:r>
        <w:rPr>
          <w:sz w:val="20"/>
        </w:rPr>
        <w:t xml:space="preserve"> integraal uitgevoerd worden.</w:t>
      </w:r>
    </w:p>
    <w:p w:rsidR="00330F0E" w:rsidRDefault="00330F0E" w:rsidP="00392971">
      <w:pPr>
        <w:jc w:val="both"/>
        <w:rPr>
          <w:sz w:val="20"/>
        </w:rPr>
      </w:pPr>
    </w:p>
    <w:p w:rsidR="00330F0E" w:rsidRDefault="00330F0E" w:rsidP="00392971">
      <w:pPr>
        <w:jc w:val="both"/>
        <w:rPr>
          <w:sz w:val="20"/>
        </w:rPr>
      </w:pPr>
      <w:r>
        <w:rPr>
          <w:sz w:val="20"/>
        </w:rPr>
        <w:t>Ook kan de Nadere Offerteaanvraag een –Opdracht bevatten met een looptijd langer dan een jaar. De maximale looptijd van een Nadere Opdracht bedraagt 2 jaar, en zo’n Nadere Opdracht kan dus nog bijna 24 maanden geldig en werkzaam zijn nadat de overkoepelende raamovereenkomst al beëindigd</w:t>
      </w:r>
      <w:r w:rsidR="00CE529E">
        <w:rPr>
          <w:sz w:val="20"/>
        </w:rPr>
        <w:t>, afgelopen,</w:t>
      </w:r>
      <w:r>
        <w:rPr>
          <w:sz w:val="20"/>
        </w:rPr>
        <w:t xml:space="preserve"> is.</w:t>
      </w:r>
    </w:p>
    <w:p w:rsidR="00330F0E" w:rsidRDefault="00330F0E" w:rsidP="009A56B2">
      <w:pPr>
        <w:rPr>
          <w:sz w:val="20"/>
        </w:rPr>
      </w:pPr>
    </w:p>
    <w:p w:rsidR="00DE2567" w:rsidRDefault="00DE2567" w:rsidP="009A56B2">
      <w:pPr>
        <w:rPr>
          <w:sz w:val="20"/>
        </w:rPr>
      </w:pPr>
    </w:p>
    <w:p w:rsidR="00DE2567" w:rsidRDefault="00DE2567" w:rsidP="009A56B2">
      <w:pPr>
        <w:rPr>
          <w:sz w:val="20"/>
        </w:rPr>
      </w:pPr>
    </w:p>
    <w:p w:rsidR="00DE2567" w:rsidRPr="009A56B2" w:rsidRDefault="00DE2567" w:rsidP="00DE2567">
      <w:pPr>
        <w:jc w:val="center"/>
        <w:rPr>
          <w:sz w:val="20"/>
        </w:rPr>
      </w:pPr>
      <w:r>
        <w:rPr>
          <w:sz w:val="20"/>
        </w:rPr>
        <w:t>============================== / ==============================</w:t>
      </w:r>
    </w:p>
    <w:sectPr w:rsidR="00DE2567" w:rsidRPr="009A56B2">
      <w:headerReference w:type="even" r:id="rId8"/>
      <w:headerReference w:type="default" r:id="rId9"/>
      <w:footerReference w:type="even" r:id="rId10"/>
      <w:footerReference w:type="default" r:id="rId11"/>
      <w:headerReference w:type="first" r:id="rId12"/>
      <w:footerReference w:type="first" r:id="rId13"/>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B5" w:rsidRDefault="005E0DB5">
      <w:r>
        <w:separator/>
      </w:r>
    </w:p>
  </w:endnote>
  <w:endnote w:type="continuationSeparator" w:id="0">
    <w:p w:rsidR="005E0DB5" w:rsidRDefault="005E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B5" w:rsidRDefault="005E0DB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B5" w:rsidRDefault="005E0DB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B5" w:rsidRDefault="005E0DB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B5" w:rsidRDefault="005E0DB5">
      <w:r>
        <w:separator/>
      </w:r>
    </w:p>
  </w:footnote>
  <w:footnote w:type="continuationSeparator" w:id="0">
    <w:p w:rsidR="005E0DB5" w:rsidRDefault="005E0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B5" w:rsidRDefault="005E0DB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B5" w:rsidRDefault="005E0DB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B5" w:rsidRDefault="005E0DB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76A8"/>
    <w:multiLevelType w:val="hybridMultilevel"/>
    <w:tmpl w:val="67EAE5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6F166E"/>
    <w:multiLevelType w:val="hybridMultilevel"/>
    <w:tmpl w:val="BF7EDB70"/>
    <w:lvl w:ilvl="0" w:tplc="453EDC2A">
      <w:start w:val="1"/>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1A76E7"/>
    <w:multiLevelType w:val="hybridMultilevel"/>
    <w:tmpl w:val="2048F23E"/>
    <w:lvl w:ilvl="0" w:tplc="D68A2260">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F30EA3"/>
    <w:multiLevelType w:val="hybridMultilevel"/>
    <w:tmpl w:val="67EAE5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8F23F5"/>
    <w:multiLevelType w:val="hybridMultilevel"/>
    <w:tmpl w:val="DC487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D43B6"/>
    <w:multiLevelType w:val="hybridMultilevel"/>
    <w:tmpl w:val="67EAE5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9925EA"/>
    <w:multiLevelType w:val="hybridMultilevel"/>
    <w:tmpl w:val="67EAE5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7B"/>
    <w:rsid w:val="00082641"/>
    <w:rsid w:val="000C7AA5"/>
    <w:rsid w:val="000F6565"/>
    <w:rsid w:val="00111D3B"/>
    <w:rsid w:val="00117DA7"/>
    <w:rsid w:val="00140956"/>
    <w:rsid w:val="00144534"/>
    <w:rsid w:val="0016753D"/>
    <w:rsid w:val="0017362E"/>
    <w:rsid w:val="001B2316"/>
    <w:rsid w:val="00217F00"/>
    <w:rsid w:val="0022213F"/>
    <w:rsid w:val="00222846"/>
    <w:rsid w:val="00226DC3"/>
    <w:rsid w:val="00232F50"/>
    <w:rsid w:val="0024249D"/>
    <w:rsid w:val="00243D7B"/>
    <w:rsid w:val="00247088"/>
    <w:rsid w:val="0026078F"/>
    <w:rsid w:val="0026083D"/>
    <w:rsid w:val="00262BD8"/>
    <w:rsid w:val="00273B3C"/>
    <w:rsid w:val="002A438A"/>
    <w:rsid w:val="002D4D91"/>
    <w:rsid w:val="002D7F5C"/>
    <w:rsid w:val="002E7FE8"/>
    <w:rsid w:val="0030055D"/>
    <w:rsid w:val="00325C83"/>
    <w:rsid w:val="00330F0E"/>
    <w:rsid w:val="00344226"/>
    <w:rsid w:val="00362142"/>
    <w:rsid w:val="0036656D"/>
    <w:rsid w:val="00392971"/>
    <w:rsid w:val="003B5DA7"/>
    <w:rsid w:val="003C1968"/>
    <w:rsid w:val="003D25C8"/>
    <w:rsid w:val="003F67C6"/>
    <w:rsid w:val="004102F8"/>
    <w:rsid w:val="004246F6"/>
    <w:rsid w:val="0044304B"/>
    <w:rsid w:val="0044401E"/>
    <w:rsid w:val="00465F30"/>
    <w:rsid w:val="004803BB"/>
    <w:rsid w:val="004C59F4"/>
    <w:rsid w:val="004D0236"/>
    <w:rsid w:val="004D6969"/>
    <w:rsid w:val="004F1236"/>
    <w:rsid w:val="004F7D83"/>
    <w:rsid w:val="00510E84"/>
    <w:rsid w:val="00514C4B"/>
    <w:rsid w:val="00530E89"/>
    <w:rsid w:val="00534A76"/>
    <w:rsid w:val="005945C0"/>
    <w:rsid w:val="005A4419"/>
    <w:rsid w:val="005B1D1A"/>
    <w:rsid w:val="005B2C64"/>
    <w:rsid w:val="005C23E9"/>
    <w:rsid w:val="005E0DB5"/>
    <w:rsid w:val="00633E56"/>
    <w:rsid w:val="006625D2"/>
    <w:rsid w:val="00665044"/>
    <w:rsid w:val="00697206"/>
    <w:rsid w:val="006A78EF"/>
    <w:rsid w:val="006B4A0C"/>
    <w:rsid w:val="006E3473"/>
    <w:rsid w:val="006F1375"/>
    <w:rsid w:val="007112A7"/>
    <w:rsid w:val="007175F3"/>
    <w:rsid w:val="00751C37"/>
    <w:rsid w:val="00760A3C"/>
    <w:rsid w:val="007938C5"/>
    <w:rsid w:val="007C5EFF"/>
    <w:rsid w:val="007D0F81"/>
    <w:rsid w:val="007F21FA"/>
    <w:rsid w:val="00842A79"/>
    <w:rsid w:val="00850B6E"/>
    <w:rsid w:val="00854505"/>
    <w:rsid w:val="00864DD7"/>
    <w:rsid w:val="0086534B"/>
    <w:rsid w:val="0086669B"/>
    <w:rsid w:val="00877D46"/>
    <w:rsid w:val="008C26FC"/>
    <w:rsid w:val="008C2A06"/>
    <w:rsid w:val="008C5AF9"/>
    <w:rsid w:val="008C5D5A"/>
    <w:rsid w:val="008D0DE9"/>
    <w:rsid w:val="00910CA7"/>
    <w:rsid w:val="009168EF"/>
    <w:rsid w:val="009236C2"/>
    <w:rsid w:val="009236D7"/>
    <w:rsid w:val="009323E5"/>
    <w:rsid w:val="00941F70"/>
    <w:rsid w:val="00944387"/>
    <w:rsid w:val="00963E9A"/>
    <w:rsid w:val="009675AC"/>
    <w:rsid w:val="00996750"/>
    <w:rsid w:val="009A56B2"/>
    <w:rsid w:val="009B0C30"/>
    <w:rsid w:val="00A00381"/>
    <w:rsid w:val="00A01D02"/>
    <w:rsid w:val="00A036FF"/>
    <w:rsid w:val="00A31B60"/>
    <w:rsid w:val="00A34C90"/>
    <w:rsid w:val="00A3723D"/>
    <w:rsid w:val="00A67DDB"/>
    <w:rsid w:val="00A74756"/>
    <w:rsid w:val="00A90DC2"/>
    <w:rsid w:val="00AB04D1"/>
    <w:rsid w:val="00AB1B4C"/>
    <w:rsid w:val="00AB31A5"/>
    <w:rsid w:val="00AB3BF1"/>
    <w:rsid w:val="00AC3BE7"/>
    <w:rsid w:val="00AC761A"/>
    <w:rsid w:val="00AF2C11"/>
    <w:rsid w:val="00AF33D3"/>
    <w:rsid w:val="00B3254F"/>
    <w:rsid w:val="00B424C6"/>
    <w:rsid w:val="00B42640"/>
    <w:rsid w:val="00B731A2"/>
    <w:rsid w:val="00B75E66"/>
    <w:rsid w:val="00BB19DF"/>
    <w:rsid w:val="00BB2A6F"/>
    <w:rsid w:val="00BC71F5"/>
    <w:rsid w:val="00BD371E"/>
    <w:rsid w:val="00BE7069"/>
    <w:rsid w:val="00BE7988"/>
    <w:rsid w:val="00C330AA"/>
    <w:rsid w:val="00C83258"/>
    <w:rsid w:val="00C85266"/>
    <w:rsid w:val="00CA5742"/>
    <w:rsid w:val="00CB17F7"/>
    <w:rsid w:val="00CB26FD"/>
    <w:rsid w:val="00CB52F6"/>
    <w:rsid w:val="00CC19B5"/>
    <w:rsid w:val="00CC28E4"/>
    <w:rsid w:val="00CD18AF"/>
    <w:rsid w:val="00CD4DF6"/>
    <w:rsid w:val="00CD51A5"/>
    <w:rsid w:val="00CE529E"/>
    <w:rsid w:val="00CF00F8"/>
    <w:rsid w:val="00D069E8"/>
    <w:rsid w:val="00D3296C"/>
    <w:rsid w:val="00D35186"/>
    <w:rsid w:val="00D35F52"/>
    <w:rsid w:val="00D43AB0"/>
    <w:rsid w:val="00D54075"/>
    <w:rsid w:val="00D57320"/>
    <w:rsid w:val="00D648DF"/>
    <w:rsid w:val="00D71057"/>
    <w:rsid w:val="00DA781F"/>
    <w:rsid w:val="00DC122F"/>
    <w:rsid w:val="00DC1311"/>
    <w:rsid w:val="00DC29BF"/>
    <w:rsid w:val="00DE2567"/>
    <w:rsid w:val="00DE6C2E"/>
    <w:rsid w:val="00DF1404"/>
    <w:rsid w:val="00DF60E1"/>
    <w:rsid w:val="00E173D6"/>
    <w:rsid w:val="00E203F6"/>
    <w:rsid w:val="00E410A5"/>
    <w:rsid w:val="00E451B0"/>
    <w:rsid w:val="00E6481A"/>
    <w:rsid w:val="00E71F42"/>
    <w:rsid w:val="00E808AC"/>
    <w:rsid w:val="00E81FD8"/>
    <w:rsid w:val="00EB19F8"/>
    <w:rsid w:val="00EC7EEA"/>
    <w:rsid w:val="00F109FB"/>
    <w:rsid w:val="00F45539"/>
    <w:rsid w:val="00F64560"/>
    <w:rsid w:val="00F82C37"/>
    <w:rsid w:val="00FA1E4A"/>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C0DCFA31-E723-4CCC-8B5C-7F2DB92A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rofont" w:eastAsia="Times New Roman" w:hAnsi="Agrofont" w:cs="Times New Roman"/>
        <w:kern w:val="1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371E"/>
    <w:pPr>
      <w:spacing w:line="260" w:lineRule="atLeast"/>
    </w:pPr>
    <w:rPr>
      <w:sz w:val="18"/>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smallCaps/>
      <w:color w:val="C0504D" w:themeColor="accent2"/>
      <w:spacing w:val="5"/>
      <w:u w:val="single"/>
    </w:rPr>
  </w:style>
  <w:style w:type="paragraph" w:styleId="Lijstalinea">
    <w:name w:val="List Paragraph"/>
    <w:basedOn w:val="Standaard"/>
    <w:uiPriority w:val="34"/>
    <w:qFormat/>
    <w:rsid w:val="00140956"/>
    <w:pPr>
      <w:ind w:left="708"/>
    </w:pPr>
  </w:style>
  <w:style w:type="character" w:styleId="Hyperlink">
    <w:name w:val="Hyperlink"/>
    <w:basedOn w:val="Standaardalinea-lettertype"/>
    <w:unhideWhenUsed/>
    <w:rsid w:val="004F7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binkoop@staatsbosbehee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7C04F940.dotm</Template>
  <TotalTime>16</TotalTime>
  <Pages>3</Pages>
  <Words>1344</Words>
  <Characters>7993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Staatsbosbeheer</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Hagenaars, Frans</dc:creator>
  <cp:keywords/>
  <dc:description/>
  <cp:lastModifiedBy>Hagenaars, Frans</cp:lastModifiedBy>
  <cp:revision>3</cp:revision>
  <dcterms:created xsi:type="dcterms:W3CDTF">2021-10-23T14:49:00Z</dcterms:created>
  <dcterms:modified xsi:type="dcterms:W3CDTF">2021-10-23T15:06:00Z</dcterms:modified>
</cp:coreProperties>
</file>