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9DF3" w14:textId="77777777" w:rsidR="00891BA2" w:rsidRDefault="00891BA2"/>
    <w:p w14:paraId="5F8D611F" w14:textId="6C3A9607" w:rsidR="00891BA2" w:rsidRDefault="00681435">
      <w:pPr>
        <w:pStyle w:val="Kop2"/>
        <w:spacing w:before="199" w:after="199" w:line="240" w:lineRule="auto"/>
      </w:pPr>
      <w:r>
        <w:t>Model Raamovereenkomst</w:t>
      </w:r>
    </w:p>
    <w:p w14:paraId="4DD3C70A" w14:textId="77777777" w:rsidR="00891BA2" w:rsidRDefault="002C6ECD">
      <w:pPr>
        <w:spacing w:before="239" w:after="239" w:line="240" w:lineRule="auto"/>
        <w:textAlignment w:val="top"/>
      </w:pPr>
      <w:r>
        <w:rPr>
          <w:rFonts w:eastAsia="Calibri" w:cs="Calibri"/>
          <w:b/>
          <w:bCs/>
        </w:rPr>
        <w:t>Ondergetekenden</w:t>
      </w:r>
    </w:p>
    <w:p w14:paraId="5087B03C" w14:textId="77777777" w:rsidR="00891BA2" w:rsidRDefault="002C6ECD">
      <w:pPr>
        <w:numPr>
          <w:ilvl w:val="0"/>
          <w:numId w:val="4"/>
        </w:numPr>
        <w:spacing w:line="240" w:lineRule="auto"/>
        <w:rPr>
          <w:rFonts w:ascii="Calibri" w:eastAsia="Calibri" w:hAnsi="Calibri" w:cs="Calibri"/>
        </w:rPr>
      </w:pPr>
      <w:r>
        <w:rPr>
          <w:rFonts w:eastAsia="Calibri" w:cs="Calibri"/>
        </w:rPr>
        <w:t>De publiekrechtelijke rechtspersoon Gemeente Nieuwegein, te dezen rechtsgeldig vertegenwoordigd door Erik Prins, hierna te noemen "</w:t>
      </w:r>
      <w:r>
        <w:rPr>
          <w:rFonts w:eastAsia="Calibri" w:cs="Calibri"/>
          <w:b/>
          <w:bCs/>
        </w:rPr>
        <w:t>Opdrachtgever</w:t>
      </w:r>
      <w:r>
        <w:rPr>
          <w:rFonts w:eastAsia="Calibri" w:cs="Calibri"/>
        </w:rPr>
        <w:t>";</w:t>
      </w:r>
    </w:p>
    <w:p w14:paraId="0080D354" w14:textId="77777777" w:rsidR="00891BA2" w:rsidRDefault="002C6ECD">
      <w:pPr>
        <w:spacing w:before="239" w:after="239" w:line="240" w:lineRule="auto"/>
        <w:textAlignment w:val="top"/>
      </w:pPr>
      <w:proofErr w:type="gramStart"/>
      <w:r>
        <w:rPr>
          <w:rFonts w:eastAsia="Calibri" w:cs="Calibri"/>
          <w:i/>
          <w:iCs/>
        </w:rPr>
        <w:t>en</w:t>
      </w:r>
      <w:proofErr w:type="gramEnd"/>
    </w:p>
    <w:p w14:paraId="6937F5B6" w14:textId="27B00B3F" w:rsidR="00891BA2" w:rsidRDefault="002C6ECD">
      <w:pPr>
        <w:numPr>
          <w:ilvl w:val="0"/>
          <w:numId w:val="4"/>
        </w:numPr>
        <w:spacing w:line="240" w:lineRule="auto"/>
        <w:rPr>
          <w:rFonts w:ascii="Calibri" w:eastAsia="Calibri" w:hAnsi="Calibri" w:cs="Calibri"/>
        </w:rPr>
      </w:pPr>
      <w:r>
        <w:rPr>
          <w:rFonts w:eastAsia="Calibri" w:cs="Calibri"/>
        </w:rPr>
        <w:t xml:space="preserve">("NAAM_HIER") gevestigd en kantoorhoudende te ("PLAATS_HIER") aan de ("ADRES_HIER") ("POSTCODE_HIER"), te dezen rechtsgeldig vertegenwoordigd </w:t>
      </w:r>
      <w:r w:rsidR="00681435">
        <w:rPr>
          <w:rFonts w:eastAsia="Calibri" w:cs="Calibri"/>
        </w:rPr>
        <w:t>door,</w:t>
      </w:r>
      <w:r>
        <w:rPr>
          <w:rFonts w:eastAsia="Calibri" w:cs="Calibri"/>
        </w:rPr>
        <w:t xml:space="preserve"> hierna te noemen "</w:t>
      </w:r>
      <w:r>
        <w:rPr>
          <w:rFonts w:eastAsia="Calibri" w:cs="Calibri"/>
          <w:b/>
          <w:bCs/>
        </w:rPr>
        <w:t>Leverancier</w:t>
      </w:r>
      <w:r>
        <w:rPr>
          <w:rFonts w:eastAsia="Calibri" w:cs="Calibri"/>
        </w:rPr>
        <w:t>";</w:t>
      </w:r>
    </w:p>
    <w:p w14:paraId="22DA29CD" w14:textId="77777777" w:rsidR="00891BA2" w:rsidRDefault="002C6ECD">
      <w:pPr>
        <w:spacing w:before="239" w:after="239" w:line="240" w:lineRule="auto"/>
        <w:textAlignment w:val="top"/>
      </w:pPr>
      <w:proofErr w:type="gramStart"/>
      <w:r>
        <w:rPr>
          <w:rFonts w:eastAsia="Calibri" w:cs="Calibri"/>
          <w:i/>
          <w:iCs/>
        </w:rPr>
        <w:t>tezamen</w:t>
      </w:r>
      <w:proofErr w:type="gramEnd"/>
      <w:r>
        <w:rPr>
          <w:rFonts w:eastAsia="Calibri" w:cs="Calibri"/>
          <w:i/>
          <w:iCs/>
        </w:rPr>
        <w:t xml:space="preserve"> hierna verder aan te duiden als "partijen" dan wel afzonderlijk als "partij",</w:t>
      </w:r>
    </w:p>
    <w:p w14:paraId="268264E2" w14:textId="77777777" w:rsidR="00891BA2" w:rsidRDefault="002C6ECD">
      <w:pPr>
        <w:spacing w:before="239" w:after="239" w:line="240" w:lineRule="auto"/>
        <w:textAlignment w:val="top"/>
      </w:pPr>
      <w:proofErr w:type="gramStart"/>
      <w:r>
        <w:rPr>
          <w:rFonts w:eastAsia="Calibri" w:cs="Calibri"/>
          <w:b/>
          <w:bCs/>
        </w:rPr>
        <w:t>overwegende</w:t>
      </w:r>
      <w:proofErr w:type="gramEnd"/>
      <w:r>
        <w:rPr>
          <w:rFonts w:eastAsia="Calibri" w:cs="Calibri"/>
          <w:b/>
          <w:bCs/>
        </w:rPr>
        <w:t xml:space="preserve"> dat:</w:t>
      </w:r>
    </w:p>
    <w:p w14:paraId="52BE63DD" w14:textId="77777777" w:rsidR="00681435" w:rsidRPr="00681435" w:rsidRDefault="00681435" w:rsidP="00681435">
      <w:pPr>
        <w:spacing w:before="239" w:after="239" w:line="240" w:lineRule="auto"/>
        <w:textAlignment w:val="top"/>
        <w:rPr>
          <w:rFonts w:eastAsia="Calibri" w:cs="Calibri"/>
          <w:i/>
          <w:iCs/>
        </w:rPr>
      </w:pPr>
      <w:r w:rsidRPr="00681435">
        <w:rPr>
          <w:rFonts w:eastAsia="Calibri" w:cs="Calibri"/>
          <w:i/>
          <w:iCs/>
        </w:rPr>
        <w:t>Organisatie en doelstelling van Opdrachtgever</w:t>
      </w:r>
    </w:p>
    <w:p w14:paraId="6D0A0719" w14:textId="77777777" w:rsidR="00681435" w:rsidRPr="00681435" w:rsidRDefault="00681435" w:rsidP="00681435">
      <w:pPr>
        <w:pStyle w:val="Lijstalinea"/>
        <w:numPr>
          <w:ilvl w:val="0"/>
          <w:numId w:val="6"/>
        </w:numPr>
        <w:spacing w:before="239" w:after="239" w:line="240" w:lineRule="auto"/>
        <w:textAlignment w:val="top"/>
        <w:rPr>
          <w:rFonts w:eastAsia="Calibri" w:cs="Calibri"/>
        </w:rPr>
      </w:pPr>
      <w:r w:rsidRPr="00681435">
        <w:rPr>
          <w:rFonts w:eastAsia="Calibri" w:cs="Calibri"/>
        </w:rPr>
        <w:t xml:space="preserve">Opdrachtgever verantwoordelijk is voor een goed functionerende geautomatiseerde omgeving en daarmee een efficiënte en effectieve bedrijfsvoering; </w:t>
      </w:r>
    </w:p>
    <w:p w14:paraId="34BF46EA" w14:textId="77777777" w:rsidR="00681435" w:rsidRPr="00681435" w:rsidRDefault="00681435" w:rsidP="00681435">
      <w:pPr>
        <w:pStyle w:val="Lijstalinea"/>
        <w:numPr>
          <w:ilvl w:val="0"/>
          <w:numId w:val="6"/>
        </w:numPr>
        <w:spacing w:before="239" w:after="239" w:line="240" w:lineRule="auto"/>
        <w:textAlignment w:val="top"/>
        <w:rPr>
          <w:rFonts w:eastAsia="Calibri" w:cs="Calibri"/>
        </w:rPr>
      </w:pPr>
      <w:r w:rsidRPr="00681435">
        <w:rPr>
          <w:rFonts w:eastAsia="Calibri" w:cs="Calibri"/>
        </w:rPr>
        <w:t xml:space="preserve">Opdrachtgever in het kader van de uitoefening van zijn taak behoefte heeft aan een </w:t>
      </w:r>
    </w:p>
    <w:p w14:paraId="29104A2A" w14:textId="7500D6F1" w:rsidR="00681435" w:rsidRPr="00681435" w:rsidRDefault="00681435" w:rsidP="00681435">
      <w:pPr>
        <w:pStyle w:val="Lijstalinea"/>
        <w:spacing w:before="239" w:after="239" w:line="240" w:lineRule="auto"/>
        <w:textAlignment w:val="top"/>
        <w:rPr>
          <w:rFonts w:eastAsia="Calibri" w:cs="Calibri"/>
        </w:rPr>
      </w:pPr>
      <w:r>
        <w:rPr>
          <w:rFonts w:eastAsia="Calibri" w:cs="Calibri"/>
        </w:rPr>
        <w:t>Raamovereenkomst</w:t>
      </w:r>
      <w:r w:rsidRPr="00681435">
        <w:rPr>
          <w:rFonts w:eastAsia="Calibri" w:cs="Calibri"/>
        </w:rPr>
        <w:t xml:space="preserve"> waarbij rechtmatig en efficiënt en zo economisch voordelig mogelijk </w:t>
      </w:r>
      <w:r w:rsidR="003675A2">
        <w:rPr>
          <w:rFonts w:eastAsia="Calibri" w:cs="Calibri"/>
        </w:rPr>
        <w:t>werkplek apparatuur en accessoires</w:t>
      </w:r>
      <w:r w:rsidRPr="00681435">
        <w:rPr>
          <w:rFonts w:eastAsia="Calibri" w:cs="Calibri"/>
        </w:rPr>
        <w:t xml:space="preserve"> </w:t>
      </w:r>
      <w:r w:rsidR="003675A2">
        <w:rPr>
          <w:rFonts w:eastAsia="Calibri" w:cs="Calibri"/>
        </w:rPr>
        <w:t>kunnen</w:t>
      </w:r>
      <w:r w:rsidRPr="00681435">
        <w:rPr>
          <w:rFonts w:eastAsia="Calibri" w:cs="Calibri"/>
        </w:rPr>
        <w:t xml:space="preserve"> worden aangeschaft en tevens efficiency kan worden bereikt in de bedrijfsvoering voor zover dit de aanschaf van </w:t>
      </w:r>
      <w:r w:rsidR="003675A2">
        <w:rPr>
          <w:rFonts w:eastAsia="Calibri" w:cs="Calibri"/>
        </w:rPr>
        <w:t>werkplek hardware, accessoires</w:t>
      </w:r>
      <w:r w:rsidRPr="00681435">
        <w:rPr>
          <w:rFonts w:eastAsia="Calibri" w:cs="Calibri"/>
        </w:rPr>
        <w:t xml:space="preserve"> en daarmee logischerwijs samenhangende werkzaamheden, zoals onderhoud, support, advies en dienstverlening betreft. </w:t>
      </w:r>
    </w:p>
    <w:p w14:paraId="3E4071AF" w14:textId="195A7853" w:rsidR="00681435" w:rsidRPr="008D3367" w:rsidRDefault="00681435" w:rsidP="008D3367">
      <w:pPr>
        <w:pStyle w:val="Lijstalinea"/>
        <w:numPr>
          <w:ilvl w:val="0"/>
          <w:numId w:val="6"/>
        </w:numPr>
        <w:spacing w:before="239" w:after="239" w:line="240" w:lineRule="auto"/>
        <w:textAlignment w:val="top"/>
        <w:rPr>
          <w:rFonts w:eastAsia="Calibri" w:cs="Calibri"/>
        </w:rPr>
      </w:pPr>
      <w:r w:rsidRPr="00681435">
        <w:rPr>
          <w:rFonts w:eastAsia="Calibri" w:cs="Calibri"/>
        </w:rPr>
        <w:t xml:space="preserve">Opdrachtgever een overeenkomst wenst te sluiten met </w:t>
      </w:r>
      <w:r w:rsidR="008D3367">
        <w:rPr>
          <w:rFonts w:eastAsia="Calibri" w:cs="Calibri"/>
        </w:rPr>
        <w:t>Leverancier</w:t>
      </w:r>
      <w:r w:rsidRPr="00681435">
        <w:rPr>
          <w:rFonts w:eastAsia="Calibri" w:cs="Calibri"/>
        </w:rPr>
        <w:t xml:space="preserve"> voor </w:t>
      </w:r>
      <w:r w:rsidR="003675A2">
        <w:rPr>
          <w:rFonts w:eastAsia="Calibri" w:cs="Calibri"/>
        </w:rPr>
        <w:t>werkplek hardware, accessoires en eventueel aanvullende diensten</w:t>
      </w:r>
      <w:r w:rsidRPr="008D3367">
        <w:rPr>
          <w:rFonts w:eastAsia="Calibri" w:cs="Calibri"/>
        </w:rPr>
        <w:t>;</w:t>
      </w:r>
    </w:p>
    <w:p w14:paraId="4956182C" w14:textId="77777777" w:rsidR="00681435" w:rsidRPr="00681435" w:rsidRDefault="00681435" w:rsidP="00681435">
      <w:pPr>
        <w:spacing w:before="239" w:after="239" w:line="240" w:lineRule="auto"/>
        <w:textAlignment w:val="top"/>
        <w:rPr>
          <w:rFonts w:eastAsia="Calibri" w:cs="Calibri"/>
          <w:i/>
          <w:iCs/>
        </w:rPr>
      </w:pPr>
      <w:r w:rsidRPr="00681435">
        <w:rPr>
          <w:rFonts w:eastAsia="Calibri" w:cs="Calibri"/>
          <w:i/>
          <w:iCs/>
        </w:rPr>
        <w:t>Verloop van de aanbesteding</w:t>
      </w:r>
    </w:p>
    <w:p w14:paraId="06EA2269" w14:textId="2EFA9A36" w:rsidR="00681435" w:rsidRPr="00681435" w:rsidRDefault="00681435" w:rsidP="00681435">
      <w:pPr>
        <w:pStyle w:val="Lijstalinea"/>
        <w:numPr>
          <w:ilvl w:val="0"/>
          <w:numId w:val="6"/>
        </w:numPr>
        <w:spacing w:before="239" w:after="239" w:line="240" w:lineRule="auto"/>
        <w:textAlignment w:val="top"/>
        <w:rPr>
          <w:rFonts w:eastAsia="Calibri" w:cs="Calibri"/>
        </w:rPr>
      </w:pPr>
      <w:r w:rsidRPr="00681435">
        <w:rPr>
          <w:rFonts w:eastAsia="Calibri" w:cs="Calibri"/>
        </w:rPr>
        <w:t xml:space="preserve">Opdrachtgever in verband met hetgeen hiervoor onder </w:t>
      </w:r>
      <w:r w:rsidR="000E2175">
        <w:rPr>
          <w:rFonts w:eastAsia="Calibri" w:cs="Calibri"/>
        </w:rPr>
        <w:t>1 t/m 3</w:t>
      </w:r>
      <w:r w:rsidRPr="00681435">
        <w:rPr>
          <w:rFonts w:eastAsia="Calibri" w:cs="Calibri"/>
        </w:rPr>
        <w:t xml:space="preserve"> is overwogen, tot aanbesteding voor </w:t>
      </w:r>
      <w:r w:rsidR="003675A2">
        <w:rPr>
          <w:rFonts w:eastAsia="Calibri" w:cs="Calibri"/>
        </w:rPr>
        <w:t>werkplek hardware, accessoires en eventueel aanvullende diensten</w:t>
      </w:r>
      <w:r w:rsidRPr="00681435">
        <w:rPr>
          <w:rFonts w:eastAsia="Calibri" w:cs="Calibri"/>
        </w:rPr>
        <w:t xml:space="preserve"> door middel van een Europese aanbesteding middels de Openbare procedure is overgegaan;</w:t>
      </w:r>
    </w:p>
    <w:p w14:paraId="5F36C220" w14:textId="7B1C7C0E" w:rsidR="00681435" w:rsidRPr="00681435" w:rsidRDefault="00681435" w:rsidP="00681435">
      <w:pPr>
        <w:pStyle w:val="Lijstalinea"/>
        <w:numPr>
          <w:ilvl w:val="0"/>
          <w:numId w:val="6"/>
        </w:numPr>
        <w:spacing w:before="239" w:after="239" w:line="240" w:lineRule="auto"/>
        <w:textAlignment w:val="top"/>
        <w:rPr>
          <w:rFonts w:eastAsia="Calibri" w:cs="Calibri"/>
        </w:rPr>
      </w:pPr>
      <w:proofErr w:type="gramStart"/>
      <w:r w:rsidRPr="00681435">
        <w:rPr>
          <w:rFonts w:eastAsia="Calibri" w:cs="Calibri"/>
        </w:rPr>
        <w:t>op</w:t>
      </w:r>
      <w:proofErr w:type="gramEnd"/>
      <w:r w:rsidRPr="00681435">
        <w:rPr>
          <w:rFonts w:eastAsia="Calibri" w:cs="Calibri"/>
        </w:rPr>
        <w:t xml:space="preserve"> &lt;datum&gt; door of namens Opdrachtgever een aankondiging naar het Supplement op het Publicatieblad van de Europese Unie (hierna: Publicatieblad) is verzonden en dat deze aankondiging is gepubliceerd onder nummer &lt;nummer&gt;;</w:t>
      </w:r>
    </w:p>
    <w:p w14:paraId="52C2375E" w14:textId="39DD432E" w:rsidR="00681435" w:rsidRPr="00681435" w:rsidRDefault="00681435" w:rsidP="00681435">
      <w:pPr>
        <w:pStyle w:val="Lijstalinea"/>
        <w:numPr>
          <w:ilvl w:val="0"/>
          <w:numId w:val="6"/>
        </w:numPr>
        <w:spacing w:before="239" w:after="239" w:line="240" w:lineRule="auto"/>
        <w:textAlignment w:val="top"/>
        <w:rPr>
          <w:rFonts w:eastAsia="Calibri" w:cs="Calibri"/>
        </w:rPr>
      </w:pPr>
      <w:r w:rsidRPr="00681435">
        <w:rPr>
          <w:rFonts w:eastAsia="Calibri" w:cs="Calibri"/>
        </w:rPr>
        <w:t xml:space="preserve">Opdrachtgever de ingekomen inschrijvingen heeft beoordeeld op basis van de inschrijving van Wederpartij voor de opdracht voor </w:t>
      </w:r>
      <w:r w:rsidR="003675A2">
        <w:rPr>
          <w:rFonts w:eastAsia="Calibri" w:cs="Calibri"/>
        </w:rPr>
        <w:t>werkplek hardware, accessoires en eventueel aanvullende dienstverlening</w:t>
      </w:r>
      <w:r w:rsidRPr="00681435">
        <w:rPr>
          <w:rFonts w:eastAsia="Calibri" w:cs="Calibri"/>
        </w:rPr>
        <w:t>;</w:t>
      </w:r>
    </w:p>
    <w:p w14:paraId="7FD2E0A5" w14:textId="303B0965" w:rsidR="00681435" w:rsidRPr="00681435" w:rsidRDefault="00681435" w:rsidP="00681435">
      <w:pPr>
        <w:pStyle w:val="Lijstalinea"/>
        <w:numPr>
          <w:ilvl w:val="0"/>
          <w:numId w:val="6"/>
        </w:numPr>
        <w:spacing w:before="239" w:after="239" w:line="240" w:lineRule="auto"/>
        <w:textAlignment w:val="top"/>
        <w:rPr>
          <w:rFonts w:eastAsia="Calibri" w:cs="Calibri"/>
        </w:rPr>
      </w:pPr>
      <w:r w:rsidRPr="00681435">
        <w:rPr>
          <w:rFonts w:eastAsia="Calibri" w:cs="Calibri"/>
        </w:rPr>
        <w:t xml:space="preserve">Opdrachtgever de Opdracht op &lt;datum&gt; heeft gegund aan </w:t>
      </w:r>
      <w:r>
        <w:rPr>
          <w:rFonts w:eastAsia="Calibri" w:cs="Calibri"/>
        </w:rPr>
        <w:t>Leverancier;</w:t>
      </w:r>
      <w:r w:rsidRPr="00681435">
        <w:rPr>
          <w:rFonts w:eastAsia="Calibri" w:cs="Calibri"/>
        </w:rPr>
        <w:t xml:space="preserve"> </w:t>
      </w:r>
    </w:p>
    <w:p w14:paraId="58010F6E" w14:textId="685AF879" w:rsidR="00681435" w:rsidRPr="00681435" w:rsidRDefault="00681435" w:rsidP="00681435">
      <w:pPr>
        <w:pStyle w:val="Lijstalinea"/>
        <w:numPr>
          <w:ilvl w:val="0"/>
          <w:numId w:val="6"/>
        </w:numPr>
        <w:spacing w:before="239" w:after="239" w:line="240" w:lineRule="auto"/>
        <w:textAlignment w:val="top"/>
        <w:rPr>
          <w:rFonts w:eastAsia="Calibri" w:cs="Calibri"/>
        </w:rPr>
      </w:pPr>
      <w:r w:rsidRPr="00681435">
        <w:rPr>
          <w:rFonts w:eastAsia="Calibri" w:cs="Calibri"/>
        </w:rPr>
        <w:t xml:space="preserve">Opdrachtgever op basis van deze Raamovereenkomst </w:t>
      </w:r>
      <w:r>
        <w:rPr>
          <w:rFonts w:eastAsia="Calibri" w:cs="Calibri"/>
        </w:rPr>
        <w:t>Leverancier</w:t>
      </w:r>
      <w:r w:rsidRPr="00681435">
        <w:rPr>
          <w:rFonts w:eastAsia="Calibri" w:cs="Calibri"/>
        </w:rPr>
        <w:t xml:space="preserve"> opnieuw kan oproepen tot mededinging met het oog op het sluiten van een Nadere overeenkomst;  </w:t>
      </w:r>
    </w:p>
    <w:p w14:paraId="3BB9C19C" w14:textId="77777777" w:rsidR="00681435" w:rsidRPr="00681435" w:rsidRDefault="00681435" w:rsidP="00681435">
      <w:pPr>
        <w:pStyle w:val="Lijstalinea"/>
        <w:numPr>
          <w:ilvl w:val="0"/>
          <w:numId w:val="6"/>
        </w:numPr>
        <w:spacing w:before="239" w:after="239" w:line="240" w:lineRule="auto"/>
        <w:textAlignment w:val="top"/>
        <w:rPr>
          <w:rFonts w:eastAsia="Calibri" w:cs="Calibri"/>
        </w:rPr>
      </w:pPr>
      <w:proofErr w:type="gramStart"/>
      <w:r w:rsidRPr="00681435">
        <w:rPr>
          <w:rFonts w:eastAsia="Calibri" w:cs="Calibri"/>
        </w:rPr>
        <w:lastRenderedPageBreak/>
        <w:t>dat</w:t>
      </w:r>
      <w:proofErr w:type="gramEnd"/>
      <w:r w:rsidRPr="00681435">
        <w:rPr>
          <w:rFonts w:eastAsia="Calibri" w:cs="Calibri"/>
        </w:rPr>
        <w:t xml:space="preserve"> mededinging kan plaatsvinden op basis van het gunningcriterium  Economisch Meest Voordelige Inschrijving op basis van de 'laagste prijs' dan wel ‘beste prijskwaliteitverhouding’ afhankelijk van de aard van de Offerteaanvraag. </w:t>
      </w:r>
    </w:p>
    <w:p w14:paraId="18255484" w14:textId="77777777" w:rsidR="00891BA2" w:rsidRDefault="002C6ECD">
      <w:pPr>
        <w:spacing w:before="239" w:after="239" w:line="240" w:lineRule="auto"/>
        <w:textAlignment w:val="top"/>
      </w:pPr>
      <w:proofErr w:type="gramStart"/>
      <w:r>
        <w:rPr>
          <w:rFonts w:eastAsia="Calibri" w:cs="Calibri"/>
          <w:b/>
          <w:bCs/>
        </w:rPr>
        <w:t>zijn</w:t>
      </w:r>
      <w:proofErr w:type="gramEnd"/>
      <w:r>
        <w:rPr>
          <w:rFonts w:eastAsia="Calibri" w:cs="Calibri"/>
          <w:b/>
          <w:bCs/>
        </w:rPr>
        <w:t xml:space="preserve"> als volgt overeengekomen:</w:t>
      </w:r>
    </w:p>
    <w:p w14:paraId="6B280559" w14:textId="77777777" w:rsidR="00891BA2" w:rsidRDefault="002C6ECD">
      <w:pPr>
        <w:spacing w:before="239" w:after="239" w:line="240" w:lineRule="auto"/>
        <w:textAlignment w:val="top"/>
      </w:pPr>
      <w:r>
        <w:rPr>
          <w:rFonts w:eastAsia="Calibri" w:cs="Calibri"/>
          <w:b/>
          <w:bCs/>
        </w:rPr>
        <w:t>1. Voorwerp van de overeenkomst</w:t>
      </w:r>
      <w:r>
        <w:rPr>
          <w:rFonts w:eastAsia="Calibri" w:cs="Calibri"/>
        </w:rPr>
        <w:br/>
        <w:t>1.1. Leverancier verplicht zich tot het leveren van de ICT Prestatie zoals beschreven in:</w:t>
      </w:r>
    </w:p>
    <w:p w14:paraId="7962066A" w14:textId="77777777" w:rsidR="00891BA2" w:rsidRDefault="002C6ECD">
      <w:pPr>
        <w:numPr>
          <w:ilvl w:val="0"/>
          <w:numId w:val="4"/>
        </w:numPr>
        <w:spacing w:line="240" w:lineRule="auto"/>
        <w:rPr>
          <w:rFonts w:ascii="Calibri" w:eastAsia="Calibri" w:hAnsi="Calibri" w:cs="Calibri"/>
        </w:rPr>
      </w:pPr>
      <w:r>
        <w:rPr>
          <w:rFonts w:eastAsia="Calibri" w:cs="Calibri"/>
        </w:rPr>
        <w:t>Het programma van eisen, zoals gewijzigd door/in de nota van inlichtingen;</w:t>
      </w:r>
    </w:p>
    <w:p w14:paraId="409CFDAE" w14:textId="77777777" w:rsidR="00891BA2" w:rsidRDefault="002C6ECD">
      <w:pPr>
        <w:numPr>
          <w:ilvl w:val="0"/>
          <w:numId w:val="4"/>
        </w:numPr>
        <w:spacing w:line="240" w:lineRule="auto"/>
        <w:rPr>
          <w:rFonts w:ascii="Calibri" w:eastAsia="Calibri" w:hAnsi="Calibri" w:cs="Calibri"/>
        </w:rPr>
      </w:pPr>
      <w:r>
        <w:rPr>
          <w:rFonts w:eastAsia="Calibri" w:cs="Calibri"/>
        </w:rPr>
        <w:t>Het beschrijvend document, zoals gewijzigd door/in de nota van inlichtingen;</w:t>
      </w:r>
    </w:p>
    <w:p w14:paraId="61BCC8B6" w14:textId="176FF6D5" w:rsidR="00891BA2" w:rsidRDefault="002C6ECD">
      <w:pPr>
        <w:numPr>
          <w:ilvl w:val="0"/>
          <w:numId w:val="4"/>
        </w:numPr>
        <w:spacing w:line="240" w:lineRule="auto"/>
        <w:rPr>
          <w:rFonts w:ascii="Calibri" w:eastAsia="Calibri" w:hAnsi="Calibri" w:cs="Calibri"/>
        </w:rPr>
      </w:pPr>
      <w:r>
        <w:rPr>
          <w:rFonts w:eastAsia="Calibri" w:cs="Calibri"/>
        </w:rPr>
        <w:t xml:space="preserve">GIBIT (versie </w:t>
      </w:r>
      <w:r w:rsidR="00B44C53">
        <w:rPr>
          <w:rFonts w:eastAsia="Calibri" w:cs="Calibri"/>
        </w:rPr>
        <w:t>2020</w:t>
      </w:r>
      <w:r>
        <w:rPr>
          <w:rFonts w:eastAsia="Calibri" w:cs="Calibri"/>
        </w:rPr>
        <w:t>).</w:t>
      </w:r>
    </w:p>
    <w:p w14:paraId="226CD96B" w14:textId="6AEF1E04" w:rsidR="00891BA2" w:rsidRDefault="002C6ECD">
      <w:pPr>
        <w:spacing w:before="239" w:after="239" w:line="240" w:lineRule="auto"/>
        <w:textAlignment w:val="top"/>
      </w:pPr>
      <w:r>
        <w:rPr>
          <w:rFonts w:eastAsia="Calibri" w:cs="Calibri"/>
        </w:rPr>
        <w:t xml:space="preserve">1.2. Bovenstaand(e) document(en) zijn opgenomen als bijlage bij deze </w:t>
      </w:r>
      <w:r w:rsidR="00681435">
        <w:rPr>
          <w:rFonts w:eastAsia="Calibri" w:cs="Calibri"/>
        </w:rPr>
        <w:t>Raamovereenkomst</w:t>
      </w:r>
      <w:r>
        <w:rPr>
          <w:rFonts w:eastAsia="Calibri" w:cs="Calibri"/>
        </w:rPr>
        <w:t>.</w:t>
      </w:r>
      <w:r>
        <w:rPr>
          <w:rFonts w:eastAsia="Calibri" w:cs="Calibri"/>
        </w:rPr>
        <w:br/>
        <w:t xml:space="preserve">1.3. De in het eerste lid bedoelde activiteiten zullen plaatsvinden onder de voorwaarden als beschreven in het onderhavige document en de hierin genoemde bijlagen (hierna gezamenlijk: “de </w:t>
      </w:r>
      <w:r w:rsidR="00681435">
        <w:rPr>
          <w:rFonts w:eastAsia="Calibri" w:cs="Calibri"/>
        </w:rPr>
        <w:t>Raamo</w:t>
      </w:r>
      <w:r>
        <w:rPr>
          <w:rFonts w:eastAsia="Calibri" w:cs="Calibri"/>
        </w:rPr>
        <w:t>vereenkomst”).</w:t>
      </w:r>
    </w:p>
    <w:p w14:paraId="44DD958B" w14:textId="77777777" w:rsidR="00891BA2" w:rsidRDefault="002C6ECD">
      <w:pPr>
        <w:spacing w:before="239" w:after="239" w:line="240" w:lineRule="auto"/>
        <w:textAlignment w:val="top"/>
      </w:pPr>
      <w:r>
        <w:rPr>
          <w:rFonts w:eastAsia="Calibri" w:cs="Calibri"/>
          <w:b/>
          <w:bCs/>
        </w:rPr>
        <w:t>2. Specificaties</w:t>
      </w:r>
      <w:r>
        <w:rPr>
          <w:rFonts w:eastAsia="Calibri" w:cs="Calibri"/>
        </w:rPr>
        <w:br/>
        <w:t xml:space="preserve">2.1. Tot het Overeengekomen gebruik behoort dat de ICT Prestatie voldoet aan hetgeen beschreven is in de in artikel 1.1. </w:t>
      </w:r>
      <w:proofErr w:type="gramStart"/>
      <w:r>
        <w:rPr>
          <w:rFonts w:eastAsia="Calibri" w:cs="Calibri"/>
        </w:rPr>
        <w:t>genoemde</w:t>
      </w:r>
      <w:proofErr w:type="gramEnd"/>
      <w:r>
        <w:rPr>
          <w:rFonts w:eastAsia="Calibri" w:cs="Calibri"/>
        </w:rPr>
        <w:t xml:space="preserve"> documenten.</w:t>
      </w:r>
      <w:r>
        <w:rPr>
          <w:rFonts w:eastAsia="Calibri" w:cs="Calibri"/>
        </w:rPr>
        <w:br/>
        <w:t xml:space="preserve">2.2. Leverancier garandeert dat de ICT Prestatie zal voldoen aan de Gemeentelijke ICT-kwaliteitsnormen en overige normen zoals opgenomen in de GIBIT en in de in artikel 1.1. </w:t>
      </w:r>
      <w:proofErr w:type="gramStart"/>
      <w:r>
        <w:rPr>
          <w:rFonts w:eastAsia="Calibri" w:cs="Calibri"/>
        </w:rPr>
        <w:t>genoemde</w:t>
      </w:r>
      <w:proofErr w:type="gramEnd"/>
      <w:r>
        <w:rPr>
          <w:rFonts w:eastAsia="Calibri" w:cs="Calibri"/>
        </w:rPr>
        <w:t xml:space="preserve"> documenten.</w:t>
      </w:r>
    </w:p>
    <w:p w14:paraId="2D3192B2" w14:textId="77777777" w:rsidR="003675A2" w:rsidRDefault="002C6ECD">
      <w:pPr>
        <w:spacing w:before="239" w:after="239" w:line="240" w:lineRule="auto"/>
        <w:textAlignment w:val="top"/>
        <w:rPr>
          <w:rFonts w:eastAsia="Calibri" w:cs="Calibri"/>
          <w:b/>
          <w:bCs/>
        </w:rPr>
      </w:pPr>
      <w:r>
        <w:rPr>
          <w:rFonts w:eastAsia="Calibri" w:cs="Calibri"/>
          <w:b/>
          <w:bCs/>
        </w:rPr>
        <w:t>3. Looptijd</w:t>
      </w:r>
      <w:r>
        <w:rPr>
          <w:rFonts w:eastAsia="Calibri" w:cs="Calibri"/>
        </w:rPr>
        <w:br/>
        <w:t xml:space="preserve">3.1. De </w:t>
      </w:r>
      <w:r w:rsidR="00681435">
        <w:rPr>
          <w:rFonts w:eastAsia="Calibri" w:cs="Calibri"/>
        </w:rPr>
        <w:t>Raamovereenkomst</w:t>
      </w:r>
      <w:r>
        <w:rPr>
          <w:rFonts w:eastAsia="Calibri" w:cs="Calibri"/>
        </w:rPr>
        <w:t xml:space="preserve"> treedt in werking op het moment waarop deze door beide partijen is ondertekend.</w:t>
      </w:r>
      <w:r>
        <w:rPr>
          <w:rFonts w:eastAsia="Calibri" w:cs="Calibri"/>
        </w:rPr>
        <w:br/>
        <w:t xml:space="preserve">3.2. De </w:t>
      </w:r>
      <w:r w:rsidR="00681435">
        <w:rPr>
          <w:rFonts w:eastAsia="Calibri" w:cs="Calibri"/>
        </w:rPr>
        <w:t>Raamovereenkomst</w:t>
      </w:r>
      <w:r>
        <w:rPr>
          <w:rFonts w:eastAsia="Calibri" w:cs="Calibri"/>
        </w:rPr>
        <w:t xml:space="preserve"> heeft een looptijd tot twee (2) jaar na inwerkingtreding overeenkomstig lid 1 van dit artikel.</w:t>
      </w:r>
      <w:r>
        <w:rPr>
          <w:rFonts w:eastAsia="Calibri" w:cs="Calibri"/>
        </w:rPr>
        <w:br/>
        <w:t xml:space="preserve">3.3. Na afloop van de voornoemde looptijd wordt de overeenkomst slechts op verzoek van Opdrachtgever verlengd. Opdrachtgever geeft uiterlijk drie (3) maanden voor einde looptijd aan de </w:t>
      </w:r>
      <w:r w:rsidR="00681435">
        <w:rPr>
          <w:rFonts w:eastAsia="Calibri" w:cs="Calibri"/>
        </w:rPr>
        <w:t>Raamovereenkomst</w:t>
      </w:r>
      <w:r>
        <w:rPr>
          <w:rFonts w:eastAsia="Calibri" w:cs="Calibri"/>
        </w:rPr>
        <w:t xml:space="preserve"> te verlengen. </w:t>
      </w:r>
      <w:r w:rsidR="003675A2">
        <w:rPr>
          <w:rFonts w:eastAsia="Calibri" w:cs="Calibri"/>
        </w:rPr>
        <w:br/>
      </w:r>
      <w:r>
        <w:rPr>
          <w:rFonts w:eastAsia="Calibri" w:cs="Calibri"/>
        </w:rPr>
        <w:t xml:space="preserve">3.4. De </w:t>
      </w:r>
      <w:r w:rsidR="00681435">
        <w:rPr>
          <w:rFonts w:eastAsia="Calibri" w:cs="Calibri"/>
        </w:rPr>
        <w:t>Raamovereenkomst</w:t>
      </w:r>
      <w:r>
        <w:rPr>
          <w:rFonts w:eastAsia="Calibri" w:cs="Calibri"/>
        </w:rPr>
        <w:t xml:space="preserve"> mag maximaal tweemaal worden verlengd. </w:t>
      </w:r>
      <w:r w:rsidR="003675A2">
        <w:rPr>
          <w:rFonts w:eastAsia="Calibri" w:cs="Calibri"/>
        </w:rPr>
        <w:br/>
      </w:r>
      <w:r>
        <w:rPr>
          <w:rFonts w:eastAsia="Calibri" w:cs="Calibri"/>
        </w:rPr>
        <w:t xml:space="preserve">3.5. Bij verlenging wordt de </w:t>
      </w:r>
      <w:r w:rsidR="00681435">
        <w:rPr>
          <w:rFonts w:eastAsia="Calibri" w:cs="Calibri"/>
        </w:rPr>
        <w:t>Raamovereenkomst</w:t>
      </w:r>
      <w:r>
        <w:rPr>
          <w:rFonts w:eastAsia="Calibri" w:cs="Calibri"/>
        </w:rPr>
        <w:t xml:space="preserve"> verlengd met een periode van één (1) jaar.</w:t>
      </w:r>
      <w:r>
        <w:rPr>
          <w:rFonts w:eastAsia="Calibri" w:cs="Calibri"/>
        </w:rPr>
        <w:br/>
        <w:t xml:space="preserve">3.6. De looptijd van het Onderhoud is gelijk aan de looptijd van de </w:t>
      </w:r>
      <w:r w:rsidR="00681435">
        <w:rPr>
          <w:rFonts w:eastAsia="Calibri" w:cs="Calibri"/>
        </w:rPr>
        <w:t>Raamovereenkomst</w:t>
      </w:r>
      <w:r>
        <w:rPr>
          <w:rFonts w:eastAsia="Calibri" w:cs="Calibri"/>
        </w:rPr>
        <w:t>.</w:t>
      </w:r>
      <w:r>
        <w:rPr>
          <w:rFonts w:eastAsia="Calibri" w:cs="Calibri"/>
        </w:rPr>
        <w:br/>
        <w:t xml:space="preserve">3.7. De looptijd van de Gebruiksrechten is gelijk aan de looptijd van de </w:t>
      </w:r>
      <w:r w:rsidR="00681435">
        <w:rPr>
          <w:rFonts w:eastAsia="Calibri" w:cs="Calibri"/>
        </w:rPr>
        <w:t>Raamovereenkomst</w:t>
      </w:r>
      <w:r>
        <w:rPr>
          <w:rFonts w:eastAsia="Calibri" w:cs="Calibri"/>
        </w:rPr>
        <w:t>.</w:t>
      </w:r>
      <w:r>
        <w:rPr>
          <w:rFonts w:eastAsia="Calibri" w:cs="Calibri"/>
        </w:rPr>
        <w:br/>
      </w:r>
    </w:p>
    <w:p w14:paraId="2181E406" w14:textId="4113BC74" w:rsidR="00891BA2" w:rsidRDefault="002C6ECD">
      <w:pPr>
        <w:spacing w:before="239" w:after="239" w:line="240" w:lineRule="auto"/>
        <w:textAlignment w:val="top"/>
      </w:pPr>
      <w:r>
        <w:rPr>
          <w:rFonts w:eastAsia="Calibri" w:cs="Calibri"/>
          <w:b/>
          <w:bCs/>
        </w:rPr>
        <w:t>4. Onderhoud en ondersteuning</w:t>
      </w:r>
      <w:r>
        <w:rPr>
          <w:rFonts w:eastAsia="Calibri" w:cs="Calibri"/>
        </w:rPr>
        <w:br/>
        <w:t>4.1. Het Onderhoud wordt</w:t>
      </w:r>
      <w:r w:rsidR="009F010D">
        <w:rPr>
          <w:rFonts w:eastAsia="Calibri" w:cs="Calibri"/>
        </w:rPr>
        <w:t>, indien van toepassing,</w:t>
      </w:r>
      <w:r>
        <w:rPr>
          <w:rFonts w:eastAsia="Calibri" w:cs="Calibri"/>
        </w:rPr>
        <w:t xml:space="preserve"> verricht overeenkomstig:</w:t>
      </w:r>
    </w:p>
    <w:p w14:paraId="0F15833D" w14:textId="0618FDAC" w:rsidR="00891BA2" w:rsidRDefault="002C6ECD">
      <w:pPr>
        <w:numPr>
          <w:ilvl w:val="0"/>
          <w:numId w:val="4"/>
        </w:numPr>
        <w:spacing w:line="240" w:lineRule="auto"/>
        <w:rPr>
          <w:rFonts w:ascii="Calibri" w:eastAsia="Calibri" w:hAnsi="Calibri" w:cs="Calibri"/>
        </w:rPr>
      </w:pPr>
      <w:proofErr w:type="gramStart"/>
      <w:r>
        <w:rPr>
          <w:rFonts w:eastAsia="Calibri" w:cs="Calibri"/>
        </w:rPr>
        <w:t>de</w:t>
      </w:r>
      <w:proofErr w:type="gramEnd"/>
      <w:r>
        <w:rPr>
          <w:rFonts w:eastAsia="Calibri" w:cs="Calibri"/>
        </w:rPr>
        <w:t xml:space="preserve"> service level agreement en de nader op te stellen </w:t>
      </w:r>
      <w:r w:rsidR="009F010D">
        <w:rPr>
          <w:rFonts w:eastAsia="Calibri" w:cs="Calibri"/>
        </w:rPr>
        <w:t xml:space="preserve">(nadere) </w:t>
      </w:r>
      <w:r>
        <w:rPr>
          <w:rFonts w:eastAsia="Calibri" w:cs="Calibri"/>
        </w:rPr>
        <w:t>onderhoudsovereenkomst.</w:t>
      </w:r>
    </w:p>
    <w:p w14:paraId="47587275" w14:textId="77777777" w:rsidR="00891BA2" w:rsidRDefault="002C6ECD">
      <w:pPr>
        <w:spacing w:before="239" w:after="239" w:line="240" w:lineRule="auto"/>
        <w:textAlignment w:val="top"/>
      </w:pPr>
      <w:r>
        <w:rPr>
          <w:rFonts w:eastAsia="Calibri" w:cs="Calibri"/>
        </w:rPr>
        <w:t>4.2. Op verzoek van Opdrachtgever verzorgt Leverancier de Implementatie van Updates en Upgrades, tegen een nader overeen te komen vergoeding. Bij Implementatie van een Update zal in beginsel geen Acceptatieprocedure plaatsvinden.</w:t>
      </w:r>
    </w:p>
    <w:p w14:paraId="272BCE4B" w14:textId="77777777" w:rsidR="00891BA2" w:rsidRDefault="002C6ECD">
      <w:pPr>
        <w:spacing w:before="239" w:after="239" w:line="240" w:lineRule="auto"/>
        <w:textAlignment w:val="top"/>
      </w:pPr>
      <w:r>
        <w:rPr>
          <w:rFonts w:eastAsia="Calibri" w:cs="Calibri"/>
          <w:b/>
          <w:bCs/>
        </w:rPr>
        <w:lastRenderedPageBreak/>
        <w:t>5. Gebruiksrechten</w:t>
      </w:r>
      <w:r>
        <w:rPr>
          <w:rFonts w:eastAsia="Calibri" w:cs="Calibri"/>
        </w:rPr>
        <w:br/>
        <w:t xml:space="preserve">5.1. Leverancier levert Gebruiksrechten zoals gespecificeerd in de in artikel 1.1. </w:t>
      </w:r>
      <w:proofErr w:type="gramStart"/>
      <w:r>
        <w:rPr>
          <w:rFonts w:eastAsia="Calibri" w:cs="Calibri"/>
        </w:rPr>
        <w:t>genoemde</w:t>
      </w:r>
      <w:proofErr w:type="gramEnd"/>
      <w:r>
        <w:rPr>
          <w:rFonts w:eastAsia="Calibri" w:cs="Calibri"/>
        </w:rPr>
        <w:t xml:space="preserve"> documenten.</w:t>
      </w:r>
    </w:p>
    <w:p w14:paraId="5695DA47" w14:textId="0F5F7931" w:rsidR="00891BA2" w:rsidRDefault="002C6ECD">
      <w:pPr>
        <w:spacing w:before="239" w:after="239" w:line="240" w:lineRule="auto"/>
        <w:textAlignment w:val="top"/>
      </w:pPr>
      <w:r>
        <w:rPr>
          <w:rFonts w:eastAsia="Calibri" w:cs="Calibri"/>
          <w:b/>
          <w:bCs/>
        </w:rPr>
        <w:t>6. Vergoedingen</w:t>
      </w:r>
      <w:r>
        <w:rPr>
          <w:rFonts w:eastAsia="Calibri" w:cs="Calibri"/>
        </w:rPr>
        <w:br/>
        <w:t>6.1. De vergoeding van het Onderhoud is nader gespecificeerd in de offerte van Leverancier.</w:t>
      </w:r>
      <w:r>
        <w:rPr>
          <w:rFonts w:eastAsia="Calibri" w:cs="Calibri"/>
        </w:rPr>
        <w:br/>
        <w:t>6.2. De vergoeding voor de Gebruiksrechten is nader gespecificeerd in de offerte van Leverancier.</w:t>
      </w:r>
      <w:r>
        <w:rPr>
          <w:rFonts w:eastAsia="Calibri" w:cs="Calibri"/>
        </w:rPr>
        <w:br/>
        <w:t>6.</w:t>
      </w:r>
      <w:r w:rsidR="009F010D">
        <w:rPr>
          <w:rFonts w:eastAsia="Calibri" w:cs="Calibri"/>
        </w:rPr>
        <w:t>3</w:t>
      </w:r>
      <w:r>
        <w:rPr>
          <w:rFonts w:eastAsia="Calibri" w:cs="Calibri"/>
        </w:rPr>
        <w:t>. Leverancier verzendt de factuur aan Opdrachtgever elektronisch overeenkomstig de geldende eisen voor facturatie zoals opgenomen in de Gemeentelijke ICT-kwaliteitsnormen.</w:t>
      </w:r>
    </w:p>
    <w:p w14:paraId="4DE3B720" w14:textId="66443F6A" w:rsidR="00891BA2" w:rsidRDefault="002C6ECD">
      <w:pPr>
        <w:spacing w:before="239" w:after="239" w:line="240" w:lineRule="auto"/>
        <w:textAlignment w:val="top"/>
      </w:pPr>
      <w:r>
        <w:rPr>
          <w:rFonts w:eastAsia="Calibri" w:cs="Calibri"/>
          <w:b/>
          <w:bCs/>
        </w:rPr>
        <w:t>7. Contactpersonen en bevoegdheden</w:t>
      </w:r>
      <w:r>
        <w:rPr>
          <w:rFonts w:eastAsia="Calibri" w:cs="Calibri"/>
        </w:rPr>
        <w:br/>
        <w:t xml:space="preserve">7.1. Partijen wijzen de in een bijlage gespecificeerde personen aan als contactpersoon namens hun organisatie gedurende de looptijd van de </w:t>
      </w:r>
      <w:r w:rsidR="00681435">
        <w:rPr>
          <w:rFonts w:eastAsia="Calibri" w:cs="Calibri"/>
        </w:rPr>
        <w:t>Raamovereenkomst</w:t>
      </w:r>
      <w:r>
        <w:rPr>
          <w:rFonts w:eastAsia="Calibri" w:cs="Calibri"/>
        </w:rPr>
        <w:t>.</w:t>
      </w:r>
      <w:r>
        <w:rPr>
          <w:rFonts w:eastAsia="Calibri" w:cs="Calibri"/>
        </w:rPr>
        <w:br/>
        <w:t xml:space="preserve">7.2. Tenzij vooraf door de ene partij uitdrukkelijk schriftelijk aan de andere partij van het tegendeel mededeling wordt gedaan, zijn de bedoelde contactpersonen bevoegd de partij die hen heeft aangewezen, in het kader van de uitvoering van deze </w:t>
      </w:r>
      <w:r w:rsidR="00681435">
        <w:rPr>
          <w:rFonts w:eastAsia="Calibri" w:cs="Calibri"/>
        </w:rPr>
        <w:t>Raamovereenkomst</w:t>
      </w:r>
      <w:r>
        <w:rPr>
          <w:rFonts w:eastAsia="Calibri" w:cs="Calibri"/>
        </w:rPr>
        <w:t xml:space="preserve"> en de nadere overeenkomsten te vertegenwoordigen, en in dat kader aanvullende of afwijkende afspraken te maken.</w:t>
      </w:r>
      <w:r>
        <w:rPr>
          <w:rFonts w:eastAsia="Calibri" w:cs="Calibri"/>
        </w:rPr>
        <w:br/>
        <w:t>7.3. Een partij mag haar contactpersonen wijzigen middels schriftelijke mededeling aan de andere partij. De wijziging zal minimaal een week van tevoren worden gemeld, behoudens in spoedgevallen.</w:t>
      </w:r>
    </w:p>
    <w:p w14:paraId="33F51E98" w14:textId="481D4335" w:rsidR="00891BA2" w:rsidRDefault="002C6ECD">
      <w:pPr>
        <w:spacing w:before="239" w:after="239" w:line="240" w:lineRule="auto"/>
        <w:textAlignment w:val="top"/>
      </w:pPr>
      <w:r>
        <w:rPr>
          <w:rFonts w:eastAsia="Calibri" w:cs="Calibri"/>
          <w:b/>
          <w:bCs/>
        </w:rPr>
        <w:t>8. Voorwaarden en overige afspraken</w:t>
      </w:r>
      <w:r>
        <w:rPr>
          <w:rFonts w:eastAsia="Calibri" w:cs="Calibri"/>
        </w:rPr>
        <w:br/>
        <w:t xml:space="preserve">8.1. Op deze </w:t>
      </w:r>
      <w:r w:rsidR="00681435">
        <w:rPr>
          <w:rFonts w:eastAsia="Calibri" w:cs="Calibri"/>
        </w:rPr>
        <w:t>Raamovereenkomst</w:t>
      </w:r>
      <w:r>
        <w:rPr>
          <w:rFonts w:eastAsia="Calibri" w:cs="Calibri"/>
        </w:rPr>
        <w:t xml:space="preserve"> is de GIBIT (versie </w:t>
      </w:r>
      <w:r w:rsidR="003C638F">
        <w:rPr>
          <w:rFonts w:eastAsia="Calibri" w:cs="Calibri"/>
        </w:rPr>
        <w:t>2020</w:t>
      </w:r>
      <w:r>
        <w:rPr>
          <w:rFonts w:eastAsia="Calibri" w:cs="Calibri"/>
        </w:rPr>
        <w:t xml:space="preserve">) van toepassing, zoals bijgesloten als bijlage. Leverancier verklaart een exemplaar van de GIBIT (versie </w:t>
      </w:r>
      <w:r w:rsidR="003C638F">
        <w:rPr>
          <w:rFonts w:eastAsia="Calibri" w:cs="Calibri"/>
        </w:rPr>
        <w:t>2020</w:t>
      </w:r>
      <w:r>
        <w:rPr>
          <w:rFonts w:eastAsia="Calibri" w:cs="Calibri"/>
        </w:rPr>
        <w:t>) te hebben ontvangen.</w:t>
      </w:r>
      <w:r>
        <w:rPr>
          <w:rFonts w:eastAsia="Calibri" w:cs="Calibri"/>
        </w:rPr>
        <w:br/>
        <w:t>8.2. Eventuele leveringsvoorwaarden van Leverancier zijn uitdrukkelijk niet van toepassing.</w:t>
      </w:r>
    </w:p>
    <w:p w14:paraId="5DA36A22" w14:textId="3B4F0A84" w:rsidR="00891BA2" w:rsidRDefault="002C6ECD">
      <w:pPr>
        <w:spacing w:before="239" w:after="239" w:line="240" w:lineRule="auto"/>
        <w:textAlignment w:val="top"/>
      </w:pPr>
      <w:r>
        <w:rPr>
          <w:rFonts w:eastAsia="Calibri" w:cs="Calibri"/>
        </w:rPr>
        <w:t xml:space="preserve">8.3. De navolgende stukken vormen gezamenlijk de </w:t>
      </w:r>
      <w:r w:rsidR="00681435">
        <w:rPr>
          <w:rFonts w:eastAsia="Calibri" w:cs="Calibri"/>
        </w:rPr>
        <w:t>Raamovereenkomst</w:t>
      </w:r>
      <w:r>
        <w:rPr>
          <w:rFonts w:eastAsia="Calibri" w:cs="Calibri"/>
        </w:rPr>
        <w:t xml:space="preserve">. Voor zover deze stukken met elkaar in tegenspraak zijn, prevaleert het </w:t>
      </w:r>
      <w:proofErr w:type="gramStart"/>
      <w:r>
        <w:rPr>
          <w:rFonts w:eastAsia="Calibri" w:cs="Calibri"/>
        </w:rPr>
        <w:t>eerder genoemde</w:t>
      </w:r>
      <w:proofErr w:type="gramEnd"/>
      <w:r>
        <w:rPr>
          <w:rFonts w:eastAsia="Calibri" w:cs="Calibri"/>
        </w:rPr>
        <w:t xml:space="preserve"> stuk boven het later genoemde:</w:t>
      </w:r>
    </w:p>
    <w:p w14:paraId="612B8E0A" w14:textId="77777777" w:rsidR="00891BA2" w:rsidRDefault="002C6ECD">
      <w:pPr>
        <w:numPr>
          <w:ilvl w:val="0"/>
          <w:numId w:val="4"/>
        </w:numPr>
        <w:spacing w:line="240" w:lineRule="auto"/>
        <w:rPr>
          <w:rFonts w:ascii="Calibri" w:eastAsia="Calibri" w:hAnsi="Calibri" w:cs="Calibri"/>
        </w:rPr>
      </w:pPr>
      <w:r>
        <w:rPr>
          <w:rFonts w:eastAsia="Calibri" w:cs="Calibri"/>
        </w:rPr>
        <w:t>Het onderhavige document;</w:t>
      </w:r>
    </w:p>
    <w:p w14:paraId="5EF500DB" w14:textId="77777777" w:rsidR="00891BA2" w:rsidRDefault="002C6ECD">
      <w:pPr>
        <w:numPr>
          <w:ilvl w:val="0"/>
          <w:numId w:val="4"/>
        </w:numPr>
        <w:spacing w:line="240" w:lineRule="auto"/>
        <w:rPr>
          <w:rFonts w:ascii="Calibri" w:eastAsia="Calibri" w:hAnsi="Calibri" w:cs="Calibri"/>
        </w:rPr>
      </w:pPr>
      <w:r>
        <w:rPr>
          <w:rFonts w:eastAsia="Calibri" w:cs="Calibri"/>
        </w:rPr>
        <w:t xml:space="preserve">De in artikel 1.1. </w:t>
      </w:r>
      <w:proofErr w:type="gramStart"/>
      <w:r>
        <w:rPr>
          <w:rFonts w:eastAsia="Calibri" w:cs="Calibri"/>
        </w:rPr>
        <w:t>genoemde</w:t>
      </w:r>
      <w:proofErr w:type="gramEnd"/>
      <w:r>
        <w:rPr>
          <w:rFonts w:eastAsia="Calibri" w:cs="Calibri"/>
        </w:rPr>
        <w:t xml:space="preserve"> documenten (in de daar genoemde volgorde).</w:t>
      </w:r>
    </w:p>
    <w:p w14:paraId="782EA89F" w14:textId="46698A48" w:rsidR="00891BA2" w:rsidRDefault="002C6ECD">
      <w:pPr>
        <w:spacing w:before="239" w:after="239" w:line="240" w:lineRule="auto"/>
        <w:textAlignment w:val="top"/>
        <w:rPr>
          <w:rFonts w:eastAsia="Calibri" w:cs="Calibri"/>
        </w:rPr>
      </w:pPr>
      <w:r>
        <w:rPr>
          <w:rFonts w:eastAsia="Calibri" w:cs="Calibri"/>
        </w:rPr>
        <w:t xml:space="preserve">8.4. In de </w:t>
      </w:r>
      <w:r w:rsidR="00681435">
        <w:rPr>
          <w:rFonts w:eastAsia="Calibri" w:cs="Calibri"/>
        </w:rPr>
        <w:t>Raamovereenkomst</w:t>
      </w:r>
      <w:r>
        <w:rPr>
          <w:rFonts w:eastAsia="Calibri" w:cs="Calibri"/>
        </w:rPr>
        <w:t xml:space="preserve"> wordt een aantal begrippen met een beginhoofdletter gebruikt. Aan deze begrippen komt de betekenis toe die hieraan is gegeven in de GIBIT (versie 20</w:t>
      </w:r>
      <w:r w:rsidR="00FA43A9">
        <w:rPr>
          <w:rFonts w:eastAsia="Calibri" w:cs="Calibri"/>
        </w:rPr>
        <w:t>20</w:t>
      </w:r>
      <w:r>
        <w:rPr>
          <w:rFonts w:eastAsia="Calibri" w:cs="Calibri"/>
        </w:rPr>
        <w:t>).</w:t>
      </w:r>
    </w:p>
    <w:p w14:paraId="65351E3F" w14:textId="6CB33A97" w:rsidR="00AA1C80" w:rsidRDefault="00AA1C80">
      <w:pPr>
        <w:spacing w:before="239" w:after="239" w:line="240" w:lineRule="auto"/>
        <w:textAlignment w:val="top"/>
        <w:rPr>
          <w:rFonts w:eastAsia="Calibri" w:cs="Calibri"/>
        </w:rPr>
      </w:pPr>
      <w:r>
        <w:rPr>
          <w:rFonts w:eastAsia="Calibri" w:cs="Calibri"/>
        </w:rPr>
        <w:t xml:space="preserve">8.5. </w:t>
      </w:r>
      <w:r w:rsidR="00191E47">
        <w:rPr>
          <w:rFonts w:eastAsia="Calibri" w:cs="Calibri"/>
        </w:rPr>
        <w:t>De tekst van a</w:t>
      </w:r>
      <w:r>
        <w:rPr>
          <w:rFonts w:eastAsia="Calibri" w:cs="Calibri"/>
        </w:rPr>
        <w:t xml:space="preserve">rtikel 13.3 van de GIBIT (versie 2020) zal </w:t>
      </w:r>
      <w:r w:rsidR="00191E47">
        <w:rPr>
          <w:rFonts w:eastAsia="Calibri" w:cs="Calibri"/>
        </w:rPr>
        <w:t xml:space="preserve">doorgehaald en </w:t>
      </w:r>
      <w:r w:rsidR="00A721AA">
        <w:rPr>
          <w:rFonts w:eastAsia="Calibri" w:cs="Calibri"/>
        </w:rPr>
        <w:t xml:space="preserve">worden vervangen door de volgende tekst: </w:t>
      </w:r>
      <w:r w:rsidR="00191E47" w:rsidRPr="00191E47">
        <w:rPr>
          <w:rFonts w:eastAsia="Calibri" w:cs="Calibri"/>
        </w:rPr>
        <w:t>De in lid 1 bedoelde aansprakelijkheid voor persoons-en zaakschade en daaruit voortvloeiende schade, is beperkt tot een bedrag van € 250.000</w:t>
      </w:r>
      <w:r w:rsidR="00A721AA">
        <w:rPr>
          <w:rFonts w:eastAsia="Calibri" w:cs="Calibri"/>
        </w:rPr>
        <w:t xml:space="preserve"> </w:t>
      </w:r>
      <w:r w:rsidR="00191E47" w:rsidRPr="00191E47">
        <w:rPr>
          <w:rFonts w:eastAsia="Calibri" w:cs="Calibri"/>
        </w:rPr>
        <w:t xml:space="preserve">per gebeurtenis. </w:t>
      </w:r>
      <w:r w:rsidR="00AE01F3">
        <w:rPr>
          <w:rFonts w:eastAsia="Calibri" w:cs="Calibri"/>
        </w:rPr>
        <w:t xml:space="preserve">Indirecte- en gevolgschade worden op voorhand uitgesloten. </w:t>
      </w:r>
      <w:r w:rsidR="00191E47" w:rsidRPr="00191E47">
        <w:rPr>
          <w:rFonts w:eastAsia="Calibri" w:cs="Calibri"/>
        </w:rPr>
        <w:t>Samenhangende gebeurtenissen worden daarbij aangemerkt als één gebeurtenis</w:t>
      </w:r>
      <w:r w:rsidR="00191E47">
        <w:rPr>
          <w:rFonts w:eastAsia="Calibri" w:cs="Calibri"/>
        </w:rPr>
        <w:t xml:space="preserve"> en er geldt een maximale aansprakelijkheid van € 500.000 per jaar (ofwel twee </w:t>
      </w:r>
      <w:r w:rsidR="00A721AA">
        <w:rPr>
          <w:rFonts w:eastAsia="Calibri" w:cs="Calibri"/>
        </w:rPr>
        <w:t>gebeurtenissen).</w:t>
      </w:r>
    </w:p>
    <w:p w14:paraId="2A67F6FA" w14:textId="4CC640B3" w:rsidR="008927B4" w:rsidRDefault="008927B4">
      <w:pPr>
        <w:spacing w:before="239" w:after="239" w:line="240" w:lineRule="auto"/>
        <w:textAlignment w:val="top"/>
        <w:rPr>
          <w:rFonts w:eastAsia="Calibri" w:cs="Calibri"/>
        </w:rPr>
      </w:pPr>
      <w:r>
        <w:rPr>
          <w:rFonts w:eastAsia="Calibri" w:cs="Calibri"/>
        </w:rPr>
        <w:t xml:space="preserve">8.6. Het </w:t>
      </w:r>
      <w:r w:rsidR="00A721AA">
        <w:rPr>
          <w:rFonts w:eastAsia="Calibri" w:cs="Calibri"/>
        </w:rPr>
        <w:t>maximumbedrag</w:t>
      </w:r>
      <w:r>
        <w:rPr>
          <w:rFonts w:eastAsia="Calibri" w:cs="Calibri"/>
        </w:rPr>
        <w:t xml:space="preserve"> aan de boete zoals gesteld in artikel 15.5 van de GIBIT (versie 2020) wordt vastgesteld om € 10.000 per gebeurtenis. </w:t>
      </w:r>
    </w:p>
    <w:p w14:paraId="5FD0ED1C" w14:textId="48FF9C12" w:rsidR="00AB424F" w:rsidRDefault="00AB424F">
      <w:pPr>
        <w:spacing w:before="239" w:after="239" w:line="240" w:lineRule="auto"/>
        <w:textAlignment w:val="top"/>
        <w:rPr>
          <w:rFonts w:eastAsia="Calibri" w:cs="Calibri"/>
        </w:rPr>
      </w:pPr>
      <w:r>
        <w:rPr>
          <w:rFonts w:eastAsia="Calibri" w:cs="Calibri"/>
        </w:rPr>
        <w:lastRenderedPageBreak/>
        <w:t xml:space="preserve">8.7. Artikel 9.6 van de GIBIT (versie 2020) wordt doorgehaald en als volgt aangepast: </w:t>
      </w:r>
      <w:r w:rsidR="00196929">
        <w:rPr>
          <w:rFonts w:eastAsia="Calibri" w:cs="Calibri"/>
        </w:rPr>
        <w:t>Als betalingstermijn wordt 30 dagen na factuurdatum gehanteerd</w:t>
      </w:r>
      <w:r w:rsidR="00C93A9A">
        <w:rPr>
          <w:rFonts w:eastAsia="Calibri" w:cs="Calibri"/>
        </w:rPr>
        <w:t xml:space="preserve">, mits deze tijdig ter beschikking is gesteld en tenzij anders overeengekomen. </w:t>
      </w:r>
    </w:p>
    <w:p w14:paraId="4EADDD3F" w14:textId="17CAB35B" w:rsidR="00CE6E72" w:rsidRDefault="00CE6E72">
      <w:pPr>
        <w:spacing w:before="239" w:after="239" w:line="240" w:lineRule="auto"/>
        <w:textAlignment w:val="top"/>
        <w:rPr>
          <w:rFonts w:eastAsia="Calibri" w:cs="Calibri"/>
        </w:rPr>
      </w:pPr>
      <w:r>
        <w:rPr>
          <w:rFonts w:eastAsia="Calibri" w:cs="Calibri"/>
        </w:rPr>
        <w:t xml:space="preserve">8.8. Artikel 20.1 van de GIBIT (versie 2020) wordt doorgehaald en is derhalve niet van toepassing. </w:t>
      </w:r>
    </w:p>
    <w:p w14:paraId="31D0AEA7" w14:textId="44EC6FA3" w:rsidR="00AA4612" w:rsidRDefault="00AA4612">
      <w:pPr>
        <w:spacing w:before="239" w:after="239" w:line="240" w:lineRule="auto"/>
        <w:textAlignment w:val="top"/>
        <w:rPr>
          <w:rFonts w:eastAsia="Calibri" w:cs="Calibri"/>
        </w:rPr>
      </w:pPr>
      <w:r>
        <w:rPr>
          <w:rFonts w:eastAsia="Calibri" w:cs="Calibri"/>
        </w:rPr>
        <w:t xml:space="preserve">8.9. Artikel 20.11, lid vi wordt doorgehaald en is derhalve niet van toepassing. </w:t>
      </w:r>
    </w:p>
    <w:p w14:paraId="3849FBD7" w14:textId="1CB0FBDA" w:rsidR="003749B7" w:rsidRDefault="003749B7">
      <w:pPr>
        <w:spacing w:before="239" w:after="239" w:line="240" w:lineRule="auto"/>
        <w:textAlignment w:val="top"/>
      </w:pPr>
      <w:r>
        <w:rPr>
          <w:rFonts w:eastAsia="Calibri" w:cs="Calibri"/>
        </w:rPr>
        <w:t>8.10. In aanvulling op de GIBIT (versie 2020) komen Partijen overeen dat bij leveringen het risico zal worden overgedragen op het moment van levering</w:t>
      </w:r>
      <w:r w:rsidR="00721B9F">
        <w:rPr>
          <w:rFonts w:eastAsia="Calibri" w:cs="Calibri"/>
        </w:rPr>
        <w:t xml:space="preserve">, terwijl het eigendom pas overgaat na volledige betaling van de factuur. </w:t>
      </w:r>
    </w:p>
    <w:p w14:paraId="3107DE83" w14:textId="77777777" w:rsidR="00891BA2" w:rsidRDefault="002C6ECD">
      <w:pPr>
        <w:spacing w:before="239" w:after="239" w:line="240" w:lineRule="auto"/>
        <w:textAlignment w:val="top"/>
      </w:pPr>
      <w:r>
        <w:rPr>
          <w:rFonts w:eastAsia="Calibri" w:cs="Calibri"/>
          <w:i/>
          <w:iCs/>
        </w:rPr>
        <w:t>Aangezien dit een conceptovereenkomst betreft kan deze derhalve niet ondertekend worden.</w:t>
      </w:r>
    </w:p>
    <w:p w14:paraId="15F02015" w14:textId="77777777" w:rsidR="00891BA2" w:rsidRDefault="002C6ECD">
      <w:pPr>
        <w:spacing w:before="239" w:after="239" w:line="240" w:lineRule="auto"/>
        <w:textAlignment w:val="top"/>
      </w:pPr>
      <w:r>
        <w:rPr>
          <w:rFonts w:eastAsia="Calibri" w:cs="Calibri"/>
        </w:rPr>
        <w:t> </w:t>
      </w:r>
    </w:p>
    <w:p w14:paraId="57B6C650" w14:textId="77777777" w:rsidR="003675A2" w:rsidRDefault="003675A2">
      <w:pPr>
        <w:pStyle w:val="Kop2"/>
        <w:spacing w:before="199" w:after="199" w:line="240" w:lineRule="auto"/>
      </w:pPr>
    </w:p>
    <w:p w14:paraId="380B8CF6" w14:textId="61D5875C" w:rsidR="00891BA2" w:rsidRDefault="002C6ECD">
      <w:pPr>
        <w:pStyle w:val="Kop2"/>
        <w:spacing w:before="199" w:after="199" w:line="240" w:lineRule="auto"/>
      </w:pPr>
      <w:r>
        <w:t>OVERZICHT BIJLAGEN</w:t>
      </w:r>
    </w:p>
    <w:p w14:paraId="2E2B9036" w14:textId="77777777" w:rsidR="00891BA2" w:rsidRDefault="002C6ECD">
      <w:pPr>
        <w:numPr>
          <w:ilvl w:val="0"/>
          <w:numId w:val="4"/>
        </w:numPr>
        <w:spacing w:line="240" w:lineRule="auto"/>
        <w:rPr>
          <w:rFonts w:ascii="Calibri" w:eastAsia="Calibri" w:hAnsi="Calibri" w:cs="Calibri"/>
        </w:rPr>
      </w:pPr>
      <w:r>
        <w:rPr>
          <w:rFonts w:eastAsia="Calibri" w:cs="Calibri"/>
        </w:rPr>
        <w:t>Het programma van eisen;</w:t>
      </w:r>
    </w:p>
    <w:p w14:paraId="58482F19" w14:textId="77777777" w:rsidR="00891BA2" w:rsidRDefault="002C6ECD">
      <w:pPr>
        <w:numPr>
          <w:ilvl w:val="0"/>
          <w:numId w:val="4"/>
        </w:numPr>
        <w:spacing w:line="240" w:lineRule="auto"/>
        <w:rPr>
          <w:rFonts w:ascii="Calibri" w:eastAsia="Calibri" w:hAnsi="Calibri" w:cs="Calibri"/>
        </w:rPr>
      </w:pPr>
      <w:r>
        <w:rPr>
          <w:rFonts w:eastAsia="Calibri" w:cs="Calibri"/>
        </w:rPr>
        <w:t>Het beschrijvend document;</w:t>
      </w:r>
    </w:p>
    <w:p w14:paraId="6443B6DC" w14:textId="77777777" w:rsidR="00891BA2" w:rsidRDefault="002C6ECD">
      <w:pPr>
        <w:numPr>
          <w:ilvl w:val="0"/>
          <w:numId w:val="4"/>
        </w:numPr>
        <w:spacing w:line="240" w:lineRule="auto"/>
        <w:rPr>
          <w:rFonts w:ascii="Calibri" w:eastAsia="Calibri" w:hAnsi="Calibri" w:cs="Calibri"/>
        </w:rPr>
      </w:pPr>
      <w:r>
        <w:rPr>
          <w:rFonts w:eastAsia="Calibri" w:cs="Calibri"/>
        </w:rPr>
        <w:t>De nota van inlichtingen;</w:t>
      </w:r>
    </w:p>
    <w:p w14:paraId="14CAFB87" w14:textId="21E3DD3D" w:rsidR="00891BA2" w:rsidRDefault="002C6ECD">
      <w:pPr>
        <w:numPr>
          <w:ilvl w:val="0"/>
          <w:numId w:val="4"/>
        </w:numPr>
        <w:spacing w:line="240" w:lineRule="auto"/>
        <w:rPr>
          <w:rFonts w:ascii="Calibri" w:eastAsia="Calibri" w:hAnsi="Calibri" w:cs="Calibri"/>
        </w:rPr>
      </w:pPr>
      <w:r>
        <w:rPr>
          <w:rFonts w:eastAsia="Calibri" w:cs="Calibri"/>
        </w:rPr>
        <w:t xml:space="preserve">GIBIT (versie </w:t>
      </w:r>
      <w:r w:rsidR="003C638F">
        <w:rPr>
          <w:rFonts w:eastAsia="Calibri" w:cs="Calibri"/>
        </w:rPr>
        <w:t>2020</w:t>
      </w:r>
      <w:r>
        <w:rPr>
          <w:rFonts w:eastAsia="Calibri" w:cs="Calibri"/>
        </w:rPr>
        <w:t>);</w:t>
      </w:r>
    </w:p>
    <w:p w14:paraId="4A202935" w14:textId="77777777" w:rsidR="00891BA2" w:rsidRDefault="002C6ECD">
      <w:pPr>
        <w:numPr>
          <w:ilvl w:val="0"/>
          <w:numId w:val="4"/>
        </w:numPr>
        <w:spacing w:line="240" w:lineRule="auto"/>
        <w:rPr>
          <w:rFonts w:ascii="Calibri" w:eastAsia="Calibri" w:hAnsi="Calibri" w:cs="Calibri"/>
        </w:rPr>
      </w:pPr>
      <w:r>
        <w:rPr>
          <w:rFonts w:eastAsia="Calibri" w:cs="Calibri"/>
        </w:rPr>
        <w:t>Contactpersonen Opdrachtgever;</w:t>
      </w:r>
    </w:p>
    <w:p w14:paraId="4ED9B4D0" w14:textId="77777777" w:rsidR="00891BA2" w:rsidRDefault="002C6ECD">
      <w:pPr>
        <w:numPr>
          <w:ilvl w:val="0"/>
          <w:numId w:val="4"/>
        </w:numPr>
        <w:spacing w:line="240" w:lineRule="auto"/>
        <w:rPr>
          <w:rFonts w:ascii="Calibri" w:eastAsia="Calibri" w:hAnsi="Calibri" w:cs="Calibri"/>
        </w:rPr>
      </w:pPr>
      <w:r>
        <w:rPr>
          <w:rFonts w:eastAsia="Calibri" w:cs="Calibri"/>
        </w:rPr>
        <w:t>Contactpersonen Leverancier.</w:t>
      </w:r>
    </w:p>
    <w:sectPr w:rsidR="00891BA2">
      <w:footerReference w:type="default" r:id="rId10"/>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8516" w14:textId="77777777" w:rsidR="001E6775" w:rsidRDefault="001E6775">
      <w:pPr>
        <w:spacing w:line="240" w:lineRule="auto"/>
      </w:pPr>
      <w:r>
        <w:separator/>
      </w:r>
    </w:p>
  </w:endnote>
  <w:endnote w:type="continuationSeparator" w:id="0">
    <w:p w14:paraId="67CF4F77" w14:textId="77777777" w:rsidR="001E6775" w:rsidRDefault="001E6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DejaVu Sans">
    <w:altName w:val="Verdan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2541" w14:textId="77777777" w:rsidR="00891BA2" w:rsidRDefault="002C6ECD">
    <w:pPr>
      <w:pStyle w:val="Voettekst"/>
      <w:tabs>
        <w:tab w:val="clear" w:pos="9026"/>
        <w:tab w:val="right" w:pos="9020"/>
      </w:tabs>
    </w:pPr>
    <w:r>
      <w:tab/>
    </w:r>
    <w:r>
      <w:tab/>
      <w:t xml:space="preserve">Pagina </w:t>
    </w:r>
    <w:r>
      <w:fldChar w:fldCharType="begin"/>
    </w:r>
    <w:r>
      <w:instrText>PAGE \* ARABIC</w:instrText>
    </w:r>
    <w:r>
      <w:fldChar w:fldCharType="separate"/>
    </w:r>
    <w:r w:rsidR="00841CED">
      <w:rPr>
        <w:noProof/>
      </w:rPr>
      <w:t>4</w:t>
    </w:r>
    <w:r>
      <w:fldChar w:fldCharType="end"/>
    </w:r>
    <w:r>
      <w:t xml:space="preserve"> van </w:t>
    </w:r>
    <w:r>
      <w:fldChar w:fldCharType="begin"/>
    </w:r>
    <w:r>
      <w:instrText>NUMPAGES \* ARABIC</w:instrText>
    </w:r>
    <w:r>
      <w:fldChar w:fldCharType="separate"/>
    </w:r>
    <w:r w:rsidR="00841CE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6F61" w14:textId="77777777" w:rsidR="001E6775" w:rsidRDefault="001E6775">
      <w:pPr>
        <w:spacing w:line="240" w:lineRule="auto"/>
      </w:pPr>
      <w:r>
        <w:separator/>
      </w:r>
    </w:p>
  </w:footnote>
  <w:footnote w:type="continuationSeparator" w:id="0">
    <w:p w14:paraId="741507D2" w14:textId="77777777" w:rsidR="001E6775" w:rsidRDefault="001E67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5C01"/>
    <w:multiLevelType w:val="multilevel"/>
    <w:tmpl w:val="CFFCAA14"/>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D01B79"/>
    <w:multiLevelType w:val="multilevel"/>
    <w:tmpl w:val="4C6AE2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C5E0A0A"/>
    <w:multiLevelType w:val="multilevel"/>
    <w:tmpl w:val="B7DC18A4"/>
    <w:lvl w:ilvl="0">
      <w:start w:val="1"/>
      <w:numFmt w:val="decimal"/>
      <w:pStyle w:val="ArticleLevel1"/>
      <w:lvlText w:val="Artikel %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587140A8"/>
    <w:multiLevelType w:val="multilevel"/>
    <w:tmpl w:val="503220F8"/>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E9A79CD"/>
    <w:multiLevelType w:val="hybridMultilevel"/>
    <w:tmpl w:val="09F65F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0A579E"/>
    <w:multiLevelType w:val="multilevel"/>
    <w:tmpl w:val="0EB48C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A2"/>
    <w:rsid w:val="000E2175"/>
    <w:rsid w:val="00122D32"/>
    <w:rsid w:val="00191E47"/>
    <w:rsid w:val="00196929"/>
    <w:rsid w:val="001E6775"/>
    <w:rsid w:val="002C6ECD"/>
    <w:rsid w:val="003226E9"/>
    <w:rsid w:val="003675A2"/>
    <w:rsid w:val="003749B7"/>
    <w:rsid w:val="00376C13"/>
    <w:rsid w:val="003A404B"/>
    <w:rsid w:val="003C638F"/>
    <w:rsid w:val="004007F6"/>
    <w:rsid w:val="00681435"/>
    <w:rsid w:val="00721B9F"/>
    <w:rsid w:val="00841CED"/>
    <w:rsid w:val="00891BA2"/>
    <w:rsid w:val="008927B4"/>
    <w:rsid w:val="008D3367"/>
    <w:rsid w:val="009C506D"/>
    <w:rsid w:val="009D4FE1"/>
    <w:rsid w:val="009F010D"/>
    <w:rsid w:val="00A721AA"/>
    <w:rsid w:val="00AA1C80"/>
    <w:rsid w:val="00AA4612"/>
    <w:rsid w:val="00AB424F"/>
    <w:rsid w:val="00AE01F3"/>
    <w:rsid w:val="00B44C53"/>
    <w:rsid w:val="00BB2BBE"/>
    <w:rsid w:val="00C93A9A"/>
    <w:rsid w:val="00CB02A0"/>
    <w:rsid w:val="00CE6E72"/>
    <w:rsid w:val="00FA43A9"/>
    <w:rsid w:val="00FE641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6F1E"/>
  <w15:docId w15:val="{E6F697B4-6459-4039-8FE8-1DE3542A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styleId="Hyperlink">
    <w:name w:val="Hyperlink"/>
    <w:uiPriority w:val="99"/>
    <w:unhideWhenUsed/>
    <w:qFormat/>
    <w:rsid w:val="00384242"/>
    <w:rPr>
      <w:color w:val="0563C1" w:themeColor="hyperlink"/>
      <w:u w:val="single"/>
    </w:rPr>
  </w:style>
  <w:style w:type="character" w:customStyle="1" w:styleId="Links">
    <w:name w:val="Links"/>
    <w:basedOn w:val="Hyperlink"/>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DejaVu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tabs>
        <w:tab w:val="num" w:pos="0"/>
      </w:tabs>
      <w:ind w:left="1418" w:hanging="1418"/>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tabs>
        <w:tab w:val="num" w:pos="0"/>
      </w:tabs>
      <w:ind w:left="1418" w:hanging="1418"/>
    </w:pPr>
  </w:style>
  <w:style w:type="paragraph" w:customStyle="1" w:styleId="ArticleLevel4">
    <w:name w:val="Article Level 4"/>
    <w:basedOn w:val="Standaard"/>
    <w:qFormat/>
    <w:rsid w:val="009818D2"/>
    <w:pPr>
      <w:tabs>
        <w:tab w:val="num" w:pos="0"/>
      </w:tabs>
      <w:ind w:left="1418" w:hanging="1418"/>
    </w:pPr>
  </w:style>
  <w:style w:type="paragraph" w:customStyle="1" w:styleId="ArticleLevel5">
    <w:name w:val="Article Level 5"/>
    <w:basedOn w:val="Standaard"/>
    <w:qFormat/>
    <w:rsid w:val="009818D2"/>
    <w:pPr>
      <w:tabs>
        <w:tab w:val="num" w:pos="0"/>
      </w:tabs>
      <w:ind w:left="1843" w:hanging="425"/>
    </w:pPr>
  </w:style>
  <w:style w:type="paragraph" w:customStyle="1" w:styleId="ArticleLevel6">
    <w:name w:val="Article Level 6"/>
    <w:basedOn w:val="Standaard"/>
    <w:qFormat/>
    <w:rsid w:val="00380DE6"/>
    <w:pPr>
      <w:tabs>
        <w:tab w:val="num" w:pos="0"/>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Standaard"/>
    <w:next w:val="Standaard"/>
    <w:link w:val="SubtitleCarPHPDOCX"/>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link w:val="BalloonTextCharPHPDOCX"/>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4007F6"/>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007F6"/>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841CED"/>
    <w:rPr>
      <w:sz w:val="16"/>
      <w:szCs w:val="16"/>
    </w:rPr>
  </w:style>
  <w:style w:type="paragraph" w:styleId="Tekstopmerking">
    <w:name w:val="annotation text"/>
    <w:basedOn w:val="Standaard"/>
    <w:link w:val="TekstopmerkingChar"/>
    <w:uiPriority w:val="99"/>
    <w:semiHidden/>
    <w:unhideWhenUsed/>
    <w:rsid w:val="00841C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1CED"/>
    <w:rPr>
      <w:sz w:val="20"/>
      <w:szCs w:val="20"/>
    </w:rPr>
  </w:style>
  <w:style w:type="paragraph" w:styleId="Onderwerpvanopmerking">
    <w:name w:val="annotation subject"/>
    <w:basedOn w:val="Tekstopmerking"/>
    <w:next w:val="Tekstopmerking"/>
    <w:link w:val="OnderwerpvanopmerkingChar"/>
    <w:uiPriority w:val="99"/>
    <w:semiHidden/>
    <w:unhideWhenUsed/>
    <w:rsid w:val="00841CED"/>
    <w:rPr>
      <w:b/>
      <w:bCs/>
    </w:rPr>
  </w:style>
  <w:style w:type="character" w:customStyle="1" w:styleId="OnderwerpvanopmerkingChar">
    <w:name w:val="Onderwerp van opmerking Char"/>
    <w:basedOn w:val="TekstopmerkingChar"/>
    <w:link w:val="Onderwerpvanopmerking"/>
    <w:uiPriority w:val="99"/>
    <w:semiHidden/>
    <w:rsid w:val="00841C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B16E913F4274C8DFA10C26D3A7CFE" ma:contentTypeVersion="6" ma:contentTypeDescription="Een nieuw document maken." ma:contentTypeScope="" ma:versionID="5c7dc0a438c1cd3776b675a176ccc89a">
  <xsd:schema xmlns:xsd="http://www.w3.org/2001/XMLSchema" xmlns:xs="http://www.w3.org/2001/XMLSchema" xmlns:p="http://schemas.microsoft.com/office/2006/metadata/properties" xmlns:ns2="986eedb6-8b6c-4c7a-b615-fa6a19aa6166" targetNamespace="http://schemas.microsoft.com/office/2006/metadata/properties" ma:root="true" ma:fieldsID="21cf5022a596f16ac640f6c5b81c0f4a" ns2:_="">
    <xsd:import namespace="986eedb6-8b6c-4c7a-b615-fa6a19aa6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eedb6-8b6c-4c7a-b615-fa6a19aa6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AF6C9-F5A0-401A-B1CE-8C57996E002F}">
  <ds:schemaRefs>
    <ds:schemaRef ds:uri="http://schemas.microsoft.com/sharepoint/v3/contenttype/forms"/>
  </ds:schemaRefs>
</ds:datastoreItem>
</file>

<file path=customXml/itemProps2.xml><?xml version="1.0" encoding="utf-8"?>
<ds:datastoreItem xmlns:ds="http://schemas.openxmlformats.org/officeDocument/2006/customXml" ds:itemID="{54EBEE79-1DD4-427C-8C08-66684E041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eedb6-8b6c-4c7a-b615-fa6a19aa6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C5439-DFF1-464A-925B-3910E58B1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1261</Words>
  <Characters>6937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Overeenkomst ten behoeve van ICT Prestatie</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dc:title>
  <dc:subject/>
  <dc:creator>Durk Boersma</dc:creator>
  <dc:description/>
  <cp:lastModifiedBy>Durk Boersma</cp:lastModifiedBy>
  <cp:revision>3</cp:revision>
  <dcterms:created xsi:type="dcterms:W3CDTF">2022-01-25T08:57:00Z</dcterms:created>
  <dcterms:modified xsi:type="dcterms:W3CDTF">2022-03-23T05:46:00Z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0x010100D39B16E913F4274C8DFA10C26D3A7CFE</vt:lpwstr>
  </property>
</Properties>
</file>