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72165855"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F42F16" w:rsidRPr="00F42F16">
        <w:rPr>
          <w:rFonts w:ascii="Verdana" w:hAnsi="Verdana"/>
          <w:b/>
          <w:lang w:val="en-GB"/>
        </w:rPr>
        <w:t>#</w:t>
      </w:r>
      <w:r w:rsidR="00B128BF" w:rsidRPr="00F42F16">
        <w:rPr>
          <w:rFonts w:ascii="Verdana" w:hAnsi="Verdana"/>
          <w:b/>
          <w:lang w:val="en-GB"/>
        </w:rPr>
        <w:t xml:space="preserve">: </w:t>
      </w:r>
      <w:r w:rsidR="00C7045C"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F42F16" w14:paraId="766F8F3E" w14:textId="77777777" w:rsidTr="0088318F">
        <w:trPr>
          <w:trHeight w:val="300"/>
        </w:trPr>
        <w:tc>
          <w:tcPr>
            <w:tcW w:w="1395"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785" w:type="dxa"/>
            <w:noWrap/>
            <w:hideMark/>
          </w:tcPr>
          <w:p w14:paraId="1486120F" w14:textId="06749D03" w:rsidR="0088318F" w:rsidRPr="00F42F16" w:rsidRDefault="00F42F16" w:rsidP="000A1081">
            <w:pPr>
              <w:pStyle w:val="Titel12pt"/>
              <w:ind w:left="72"/>
              <w:rPr>
                <w:sz w:val="18"/>
                <w:szCs w:val="18"/>
              </w:rPr>
            </w:pPr>
            <w:r w:rsidRPr="00F42F16">
              <w:rPr>
                <w:rFonts w:eastAsiaTheme="minorHAnsi" w:cstheme="minorBidi"/>
                <w:sz w:val="18"/>
                <w:szCs w:val="18"/>
                <w:lang w:val="en-US" w:eastAsia="en-US"/>
              </w:rPr>
              <w:t xml:space="preserve">European tender </w:t>
            </w:r>
            <w:r w:rsidRPr="00F42F16">
              <w:rPr>
                <w:rStyle w:val="Lijstalinea"/>
                <w:sz w:val="18"/>
                <w:szCs w:val="18"/>
              </w:rPr>
              <w:t>expert support to the Netherlands Enterprise Agency in developing IJmuiden Ver Wind Farm Zone (site</w:t>
            </w:r>
            <w:r>
              <w:rPr>
                <w:rStyle w:val="Lijstalinea"/>
                <w:sz w:val="18"/>
                <w:szCs w:val="18"/>
              </w:rPr>
              <w:t>s</w:t>
            </w:r>
            <w:r w:rsidRPr="00F42F16">
              <w:rPr>
                <w:rStyle w:val="Lijstalinea"/>
                <w:sz w:val="18"/>
                <w:szCs w:val="18"/>
              </w:rPr>
              <w:t xml:space="preserve"> I-VI)</w:t>
            </w:r>
          </w:p>
        </w:tc>
      </w:tr>
      <w:tr w:rsidR="0088318F" w:rsidRPr="00F42F16" w14:paraId="39B1BD9D" w14:textId="77777777" w:rsidTr="00F63735">
        <w:trPr>
          <w:trHeight w:val="300"/>
        </w:trPr>
        <w:tc>
          <w:tcPr>
            <w:tcW w:w="1395"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785"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r w:rsidR="00F42F16" w:rsidRPr="00F42F16" w14:paraId="78AB7585" w14:textId="77777777" w:rsidTr="00F63735">
        <w:trPr>
          <w:trHeight w:val="300"/>
        </w:trPr>
        <w:tc>
          <w:tcPr>
            <w:tcW w:w="1395" w:type="dxa"/>
            <w:noWrap/>
          </w:tcPr>
          <w:p w14:paraId="40BE63C3" w14:textId="691C2E40"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Lot no.</w:t>
            </w:r>
          </w:p>
        </w:tc>
        <w:tc>
          <w:tcPr>
            <w:tcW w:w="7785" w:type="dxa"/>
            <w:noWrap/>
          </w:tcPr>
          <w:p w14:paraId="630602EF" w14:textId="60DF86CC" w:rsidR="00F42F16" w:rsidRPr="00F42F16" w:rsidRDefault="00F42F16" w:rsidP="000A1081">
            <w:pPr>
              <w:pStyle w:val="Lijstalinea"/>
              <w:ind w:left="432"/>
              <w:rPr>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5CEE67A6" w14:textId="77777777" w:rsidR="000A1081" w:rsidRPr="00F42F16" w:rsidRDefault="000A1081" w:rsidP="000A1081">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14:paraId="410B401E" w14:textId="77777777" w:rsidR="000A1081" w:rsidRPr="00F42F16" w:rsidRDefault="000A1081" w:rsidP="000A1081">
      <w:pPr>
        <w:pStyle w:val="Lijstalinea"/>
        <w:numPr>
          <w:ilvl w:val="0"/>
          <w:numId w:val="13"/>
        </w:numPr>
        <w:rPr>
          <w:szCs w:val="18"/>
          <w:lang w:val="en-US"/>
        </w:rPr>
      </w:pPr>
      <w:r w:rsidRPr="00F42F16">
        <w:rPr>
          <w:rFonts w:cs="Verdana"/>
          <w:color w:val="000000"/>
          <w:szCs w:val="18"/>
          <w:lang w:val="en-US"/>
        </w:rPr>
        <w:t>Experience with providing expert support and/or technical consultancy services to governments and/or commercial developers for complex (technical) projects related to the development of offshore wind farms;</w:t>
      </w:r>
    </w:p>
    <w:p w14:paraId="67A79F8E" w14:textId="77777777" w:rsidR="000A1081" w:rsidRDefault="000A1081" w:rsidP="000A1081">
      <w:pPr>
        <w:pStyle w:val="Lijstalinea"/>
        <w:numPr>
          <w:ilvl w:val="0"/>
          <w:numId w:val="13"/>
        </w:numPr>
        <w:rPr>
          <w:szCs w:val="18"/>
          <w:lang w:val="en-US"/>
        </w:rPr>
      </w:pPr>
      <w:r w:rsidRPr="00F42F16">
        <w:rPr>
          <w:szCs w:val="18"/>
          <w:lang w:val="en-US"/>
        </w:rPr>
        <w:t>Capability to advise on and/or draw (technical) Scopes of Work for the procurement of desk studies and field studies as part of the site investigations to obtain data of the soil, wind and water conditions for the preliminary design and/or FEED of offshore wind farms.</w:t>
      </w:r>
    </w:p>
    <w:p w14:paraId="700DCFEB" w14:textId="64E47FE9" w:rsidR="000A1081" w:rsidRPr="000A1081" w:rsidRDefault="000A1081" w:rsidP="000A1081">
      <w:pPr>
        <w:pStyle w:val="Lijstalinea"/>
        <w:numPr>
          <w:ilvl w:val="0"/>
          <w:numId w:val="13"/>
        </w:numPr>
        <w:rPr>
          <w:szCs w:val="18"/>
          <w:lang w:val="en-US"/>
        </w:rPr>
      </w:pPr>
      <w:r w:rsidRPr="00F42F16">
        <w:rPr>
          <w:szCs w:val="18"/>
          <w:lang w:val="en-US"/>
        </w:rPr>
        <w:t>Capability to evaluate and/or  review offers, project execution plans, reports and other deliverables of desk studies and field studies as part of the site investigations to obtain data of the soil, wind and water conditions for the preliminary design and/or FEED of offshore wind farms.</w:t>
      </w:r>
      <w:r w:rsidRPr="00F42F16">
        <w:rPr>
          <w:szCs w:val="18"/>
          <w:lang w:val="en-US"/>
        </w:rPr>
        <w:br/>
      </w:r>
    </w:p>
    <w:tbl>
      <w:tblPr>
        <w:tblStyle w:val="Tabelraster"/>
        <w:tblW w:w="0" w:type="auto"/>
        <w:tblLook w:val="04A0" w:firstRow="1" w:lastRow="0" w:firstColumn="1" w:lastColumn="0" w:noHBand="0" w:noVBand="1"/>
      </w:tblPr>
      <w:tblGrid>
        <w:gridCol w:w="846"/>
        <w:gridCol w:w="8216"/>
      </w:tblGrid>
      <w:tr w:rsidR="00F42F16"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3AE64AA0"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 3 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77777777" w:rsidR="000A1081" w:rsidRDefault="000A1081"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r w:rsidR="000A1081" w14:paraId="41C7B24F" w14:textId="77777777" w:rsidTr="00B11816">
        <w:tc>
          <w:tcPr>
            <w:tcW w:w="846" w:type="dxa"/>
          </w:tcPr>
          <w:p w14:paraId="3E50D3C4" w14:textId="07DDFDD8"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6BEE5F6" w14:textId="77777777" w:rsidR="000A1081" w:rsidRDefault="000A1081" w:rsidP="000A1081">
            <w:pPr>
              <w:spacing w:line="240" w:lineRule="atLeast"/>
              <w:rPr>
                <w:rFonts w:ascii="Verdana" w:hAnsi="Verdana"/>
                <w:sz w:val="18"/>
                <w:szCs w:val="18"/>
                <w:lang w:val="en-GB"/>
              </w:rPr>
            </w:pPr>
          </w:p>
          <w:p w14:paraId="24076201" w14:textId="77777777" w:rsidR="000A1081" w:rsidRDefault="000A1081" w:rsidP="000A1081">
            <w:pPr>
              <w:spacing w:line="240" w:lineRule="atLeast"/>
              <w:rPr>
                <w:rFonts w:ascii="Verdana" w:hAnsi="Verdana"/>
                <w:sz w:val="18"/>
                <w:szCs w:val="18"/>
                <w:lang w:val="en-GB"/>
              </w:rPr>
            </w:pPr>
          </w:p>
          <w:p w14:paraId="3583CAA1" w14:textId="77777777" w:rsidR="000A1081" w:rsidRDefault="000A1081" w:rsidP="000A1081">
            <w:pPr>
              <w:spacing w:line="240" w:lineRule="atLeast"/>
              <w:rPr>
                <w:rFonts w:ascii="Verdana" w:hAnsi="Verdana"/>
                <w:sz w:val="18"/>
                <w:szCs w:val="18"/>
                <w:lang w:val="en-GB"/>
              </w:rPr>
            </w:pPr>
          </w:p>
          <w:p w14:paraId="7737E29D" w14:textId="77777777" w:rsidR="000A1081" w:rsidRDefault="000A1081" w:rsidP="000A1081">
            <w:pPr>
              <w:spacing w:line="240" w:lineRule="atLeast"/>
              <w:rPr>
                <w:rFonts w:ascii="Verdana" w:hAnsi="Verdana"/>
                <w:sz w:val="18"/>
                <w:szCs w:val="18"/>
                <w:lang w:val="en-GB"/>
              </w:rPr>
            </w:pPr>
          </w:p>
          <w:p w14:paraId="5B8D3099" w14:textId="7206BFDA" w:rsidR="000A1081" w:rsidRDefault="000A1081" w:rsidP="000A1081">
            <w:pPr>
              <w:spacing w:line="240" w:lineRule="atLeast"/>
              <w:rPr>
                <w:rFonts w:ascii="Verdana" w:hAnsi="Verdana"/>
                <w:sz w:val="18"/>
                <w:szCs w:val="18"/>
                <w:lang w:val="en-GB"/>
              </w:rPr>
            </w:pPr>
          </w:p>
          <w:p w14:paraId="07FAEFD5" w14:textId="77777777" w:rsidR="000A1081" w:rsidRDefault="000A1081" w:rsidP="000A1081">
            <w:pPr>
              <w:spacing w:line="240" w:lineRule="atLeast"/>
              <w:rPr>
                <w:rFonts w:ascii="Verdana" w:hAnsi="Verdana"/>
                <w:sz w:val="18"/>
                <w:szCs w:val="18"/>
                <w:lang w:val="en-GB"/>
              </w:rPr>
            </w:pPr>
          </w:p>
          <w:p w14:paraId="3DD8D09B" w14:textId="35FD9014" w:rsidR="000A1081" w:rsidRDefault="000A1081" w:rsidP="000A1081">
            <w:pPr>
              <w:spacing w:line="240" w:lineRule="atLeast"/>
              <w:rPr>
                <w:rFonts w:ascii="Verdana" w:hAnsi="Verdana"/>
                <w:sz w:val="18"/>
                <w:szCs w:val="18"/>
                <w:lang w:val="en-GB"/>
              </w:rPr>
            </w:pPr>
          </w:p>
        </w:tc>
      </w:tr>
      <w:tr w:rsidR="000A1081" w14:paraId="5ADF6577" w14:textId="77777777" w:rsidTr="00B11816">
        <w:tc>
          <w:tcPr>
            <w:tcW w:w="846" w:type="dxa"/>
          </w:tcPr>
          <w:p w14:paraId="3DE7FC5F" w14:textId="0121F0F5"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4A91F24" w14:textId="77777777" w:rsidR="000A1081" w:rsidRDefault="000A1081" w:rsidP="000A1081">
            <w:pPr>
              <w:spacing w:line="240" w:lineRule="atLeast"/>
              <w:rPr>
                <w:rFonts w:ascii="Verdana" w:hAnsi="Verdana"/>
                <w:sz w:val="18"/>
                <w:szCs w:val="18"/>
                <w:lang w:val="en-GB"/>
              </w:rPr>
            </w:pPr>
          </w:p>
          <w:p w14:paraId="79D0DBA3" w14:textId="77777777" w:rsidR="000A1081" w:rsidRDefault="000A1081" w:rsidP="000A1081">
            <w:pPr>
              <w:spacing w:line="240" w:lineRule="atLeast"/>
              <w:rPr>
                <w:rFonts w:ascii="Verdana" w:hAnsi="Verdana"/>
                <w:sz w:val="18"/>
                <w:szCs w:val="18"/>
                <w:lang w:val="en-GB"/>
              </w:rPr>
            </w:pPr>
          </w:p>
          <w:p w14:paraId="41240B7A" w14:textId="77777777" w:rsidR="000A1081" w:rsidRDefault="000A1081" w:rsidP="000A1081">
            <w:pPr>
              <w:spacing w:line="240" w:lineRule="atLeast"/>
              <w:rPr>
                <w:rFonts w:ascii="Verdana" w:hAnsi="Verdana"/>
                <w:sz w:val="18"/>
                <w:szCs w:val="18"/>
                <w:lang w:val="en-GB"/>
              </w:rPr>
            </w:pPr>
          </w:p>
          <w:p w14:paraId="0CB9FDF9" w14:textId="77777777" w:rsidR="000A1081" w:rsidRDefault="000A1081" w:rsidP="000A1081">
            <w:pPr>
              <w:spacing w:line="240" w:lineRule="atLeast"/>
              <w:rPr>
                <w:rFonts w:ascii="Verdana" w:hAnsi="Verdana"/>
                <w:sz w:val="18"/>
                <w:szCs w:val="18"/>
                <w:lang w:val="en-GB"/>
              </w:rPr>
            </w:pPr>
          </w:p>
          <w:p w14:paraId="79E63B42" w14:textId="40CF6591" w:rsidR="000A1081" w:rsidRDefault="000A1081" w:rsidP="000A1081">
            <w:pPr>
              <w:spacing w:line="240" w:lineRule="atLeast"/>
              <w:rPr>
                <w:rFonts w:ascii="Verdana" w:hAnsi="Verdana"/>
                <w:sz w:val="18"/>
                <w:szCs w:val="18"/>
                <w:lang w:val="en-GB"/>
              </w:rPr>
            </w:pPr>
          </w:p>
          <w:p w14:paraId="6F784570" w14:textId="77777777" w:rsidR="000A1081" w:rsidRDefault="000A1081" w:rsidP="000A1081">
            <w:pPr>
              <w:spacing w:line="240" w:lineRule="atLeast"/>
              <w:rPr>
                <w:rFonts w:ascii="Verdana" w:hAnsi="Verdana"/>
                <w:sz w:val="18"/>
                <w:szCs w:val="18"/>
                <w:lang w:val="en-GB"/>
              </w:rPr>
            </w:pPr>
          </w:p>
          <w:p w14:paraId="07C9917F" w14:textId="5650EECE" w:rsidR="000A1081" w:rsidRDefault="000A1081" w:rsidP="000A1081">
            <w:pPr>
              <w:spacing w:line="240" w:lineRule="atLeast"/>
              <w:rPr>
                <w:rFonts w:ascii="Verdana" w:hAnsi="Verdana"/>
                <w:sz w:val="18"/>
                <w:szCs w:val="18"/>
                <w:lang w:val="en-GB"/>
              </w:rPr>
            </w:pPr>
          </w:p>
        </w:tc>
      </w:tr>
    </w:tbl>
    <w:p w14:paraId="79643290" w14:textId="77777777" w:rsidR="00F42F16" w:rsidRPr="00F42F16" w:rsidRDefault="00F42F16" w:rsidP="000A1081">
      <w:pPr>
        <w:spacing w:line="240" w:lineRule="atLeast"/>
        <w:rPr>
          <w:rFonts w:ascii="Verdana" w:hAnsi="Verdana"/>
          <w:sz w:val="18"/>
          <w:szCs w:val="18"/>
          <w:lang w:val="en-GB"/>
        </w:rPr>
      </w:pPr>
    </w:p>
    <w:p w14:paraId="7E4CD4CE" w14:textId="77777777" w:rsidR="00A97931" w:rsidRPr="00F42F16" w:rsidRDefault="00A97931" w:rsidP="000A1081">
      <w:pPr>
        <w:spacing w:line="240" w:lineRule="atLeast"/>
        <w:rPr>
          <w:rFonts w:ascii="Verdana" w:hAnsi="Verdana"/>
          <w:sz w:val="18"/>
          <w:szCs w:val="18"/>
          <w:lang w:val="en-US"/>
        </w:rPr>
      </w:pPr>
    </w:p>
    <w:p w14:paraId="648CD028" w14:textId="77777777" w:rsidR="00A97931" w:rsidRPr="00F42F16" w:rsidRDefault="00A97931" w:rsidP="000A1081">
      <w:pPr>
        <w:spacing w:line="240" w:lineRule="atLeast"/>
        <w:rPr>
          <w:rFonts w:ascii="Verdana" w:hAnsi="Verdana"/>
          <w:sz w:val="18"/>
          <w:szCs w:val="18"/>
          <w:lang w:val="en-US"/>
        </w:rPr>
      </w:pPr>
    </w:p>
    <w:p w14:paraId="4608A7FA" w14:textId="22EBDE44" w:rsidR="000A1081" w:rsidRPr="000A1081" w:rsidRDefault="000A1081" w:rsidP="000A1081">
      <w:pPr>
        <w:spacing w:line="240" w:lineRule="atLeast"/>
        <w:rPr>
          <w:rFonts w:ascii="Verdana" w:hAnsi="Verdana"/>
          <w:sz w:val="18"/>
          <w:szCs w:val="18"/>
          <w:lang w:val="en-US"/>
        </w:rPr>
      </w:pPr>
      <w:r w:rsidRPr="000A1081">
        <w:rPr>
          <w:rStyle w:val="Standaard"/>
          <w:rFonts w:ascii="Verdana" w:hAnsi="Verdana"/>
          <w:sz w:val="18"/>
          <w:lang w:val="en-US"/>
        </w:rPr>
        <w:t xml:space="preserve">Tenderer declares that he has carried out at least one reference assignment </w:t>
      </w:r>
      <w:r w:rsidRPr="000A1081">
        <w:rPr>
          <w:rStyle w:val="Standaard"/>
          <w:rFonts w:ascii="Verdana" w:hAnsi="Verdana"/>
          <w:sz w:val="18"/>
          <w:u w:val="single"/>
          <w:lang w:val="en-US"/>
        </w:rPr>
        <w:t>for each of the core competences listed above</w:t>
      </w:r>
      <w:r w:rsidRPr="000A1081">
        <w:rPr>
          <w:rStyle w:val="Standaard"/>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Style w:val="Standaard"/>
          <w:rFonts w:ascii="Verdana" w:hAnsi="Verdana"/>
          <w:sz w:val="18"/>
          <w:lang w:val="en-US"/>
        </w:rPr>
        <w:t>The subject of the reference assignment must be comparable to the core competence in question.</w:t>
      </w:r>
    </w:p>
    <w:p w14:paraId="6CD39A88" w14:textId="77777777" w:rsidR="000A1081" w:rsidRPr="0087411A" w:rsidRDefault="000A1081" w:rsidP="000A1081">
      <w:pPr>
        <w:pStyle w:val="Bullet"/>
        <w:numPr>
          <w:ilvl w:val="0"/>
          <w:numId w:val="10"/>
        </w:numPr>
        <w:tabs>
          <w:tab w:val="clear" w:pos="720"/>
          <w:tab w:val="num" w:pos="426"/>
        </w:tabs>
        <w:ind w:left="426" w:hanging="426"/>
        <w:rPr>
          <w:szCs w:val="18"/>
        </w:rPr>
      </w:pPr>
      <w:r>
        <w:rPr>
          <w:rStyle w:val="Bullet"/>
        </w:rPr>
        <w:t xml:space="preserve">The reference assignment must have been executed or completed within </w:t>
      </w:r>
      <w:r w:rsidRPr="001C5EDC">
        <w:rPr>
          <w:rStyle w:val="Bullet"/>
        </w:rPr>
        <w:t xml:space="preserve">the </w:t>
      </w:r>
      <w:r w:rsidRPr="001C5EDC">
        <w:rPr>
          <w:rStyle w:val="Bullet"/>
          <w:u w:val="single"/>
        </w:rPr>
        <w:t>three</w:t>
      </w:r>
      <w:r w:rsidRPr="001C5EDC">
        <w:rPr>
          <w:rStyle w:val="Bullet"/>
        </w:rPr>
        <w:t xml:space="preserve"> years</w:t>
      </w:r>
      <w:r>
        <w:rPr>
          <w:rStyle w:val="Bullet"/>
        </w:rP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0CDC3B09" w14:textId="77777777" w:rsidR="000A1081" w:rsidRPr="0087411A" w:rsidRDefault="000A1081" w:rsidP="000A1081">
      <w:pPr>
        <w:pStyle w:val="Bullet"/>
        <w:numPr>
          <w:ilvl w:val="0"/>
          <w:numId w:val="0"/>
        </w:numPr>
      </w:pPr>
    </w:p>
    <w:p w14:paraId="77D183D6" w14:textId="77777777" w:rsidR="000A1081" w:rsidRDefault="000A1081" w:rsidP="000A1081">
      <w:pPr>
        <w:pStyle w:val="Bullet"/>
        <w:numPr>
          <w:ilvl w:val="0"/>
          <w:numId w:val="0"/>
        </w:numPr>
        <w:rPr>
          <w:rStyle w:val="Bullet"/>
          <w:rFonts w:ascii="Calibri" w:hAnsi="Calibri" w:cs="Calibri"/>
        </w:rPr>
      </w:pPr>
      <w:r>
        <w:rPr>
          <w:rStyle w:val="Bullet"/>
        </w:rPr>
        <w:t xml:space="preserve">The total value of the reference </w:t>
      </w:r>
      <w:r w:rsidRPr="001C5EDC">
        <w:rPr>
          <w:rStyle w:val="Bullet"/>
        </w:rPr>
        <w:t>assignment</w:t>
      </w:r>
      <w:r>
        <w:rPr>
          <w:rStyle w:val="Bullet"/>
        </w:rPr>
        <w:t>(</w:t>
      </w:r>
      <w:r w:rsidRPr="001C5EDC">
        <w:rPr>
          <w:rStyle w:val="Bullet"/>
        </w:rPr>
        <w:t>s) must be</w:t>
      </w:r>
      <w:r>
        <w:rPr>
          <w:rStyle w:val="Bullet"/>
        </w:rPr>
        <w:t xml:space="preserve"> at least: </w:t>
      </w:r>
      <w:r>
        <w:rPr>
          <w:rStyle w:val="Bullet"/>
        </w:rPr>
        <w:br/>
      </w:r>
      <w:r w:rsidRPr="001C5EDC">
        <w:rPr>
          <w:rStyle w:val="Bullet"/>
          <w:rFonts w:cs="Calibri"/>
          <w:szCs w:val="18"/>
        </w:rPr>
        <w:t xml:space="preserve">EUR 500.000 for Lot 1 </w:t>
      </w:r>
      <w:r w:rsidRPr="001C5EDC">
        <w:rPr>
          <w:rStyle w:val="Bullet"/>
          <w:rFonts w:cs="Calibri"/>
          <w:szCs w:val="18"/>
        </w:rPr>
        <w:br/>
        <w:t>EUR 200.000 for Lot 2</w:t>
      </w:r>
      <w:r w:rsidRPr="001C5EDC">
        <w:rPr>
          <w:rStyle w:val="Bullet"/>
          <w:rFonts w:ascii="Calibri" w:hAnsi="Calibri" w:cs="Calibri"/>
          <w:sz w:val="20"/>
          <w:szCs w:val="22"/>
        </w:rPr>
        <w:t xml:space="preserve"> </w:t>
      </w:r>
    </w:p>
    <w:p w14:paraId="3BBB9218" w14:textId="77777777" w:rsidR="000A1081" w:rsidRPr="0087411A" w:rsidRDefault="000A1081" w:rsidP="000A1081">
      <w:pPr>
        <w:pStyle w:val="Bullet"/>
        <w:numPr>
          <w:ilvl w:val="0"/>
          <w:numId w:val="0"/>
        </w:numPr>
        <w:rPr>
          <w:szCs w:val="18"/>
        </w:rPr>
      </w:pPr>
      <w:r>
        <w:rPr>
          <w:rStyle w:val="Bullet"/>
        </w:rPr>
        <w:t xml:space="preserve">This reference-assignment value must exclusively consist of the value of the aspects of the assignment that are equivalent to </w:t>
      </w:r>
      <w:r w:rsidRPr="00324BA9">
        <w:rPr>
          <w:rStyle w:val="Bullet"/>
        </w:rPr>
        <w:t>the services specified in this document. In case a series of separate yet significantly comparable assignments</w:t>
      </w:r>
      <w:r>
        <w:rPr>
          <w:rStyle w:val="Bullet"/>
        </w:rPr>
        <w:t xml:space="preserve"> was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rPr>
          <w:rStyle w:val="Standaard"/>
        </w:rPr>
      </w:pPr>
    </w:p>
    <w:p w14:paraId="638BE5E9" w14:textId="4DBAA321" w:rsidR="00C7045C" w:rsidRPr="00F42F16" w:rsidRDefault="000A1081" w:rsidP="000A1081">
      <w:pPr>
        <w:pStyle w:val="Bullet"/>
        <w:numPr>
          <w:ilvl w:val="0"/>
          <w:numId w:val="0"/>
        </w:numPr>
        <w:rPr>
          <w:szCs w:val="18"/>
          <w:lang w:val="en-US"/>
        </w:rPr>
      </w:pPr>
      <w:r>
        <w:rPr>
          <w:rStyle w:val="Standaard"/>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0"/>
  </w:num>
  <w:num w:numId="4">
    <w:abstractNumId w:val="14"/>
  </w:num>
  <w:num w:numId="5">
    <w:abstractNumId w:val="9"/>
  </w:num>
  <w:num w:numId="6">
    <w:abstractNumId w:val="5"/>
  </w:num>
  <w:num w:numId="7">
    <w:abstractNumId w:val="12"/>
  </w:num>
  <w:num w:numId="8">
    <w:abstractNumId w:val="1"/>
  </w:num>
  <w:num w:numId="9">
    <w:abstractNumId w:val="8"/>
  </w:num>
  <w:num w:numId="10">
    <w:abstractNumId w:val="13"/>
  </w:num>
  <w:num w:numId="11">
    <w:abstractNumId w:val="6"/>
  </w:num>
  <w:num w:numId="12">
    <w:abstractNumId w:val="2"/>
  </w:num>
  <w:num w:numId="13">
    <w:abstractNumId w:val="11"/>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1163B5"/>
    <w:rsid w:val="0012220F"/>
    <w:rsid w:val="001741A3"/>
    <w:rsid w:val="001D0524"/>
    <w:rsid w:val="001D22CB"/>
    <w:rsid w:val="001D2B7C"/>
    <w:rsid w:val="00270BA7"/>
    <w:rsid w:val="00287ED9"/>
    <w:rsid w:val="002D6A69"/>
    <w:rsid w:val="00315627"/>
    <w:rsid w:val="00327EAA"/>
    <w:rsid w:val="003348F1"/>
    <w:rsid w:val="003920B6"/>
    <w:rsid w:val="003C4D7B"/>
    <w:rsid w:val="003E3FD2"/>
    <w:rsid w:val="00484551"/>
    <w:rsid w:val="004C2CBF"/>
    <w:rsid w:val="005144CA"/>
    <w:rsid w:val="00521527"/>
    <w:rsid w:val="00556696"/>
    <w:rsid w:val="00574D7E"/>
    <w:rsid w:val="00596EBA"/>
    <w:rsid w:val="005D3120"/>
    <w:rsid w:val="005D518B"/>
    <w:rsid w:val="00617963"/>
    <w:rsid w:val="00622046"/>
    <w:rsid w:val="00637F1B"/>
    <w:rsid w:val="0064070A"/>
    <w:rsid w:val="0068070A"/>
    <w:rsid w:val="006A73A4"/>
    <w:rsid w:val="006D65E7"/>
    <w:rsid w:val="006F4BEB"/>
    <w:rsid w:val="0077503E"/>
    <w:rsid w:val="007F4BB5"/>
    <w:rsid w:val="0080172D"/>
    <w:rsid w:val="008048F2"/>
    <w:rsid w:val="008313E4"/>
    <w:rsid w:val="00875BA5"/>
    <w:rsid w:val="0088318F"/>
    <w:rsid w:val="00883FC8"/>
    <w:rsid w:val="008D0172"/>
    <w:rsid w:val="008D3AE8"/>
    <w:rsid w:val="00912324"/>
    <w:rsid w:val="00930D62"/>
    <w:rsid w:val="00973176"/>
    <w:rsid w:val="00982A65"/>
    <w:rsid w:val="009A196C"/>
    <w:rsid w:val="009B4A51"/>
    <w:rsid w:val="009D5CBF"/>
    <w:rsid w:val="00A63685"/>
    <w:rsid w:val="00A63DD3"/>
    <w:rsid w:val="00A8304C"/>
    <w:rsid w:val="00A97931"/>
    <w:rsid w:val="00AA2AB8"/>
    <w:rsid w:val="00AA7CE5"/>
    <w:rsid w:val="00B11816"/>
    <w:rsid w:val="00B128BF"/>
    <w:rsid w:val="00B155EE"/>
    <w:rsid w:val="00B31709"/>
    <w:rsid w:val="00B41C10"/>
    <w:rsid w:val="00BF6C59"/>
    <w:rsid w:val="00C7045C"/>
    <w:rsid w:val="00C92D1C"/>
    <w:rsid w:val="00CB7BA0"/>
    <w:rsid w:val="00D1380B"/>
    <w:rsid w:val="00D23734"/>
    <w:rsid w:val="00D3589E"/>
    <w:rsid w:val="00D722EA"/>
    <w:rsid w:val="00DB22FD"/>
    <w:rsid w:val="00E3049E"/>
    <w:rsid w:val="00EF08D3"/>
    <w:rsid w:val="00F378F8"/>
    <w:rsid w:val="00F42F16"/>
    <w:rsid w:val="00F63735"/>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be476110-ffbc-484f-8cdb-5d91f573c7b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f6de3f-8533-46c9-b674-8684a98825a1"/>
    <ds:schemaRef ds:uri="http://www.w3.org/XML/1998/namespace"/>
    <ds:schemaRef ds:uri="http://purl.org/dc/dcmitype/"/>
  </ds:schemaRefs>
</ds:datastoreItem>
</file>

<file path=customXml/itemProps4.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2465</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Man, drs. E.M. LLM de (Liesbeth)</cp:lastModifiedBy>
  <cp:revision>3</cp:revision>
  <cp:lastPrinted>2014-09-21T19:25:00Z</cp:lastPrinted>
  <dcterms:created xsi:type="dcterms:W3CDTF">2021-06-28T14:22:00Z</dcterms:created>
  <dcterms:modified xsi:type="dcterms:W3CDTF">2021-06-28T14:23:00Z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