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21A6" w14:textId="77777777" w:rsidR="004B6D30" w:rsidRDefault="00D27A43" w:rsidP="000E5945">
      <w:pPr>
        <w:spacing w:before="0" w:line="240" w:lineRule="auto"/>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3B55A756" w14:textId="77777777" w:rsidR="004B6D30" w:rsidRDefault="004B6D30">
      <w:pPr>
        <w:spacing w:before="0" w:line="240" w:lineRule="auto"/>
        <w:ind w:right="-144"/>
        <w:rPr>
          <w:rFonts w:ascii="Open Sans" w:hAnsi="Open Sans" w:cs="Open Sans"/>
          <w:color w:val="363636"/>
          <w:lang w:val="nl-NL"/>
        </w:rPr>
      </w:pPr>
    </w:p>
    <w:p w14:paraId="60015366" w14:textId="77777777"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2DE962FF" w14:textId="77777777" w:rsidR="004B6D30" w:rsidRDefault="004B6D30">
      <w:pPr>
        <w:spacing w:before="0" w:line="240" w:lineRule="auto"/>
        <w:ind w:right="-144"/>
        <w:rPr>
          <w:rFonts w:ascii="Open Sans" w:hAnsi="Open Sans" w:cs="Open Sans"/>
          <w:color w:val="363636"/>
          <w:lang w:val="nl-NL"/>
        </w:rPr>
      </w:pPr>
    </w:p>
    <w:p w14:paraId="6D879C89"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(inter)nationale beveiligingsnormen, jurisprudentie en richtsnoeren van de toezichthouder zijn aangegeven. </w:t>
      </w:r>
    </w:p>
    <w:p w14:paraId="068D340D" w14:textId="77777777" w:rsidR="004B6D30" w:rsidRDefault="004B6D30">
      <w:pPr>
        <w:spacing w:before="0" w:line="240" w:lineRule="auto"/>
        <w:ind w:right="-144"/>
        <w:rPr>
          <w:rFonts w:ascii="Open Sans" w:hAnsi="Open Sans" w:cs="Open Sans"/>
          <w:color w:val="363636"/>
          <w:lang w:val="nl-NL"/>
        </w:rPr>
      </w:pPr>
    </w:p>
    <w:p w14:paraId="721288FF"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4C1E9A45" w14:textId="77777777" w:rsidR="004B6D30" w:rsidRDefault="004B6D30">
      <w:pPr>
        <w:spacing w:before="0" w:line="240" w:lineRule="auto"/>
        <w:ind w:right="-144"/>
        <w:rPr>
          <w:rFonts w:ascii="Open Sans" w:hAnsi="Open Sans" w:cs="Open Sans"/>
          <w:color w:val="363636"/>
          <w:lang w:val="nl-NL"/>
        </w:rPr>
      </w:pPr>
    </w:p>
    <w:p w14:paraId="4D1117D1"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23CB8318" w14:textId="77777777" w:rsidR="004B6D30" w:rsidRDefault="004B6D30">
      <w:pPr>
        <w:spacing w:before="0" w:line="240" w:lineRule="auto"/>
        <w:ind w:right="-144"/>
        <w:rPr>
          <w:rFonts w:ascii="Open Sans" w:hAnsi="Open Sans" w:cs="Open Sans"/>
          <w:color w:val="363636"/>
          <w:lang w:val="nl-NL"/>
        </w:rPr>
      </w:pPr>
    </w:p>
    <w:p w14:paraId="51710536"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77E1CC1E"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14:paraId="2C60A37F"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126CF7B6" w14:textId="77777777" w:rsidR="004B6D30" w:rsidRDefault="004B6D30">
      <w:pPr>
        <w:spacing w:before="0" w:line="240" w:lineRule="auto"/>
        <w:ind w:right="-144"/>
        <w:rPr>
          <w:rFonts w:ascii="Open Sans" w:hAnsi="Open Sans" w:cs="Open Sans"/>
          <w:color w:val="363636"/>
          <w:lang w:val="nl-NL"/>
        </w:rPr>
      </w:pPr>
    </w:p>
    <w:p w14:paraId="7967B9E9" w14:textId="77777777"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14:paraId="1B5413B6" w14:textId="77777777" w:rsidR="004B6D30" w:rsidRDefault="004B6D30">
      <w:pPr>
        <w:spacing w:before="0" w:line="240" w:lineRule="auto"/>
        <w:ind w:right="-144"/>
        <w:rPr>
          <w:rFonts w:ascii="Open Sans" w:hAnsi="Open Sans" w:cs="Open Sans"/>
          <w:color w:val="363636"/>
          <w:lang w:val="nl-NL"/>
        </w:rPr>
      </w:pPr>
    </w:p>
    <w:p w14:paraId="0384EE89" w14:textId="77777777" w:rsidR="004B6D30" w:rsidRDefault="004B6D30">
      <w:pPr>
        <w:spacing w:before="0" w:line="240" w:lineRule="auto"/>
        <w:ind w:right="-144"/>
        <w:rPr>
          <w:rFonts w:ascii="Open Sans" w:hAnsi="Open Sans" w:cs="Open Sans"/>
          <w:color w:val="363636"/>
          <w:lang w:val="nl-NL"/>
        </w:rPr>
      </w:pPr>
    </w:p>
    <w:p w14:paraId="1DBFA0D7" w14:textId="77777777" w:rsidR="004B6D30" w:rsidRDefault="00D27A43">
      <w:pPr>
        <w:spacing w:before="0" w:line="240" w:lineRule="auto"/>
        <w:ind w:right="-144"/>
        <w:outlineLvl w:val="0"/>
      </w:pPr>
      <w:r>
        <w:rPr>
          <w:rFonts w:ascii="Open Sans" w:hAnsi="Open Sans" w:cs="Open Sans"/>
          <w:color w:val="363636"/>
          <w:lang w:val="nl-NL"/>
        </w:rPr>
        <w:t xml:space="preserve">Maart 2018 </w:t>
      </w:r>
    </w:p>
    <w:p w14:paraId="5B8A0BE1" w14:textId="77777777"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59F6A448" w14:textId="26714527" w:rsidR="004B6D30" w:rsidRDefault="00D27A43">
      <w:pPr>
        <w:pStyle w:val="Lijstalinea"/>
        <w:numPr>
          <w:ilvl w:val="0"/>
          <w:numId w:val="9"/>
        </w:numPr>
        <w:spacing w:before="96" w:after="48"/>
        <w:ind w:right="-144"/>
      </w:pPr>
      <w:r>
        <w:rPr>
          <w:rFonts w:ascii="Open Sans" w:hAnsi="Open Sans" w:cs="Open Sans"/>
          <w:color w:val="363636"/>
          <w:szCs w:val="18"/>
          <w:lang w:val="nl-NL"/>
        </w:rPr>
        <w:t xml:space="preserve">Het bevoegd gezag van </w:t>
      </w:r>
      <w:r w:rsidR="0064088D">
        <w:rPr>
          <w:rFonts w:ascii="Open Sans" w:hAnsi="Open Sans" w:cs="Open Sans"/>
          <w:color w:val="363636"/>
          <w:szCs w:val="18"/>
          <w:lang w:val="nl-NL"/>
        </w:rPr>
        <w:t>Onderwijsgroep Tilburg</w:t>
      </w:r>
      <w:r>
        <w:rPr>
          <w:rFonts w:ascii="Open Sans" w:hAnsi="Open Sans" w:cs="Open Sans"/>
          <w:color w:val="363636"/>
          <w:szCs w:val="18"/>
          <w:lang w:val="nl-NL"/>
        </w:rPr>
        <w:t xml:space="preserve">, geregistreerd onder </w:t>
      </w:r>
      <w:r w:rsidR="0064088D">
        <w:rPr>
          <w:rFonts w:ascii="Open Sans" w:hAnsi="Open Sans" w:cs="Open Sans"/>
          <w:color w:val="363636"/>
          <w:szCs w:val="18"/>
          <w:lang w:val="nl-NL"/>
        </w:rPr>
        <w:t>bestuurs</w:t>
      </w:r>
      <w:r>
        <w:rPr>
          <w:rFonts w:ascii="Open Sans" w:hAnsi="Open Sans" w:cs="Open Sans"/>
          <w:color w:val="363636"/>
          <w:szCs w:val="18"/>
          <w:lang w:val="nl-NL"/>
        </w:rPr>
        <w:t xml:space="preserve">nummer </w:t>
      </w:r>
      <w:r w:rsidR="0064088D">
        <w:rPr>
          <w:rFonts w:ascii="Open Sans" w:hAnsi="Open Sans" w:cs="Open Sans"/>
          <w:color w:val="363636"/>
          <w:szCs w:val="18"/>
          <w:lang w:val="nl-NL"/>
        </w:rPr>
        <w:t>31087</w:t>
      </w:r>
      <w:r>
        <w:rPr>
          <w:rFonts w:ascii="Open Sans" w:hAnsi="Open Sans" w:cs="Open Sans"/>
          <w:color w:val="363636"/>
          <w:szCs w:val="18"/>
          <w:lang w:val="nl-NL"/>
        </w:rPr>
        <w:t xml:space="preserve"> bij de Dienst Uitvoering Onderwijs van het Ministerie van Onderwijs, gevestigd en kantoorhoudende aan </w:t>
      </w:r>
      <w:r w:rsidR="0064088D">
        <w:rPr>
          <w:rFonts w:ascii="Open Sans" w:hAnsi="Open Sans" w:cs="Open Sans"/>
          <w:color w:val="363636"/>
          <w:szCs w:val="18"/>
          <w:lang w:val="nl-NL"/>
        </w:rPr>
        <w:t>Stappegoorweg 183</w:t>
      </w:r>
      <w:r>
        <w:rPr>
          <w:rFonts w:ascii="Open Sans" w:hAnsi="Open Sans" w:cs="Open Sans"/>
          <w:color w:val="363636"/>
          <w:szCs w:val="18"/>
          <w:lang w:val="nl-NL"/>
        </w:rPr>
        <w:t>, te</w:t>
      </w:r>
      <w:r w:rsidR="00317C98">
        <w:rPr>
          <w:rFonts w:ascii="Open Sans" w:hAnsi="Open Sans" w:cs="Open Sans"/>
          <w:color w:val="363636"/>
          <w:szCs w:val="18"/>
          <w:lang w:val="nl-NL"/>
        </w:rPr>
        <w:t xml:space="preserve"> 5022 DD</w:t>
      </w:r>
      <w:r w:rsidR="0064088D">
        <w:rPr>
          <w:rFonts w:ascii="Open Sans" w:hAnsi="Open Sans" w:cs="Open Sans"/>
          <w:color w:val="363636"/>
          <w:szCs w:val="18"/>
          <w:lang w:val="nl-NL"/>
        </w:rPr>
        <w:t>, Tilburg</w:t>
      </w:r>
      <w:r>
        <w:rPr>
          <w:rFonts w:ascii="Open Sans" w:hAnsi="Open Sans" w:cs="Open Sans"/>
          <w:color w:val="363636"/>
          <w:szCs w:val="18"/>
          <w:lang w:val="nl-NL"/>
        </w:rPr>
        <w:t xml:space="preserve">, te dezen rechtsgeldig vertegenwoordigd door </w:t>
      </w:r>
      <w:r w:rsidR="0064088D">
        <w:rPr>
          <w:rFonts w:ascii="Open Sans" w:hAnsi="Open Sans" w:cs="Open Sans"/>
          <w:color w:val="363636"/>
          <w:szCs w:val="18"/>
          <w:lang w:val="nl-NL"/>
        </w:rPr>
        <w:t>de heer F.P.A. van der Westerlaken, voorzitter College van Bestuur</w:t>
      </w:r>
      <w:r>
        <w:rPr>
          <w:rFonts w:ascii="Open Sans" w:hAnsi="Open Sans" w:cs="Open Sans"/>
          <w:color w:val="363636"/>
          <w:szCs w:val="18"/>
          <w:lang w:val="nl-NL"/>
        </w:rPr>
        <w: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66094D6C"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0DEC1E53"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14:paraId="365413D2" w14:textId="77777777" w:rsidR="004B6D30" w:rsidRDefault="004B6D30">
      <w:pPr>
        <w:spacing w:before="96" w:after="48" w:line="240" w:lineRule="auto"/>
        <w:ind w:right="-144"/>
        <w:rPr>
          <w:rFonts w:ascii="Open Sans" w:hAnsi="Open Sans" w:cs="Open Sans"/>
          <w:color w:val="363636"/>
          <w:szCs w:val="18"/>
          <w:lang w:val="nl-NL"/>
        </w:rPr>
      </w:pPr>
    </w:p>
    <w:p w14:paraId="52892592" w14:textId="77777777"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72733A69" w14:textId="77777777" w:rsidR="004B6D30" w:rsidRDefault="004B6D30">
      <w:pPr>
        <w:spacing w:before="96" w:after="48" w:line="240" w:lineRule="auto"/>
        <w:ind w:right="-144"/>
        <w:rPr>
          <w:rFonts w:ascii="Open Sans" w:hAnsi="Open Sans" w:cs="Open Sans"/>
          <w:b/>
          <w:color w:val="363636"/>
          <w:szCs w:val="18"/>
          <w:u w:val="single"/>
          <w:lang w:val="nl-NL"/>
        </w:rPr>
      </w:pPr>
    </w:p>
    <w:p w14:paraId="4994CF52"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6CE25C52" w14:textId="77777777" w:rsidR="004B6D30" w:rsidRDefault="004B6D30">
      <w:pPr>
        <w:spacing w:before="96" w:after="48" w:line="240" w:lineRule="auto"/>
        <w:ind w:right="-144"/>
        <w:rPr>
          <w:rFonts w:ascii="Open Sans" w:hAnsi="Open Sans" w:cs="Open Sans"/>
          <w:color w:val="363636"/>
          <w:szCs w:val="18"/>
          <w:lang w:val="nl-NL"/>
        </w:rPr>
      </w:pPr>
    </w:p>
    <w:p w14:paraId="42FCA655" w14:textId="77777777" w:rsidR="004B6D30" w:rsidRDefault="00D27A43">
      <w:pPr>
        <w:pStyle w:val="Lijstalinea"/>
        <w:numPr>
          <w:ilvl w:val="0"/>
          <w:numId w:val="10"/>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7185DE1F" w14:textId="77777777"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37A743E6" w14:textId="77777777" w:rsidR="004B6D30" w:rsidRDefault="004B6D30">
      <w:pPr>
        <w:pStyle w:val="Lijstalinea"/>
        <w:spacing w:before="96" w:after="48"/>
        <w:ind w:left="720" w:right="-144"/>
        <w:rPr>
          <w:rFonts w:ascii="Open Sans" w:hAnsi="Open Sans" w:cs="Open Sans"/>
          <w:color w:val="363636"/>
          <w:szCs w:val="18"/>
          <w:lang w:val="nl-NL"/>
        </w:rPr>
      </w:pPr>
    </w:p>
    <w:p w14:paraId="26E4931E"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29ECA118" w14:textId="77777777" w:rsidR="004B6D30" w:rsidRDefault="004B6D30">
      <w:pPr>
        <w:pStyle w:val="Lijstalinea"/>
        <w:spacing w:before="96" w:after="48"/>
        <w:ind w:left="720" w:right="-144"/>
        <w:rPr>
          <w:rFonts w:ascii="Open Sans" w:hAnsi="Open Sans" w:cs="Open Sans"/>
          <w:color w:val="363636"/>
          <w:szCs w:val="18"/>
          <w:lang w:val="nl-NL"/>
        </w:rPr>
      </w:pPr>
    </w:p>
    <w:p w14:paraId="75ECDC39"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1AC973FD"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3D737F5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12E9CD1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14:paraId="2E6D5E3F"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34C5528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10FBF55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14:paraId="2D00AEF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14:paraId="0E457D8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1AED22D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zoals geformuleerd in deze Verwerkersovereenkomst of in de </w:t>
      </w:r>
      <w:r>
        <w:rPr>
          <w:rFonts w:ascii="Open Sans" w:hAnsi="Open Sans" w:cs="Open Sans"/>
          <w:color w:val="363636"/>
          <w:szCs w:val="18"/>
          <w:lang w:val="nl-NL"/>
        </w:rPr>
        <w:lastRenderedPageBreak/>
        <w:t xml:space="preserve">Product- en Dienstenovereenkomst. Instructies worden verstrekt door en aan de contactpersonen van partijen zoals die zijn opgenomen in de Bijlage(n); </w:t>
      </w:r>
    </w:p>
    <w:p w14:paraId="165E95E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45A9AC2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193E9AA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11BFD8E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07EFEBE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1A39F7A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14:paraId="3CDE896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4048FB3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14:paraId="4AD9866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1606041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7FD6FA8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755624FF"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Subverwerker: de partij die door Verwerker wordt ingeschakeld als Verwerker ten behoeve van de Verwerking van de Persoonsgegevens in het kader van de Model Verwerkersovereenkomst en de Product- en Dienstenovereenkomst;</w:t>
      </w:r>
    </w:p>
    <w:p w14:paraId="04D6329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285E95C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w:t>
      </w:r>
      <w:r>
        <w:rPr>
          <w:rFonts w:ascii="Open Sans" w:hAnsi="Open Sans" w:cs="Open Sans"/>
          <w:color w:val="363636"/>
          <w:szCs w:val="18"/>
          <w:lang w:val="nl-NL"/>
        </w:rPr>
        <w:lastRenderedPageBreak/>
        <w:t>betreffende de Verwerking van Persoonsgegevens, tevens omvattende toekomstige wijziging hiervan en/of aanvulling hierop, inclusief lidstaatrechtelijke uitvoeringswetten van de AVG en de Telecommunicatiewet.</w:t>
      </w:r>
    </w:p>
    <w:p w14:paraId="4FA3E5FA" w14:textId="77777777" w:rsidR="004B6D30" w:rsidRDefault="004B6D30">
      <w:pPr>
        <w:spacing w:before="96" w:after="48" w:line="240" w:lineRule="auto"/>
        <w:ind w:left="360" w:right="-144"/>
        <w:rPr>
          <w:rFonts w:ascii="Open Sans" w:hAnsi="Open Sans" w:cs="Open Sans"/>
          <w:color w:val="363636"/>
          <w:szCs w:val="18"/>
          <w:lang w:val="nl-NL"/>
        </w:rPr>
      </w:pPr>
    </w:p>
    <w:p w14:paraId="5DBA91F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597FA5DF"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110B4BBC"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7965181A"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365A8F1D" w14:textId="77777777" w:rsidR="004B6D30" w:rsidRDefault="004B6D30">
      <w:pPr>
        <w:spacing w:before="0" w:line="240" w:lineRule="auto"/>
        <w:rPr>
          <w:rFonts w:ascii="Open Sans" w:hAnsi="Open Sans" w:cs="Open Sans"/>
          <w:b/>
          <w:color w:val="363636"/>
          <w:szCs w:val="18"/>
          <w:lang w:val="nl-NL"/>
        </w:rPr>
      </w:pPr>
    </w:p>
    <w:p w14:paraId="4B311424"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34DE834B"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575FA265"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0AE5E7D8"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0FBF334" w14:textId="77777777"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2"/>
      </w:r>
      <w:r>
        <w:rPr>
          <w:rFonts w:ascii="Open Sans" w:hAnsi="Open Sans" w:cs="Open Sans"/>
          <w:color w:val="363636"/>
          <w:szCs w:val="18"/>
          <w:lang w:val="nl-NL"/>
        </w:rPr>
        <w:t xml:space="preserve"> die onder hun verantwoordelijkheid plaatsvinden. </w:t>
      </w:r>
    </w:p>
    <w:p w14:paraId="4CADF266"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48390B18"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Onderwijsinstelling en Verwerker verstrekken elkaar over en weer alle benodigde informatie teneinde een goede naleving van de Toepasselijke wet- en regelgeving betreffende de Verwerking van Persoonsgegevens mogelijk te maken.</w:t>
      </w:r>
    </w:p>
    <w:p w14:paraId="4F6B81F7" w14:textId="77777777" w:rsidR="004B6D30" w:rsidRDefault="004B6D30">
      <w:pPr>
        <w:pStyle w:val="Lijstalinea"/>
        <w:spacing w:before="96" w:after="48"/>
        <w:ind w:left="720" w:right="-144"/>
        <w:rPr>
          <w:rFonts w:ascii="Open Sans" w:hAnsi="Open Sans" w:cs="Open Sans"/>
          <w:color w:val="363636"/>
          <w:szCs w:val="18"/>
          <w:lang w:val="nl-NL"/>
        </w:rPr>
      </w:pPr>
    </w:p>
    <w:p w14:paraId="6A65D04C"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14:paraId="5EF4DF34" w14:textId="77777777"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14:paraId="7323C7CC" w14:textId="77777777" w:rsidR="004B6D30" w:rsidRDefault="004B6D30">
      <w:pPr>
        <w:pStyle w:val="Lijstalinea"/>
        <w:spacing w:before="96" w:after="48"/>
        <w:ind w:left="720" w:right="-144"/>
        <w:rPr>
          <w:rFonts w:ascii="Open Sans" w:hAnsi="Open Sans" w:cs="Open Sans"/>
          <w:color w:val="363636"/>
          <w:szCs w:val="18"/>
          <w:lang w:val="nl-NL"/>
        </w:rPr>
      </w:pPr>
    </w:p>
    <w:p w14:paraId="3EB4CB41" w14:textId="77777777"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14:paraId="38E6570D"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77A670C6"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14:paraId="47416114"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Verwerker dient in de Privacybijsluiter aan te geven of de Privacybijsluiter ziet op een Leermiddel en Toets en/of een School- en Leerlinginformatiemiddel. Verwerker specificeert in de Privacybijsluiter voor welke, door de Verwerkersverantwoordelijke vastgestelde, doeleinden persoonsgegevens worden verwerkt bij het gebruik zijn product en/of dienst, en welke categorieën Persoonsgegevens daarbij worden verwerkt</w:t>
      </w:r>
    </w:p>
    <w:p w14:paraId="32360D90"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5EB32A39" w14:textId="77777777" w:rsidR="004B6D30" w:rsidRDefault="00D27A43">
      <w:pPr>
        <w:pStyle w:val="Geenafstand"/>
        <w:numPr>
          <w:ilvl w:val="0"/>
          <w:numId w:val="15"/>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OiN)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1A67AF8A" w14:textId="77777777" w:rsidR="004B6D30" w:rsidRDefault="004B6D30">
      <w:pPr>
        <w:pageBreakBefore/>
        <w:spacing w:before="0" w:line="240" w:lineRule="auto"/>
      </w:pPr>
    </w:p>
    <w:p w14:paraId="16C60B04" w14:textId="77777777" w:rsidR="004B6D30" w:rsidRDefault="00D27A43">
      <w:pPr>
        <w:pStyle w:val="Lijstalinea"/>
        <w:numPr>
          <w:ilvl w:val="0"/>
          <w:numId w:val="15"/>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46A14FAD" w14:textId="77777777" w:rsidR="004B6D30" w:rsidRDefault="00D27A43">
      <w:pPr>
        <w:pStyle w:val="Lijstalinea"/>
        <w:numPr>
          <w:ilvl w:val="1"/>
          <w:numId w:val="15"/>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357A74AB"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14:paraId="35DA8F46"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1CB75164"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3FBA1E74"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622F19A9" w14:textId="77777777" w:rsidR="004B6D30" w:rsidRDefault="004B6D30">
      <w:pPr>
        <w:pStyle w:val="Lijstalinea"/>
        <w:spacing w:before="96" w:after="48"/>
        <w:ind w:left="720" w:right="-144"/>
        <w:rPr>
          <w:rFonts w:ascii="Open Sans" w:hAnsi="Open Sans" w:cs="Open Sans"/>
          <w:color w:val="363636"/>
          <w:szCs w:val="18"/>
          <w:lang w:val="nl-NL"/>
        </w:rPr>
      </w:pPr>
    </w:p>
    <w:p w14:paraId="43F85A36"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29A9A016"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Subverwerkers,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6B6F36FE"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14:paraId="249DA7A9"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4F35BBC3"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5B70F89C"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17FE7189"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w:t>
      </w:r>
      <w:r>
        <w:rPr>
          <w:rFonts w:ascii="Open Sans" w:hAnsi="Open Sans" w:cs="Open Sans"/>
          <w:color w:val="363636"/>
          <w:szCs w:val="18"/>
          <w:lang w:val="nl-NL"/>
        </w:rPr>
        <w:lastRenderedPageBreak/>
        <w:t>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175647B9"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14:paraId="640A4B76" w14:textId="77777777" w:rsidR="004B6D30" w:rsidRDefault="004B6D30">
      <w:pPr>
        <w:spacing w:before="96" w:after="48" w:line="240" w:lineRule="auto"/>
        <w:ind w:right="-144"/>
        <w:rPr>
          <w:rFonts w:ascii="Open Sans" w:hAnsi="Open Sans" w:cs="Open Sans"/>
          <w:b/>
          <w:color w:val="363636"/>
          <w:szCs w:val="18"/>
          <w:lang w:val="nl-NL"/>
        </w:rPr>
      </w:pPr>
    </w:p>
    <w:p w14:paraId="79FDE41A"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1C24AB6A"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45D0BFA0"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745426DA"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5B636F35"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10AE2165"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0343CAB4"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5AC418E8"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2FFC5AFF"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7F3BA387"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w:t>
      </w:r>
      <w:r>
        <w:rPr>
          <w:rFonts w:ascii="Open Sans" w:hAnsi="Open Sans" w:cs="Open Sans"/>
          <w:color w:val="363636"/>
          <w:szCs w:val="18"/>
          <w:lang w:val="nl-NL"/>
        </w:rPr>
        <w:lastRenderedPageBreak/>
        <w:t xml:space="preserve">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2DFD6968" w14:textId="77777777"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w:t>
      </w:r>
      <w:r w:rsidR="003F03B7">
        <w:rPr>
          <w:rFonts w:ascii="Open Sans" w:hAnsi="Open Sans" w:cs="Open Sans"/>
          <w:color w:val="363636"/>
          <w:szCs w:val="18"/>
          <w:lang w:val="nl-NL"/>
        </w:rPr>
        <w:t xml:space="preserve">door </w:t>
      </w:r>
      <w:r>
        <w:rPr>
          <w:rFonts w:ascii="Open Sans" w:hAnsi="Open Sans" w:cs="Open Sans"/>
          <w:color w:val="363636"/>
          <w:szCs w:val="18"/>
          <w:lang w:val="nl-NL"/>
        </w:rPr>
        <w:t xml:space="preserve">Verwerker, in overleg met Onderwijsinstelling, in te schakelen externe deskundige die een derden-verklaring (TPM) afgeeft. </w:t>
      </w:r>
    </w:p>
    <w:p w14:paraId="6DC17BE4"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32BAD41D"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446820CB"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69BEF7CA"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E34FDBC" w14:textId="77777777" w:rsidR="004B6D30" w:rsidRDefault="004B6D30">
      <w:pPr>
        <w:pStyle w:val="Geenafstand"/>
        <w:spacing w:before="96" w:after="48"/>
        <w:ind w:right="-144"/>
        <w:rPr>
          <w:rFonts w:ascii="Open Sans" w:hAnsi="Open Sans" w:cs="Open Sans"/>
          <w:color w:val="363636"/>
          <w:szCs w:val="18"/>
          <w:lang w:val="nl-NL"/>
        </w:rPr>
      </w:pPr>
    </w:p>
    <w:p w14:paraId="31F71114"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6E5708CD" w14:textId="77777777"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1BF986D4"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4EB62B49"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14:paraId="3DA7792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5CE044CE"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14:paraId="22BC790A"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geval van het Datalek waarschijnlijk een hoog risico inhoudt voor de rechten en vrijheden van natuurlijke personen, zal de Onderwijsinstelling de Betrokkenen informeren over het Datalek. </w:t>
      </w:r>
    </w:p>
    <w:p w14:paraId="337C452F"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4176D9AA"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07893470"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35AD72D2" w14:textId="77777777" w:rsidR="004B6D30" w:rsidRDefault="004B6D30">
      <w:pPr>
        <w:spacing w:before="96" w:after="48" w:line="240" w:lineRule="auto"/>
        <w:ind w:right="-144"/>
        <w:rPr>
          <w:rFonts w:ascii="Open Sans" w:hAnsi="Open Sans" w:cs="Open Sans"/>
          <w:b/>
          <w:color w:val="363636"/>
          <w:szCs w:val="18"/>
          <w:lang w:val="nl-NL"/>
        </w:rPr>
      </w:pPr>
    </w:p>
    <w:p w14:paraId="5A1ABCBA" w14:textId="77777777"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14:paraId="4EC70EA0" w14:textId="77777777"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4588EEE9" w14:textId="77777777"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314231DE"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537FE797"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een gegevensbeschermingseffectbeoordeling (DPIA) en een eventuele daaruit voortkomende verplichte voorafgaande raadpleging van de Autoriteit Persoonsgegevens;</w:t>
      </w:r>
    </w:p>
    <w:p w14:paraId="6CE472CE"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131538B5"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302D3293"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50F9FB6E"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212F967C" w14:textId="77777777" w:rsidR="004B6D30" w:rsidRDefault="004B6D30">
      <w:pPr>
        <w:spacing w:before="96" w:after="48" w:line="240" w:lineRule="auto"/>
        <w:ind w:right="-144"/>
        <w:rPr>
          <w:rFonts w:ascii="Open Sans" w:hAnsi="Open Sans" w:cs="Open Sans"/>
          <w:color w:val="363636"/>
          <w:szCs w:val="18"/>
          <w:lang w:val="nl-NL"/>
        </w:rPr>
      </w:pPr>
    </w:p>
    <w:p w14:paraId="39ACDFA0"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380BC907"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w:t>
      </w:r>
      <w:r>
        <w:rPr>
          <w:rFonts w:ascii="Open Sans" w:hAnsi="Open Sans" w:cs="Open Sans"/>
          <w:color w:val="363636"/>
          <w:szCs w:val="18"/>
          <w:lang w:val="nl-NL"/>
        </w:rPr>
        <w:lastRenderedPageBreak/>
        <w:t>aan de Verwerking Schriftelijk op de hoogte van deze bepaling, tenzij die wetgeving deze kennisgeving om gewichtige redenen van algemeen belang verbiedt.</w:t>
      </w:r>
    </w:p>
    <w:p w14:paraId="372BEB75"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2AF4C025" w14:textId="77777777" w:rsidR="004B6D30" w:rsidRDefault="004B6D30">
      <w:pPr>
        <w:spacing w:before="96" w:after="48" w:line="240" w:lineRule="auto"/>
        <w:ind w:right="-144"/>
        <w:rPr>
          <w:rFonts w:ascii="Open Sans" w:hAnsi="Open Sans" w:cs="Open Sans"/>
          <w:b/>
          <w:color w:val="363636"/>
          <w:szCs w:val="18"/>
          <w:lang w:val="nl-NL"/>
        </w:rPr>
      </w:pPr>
    </w:p>
    <w:p w14:paraId="0A7C20B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11: Inschakeling Subverwerker</w:t>
      </w:r>
    </w:p>
    <w:p w14:paraId="56FFB4B7"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Subverwerkers, van wie de identiteit en vestigingsgegevens zijn opgenomen in de Privacybijsluiter. </w:t>
      </w:r>
    </w:p>
    <w:p w14:paraId="2AC4BF14"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p>
    <w:p w14:paraId="58E319A3"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Subverwerker.</w:t>
      </w:r>
    </w:p>
    <w:p w14:paraId="1B5B64F9" w14:textId="77777777" w:rsidR="004B6D30" w:rsidRDefault="004B6D30">
      <w:pPr>
        <w:spacing w:before="96" w:after="48" w:line="240" w:lineRule="auto"/>
        <w:ind w:right="-144"/>
        <w:rPr>
          <w:rFonts w:ascii="Open Sans" w:hAnsi="Open Sans" w:cs="Open Sans"/>
          <w:color w:val="363636"/>
          <w:szCs w:val="18"/>
          <w:lang w:val="nl-NL"/>
        </w:rPr>
      </w:pPr>
    </w:p>
    <w:p w14:paraId="1C3D675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7AB362DA"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4EE44001"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2578351D"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Verwerker zal Onderwijsinstelling (schriftelijk of elektronisch) bevestigen dat vernietiging van de Verwerkte persoonsgegevens heeft plaatsgevonden. </w:t>
      </w:r>
    </w:p>
    <w:p w14:paraId="0F9A6FB5"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zal alle Subverwerkers die betrokken zijn bij de Verwerking van de Persoonsgegevens op de hoogte stellen van een beëindiging van de Verwerkers-overeenkomst en zal waarborgen dat alle Subverwerkers de Persoonsgegevens (laten) vernietigen.</w:t>
      </w:r>
    </w:p>
    <w:p w14:paraId="32BC21E3" w14:textId="77777777" w:rsidR="004B6D30" w:rsidRDefault="004B6D30">
      <w:pPr>
        <w:spacing w:before="96" w:after="48" w:line="240" w:lineRule="auto"/>
        <w:ind w:right="-144"/>
        <w:rPr>
          <w:rFonts w:ascii="Open Sans" w:hAnsi="Open Sans" w:cs="Open Sans"/>
          <w:color w:val="363636"/>
          <w:szCs w:val="18"/>
          <w:lang w:val="nl-NL"/>
        </w:rPr>
      </w:pPr>
    </w:p>
    <w:p w14:paraId="766CBE9A" w14:textId="77777777"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14:paraId="44D9228A"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590EE711"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14:paraId="2BC35656"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7FD3EEF0" w14:textId="77777777"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00827B41"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28BF2F14"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497DCA2A" w14:textId="77777777" w:rsidR="004B6D30" w:rsidRDefault="004B6D30">
      <w:pPr>
        <w:pStyle w:val="Geenafstand"/>
        <w:spacing w:before="96" w:after="48"/>
        <w:ind w:right="-144"/>
        <w:rPr>
          <w:rFonts w:ascii="Open Sans" w:hAnsi="Open Sans" w:cs="Open Sans"/>
          <w:color w:val="363636"/>
          <w:szCs w:val="18"/>
          <w:lang w:val="nl-NL"/>
        </w:rPr>
      </w:pPr>
    </w:p>
    <w:p w14:paraId="79C17F90"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0F47B8CB"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4D88F26D"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19C91FA9"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w:t>
      </w:r>
      <w:r>
        <w:rPr>
          <w:rFonts w:ascii="Open Sans" w:hAnsi="Open Sans" w:cs="Open Sans"/>
          <w:color w:val="363636"/>
          <w:szCs w:val="18"/>
          <w:lang w:val="nl-NL"/>
        </w:rPr>
        <w:lastRenderedPageBreak/>
        <w:t>Persoonsgegevens en de doeleinden waaronder de Persoonsgegevens worden Verwerkt. De wijzigingen zullen in Bijlage 1 worden opgenomen.</w:t>
      </w:r>
    </w:p>
    <w:p w14:paraId="53D044A0"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77E58ABC"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3C083B9E" w14:textId="77777777" w:rsidR="004B6D30" w:rsidRDefault="004B6D30">
      <w:pPr>
        <w:pStyle w:val="Geenafstand"/>
        <w:spacing w:before="96" w:after="48"/>
        <w:ind w:left="720" w:right="-144"/>
        <w:rPr>
          <w:rFonts w:ascii="Open Sans" w:hAnsi="Open Sans" w:cs="Open Sans"/>
          <w:color w:val="363636"/>
          <w:szCs w:val="18"/>
          <w:lang w:val="nl-NL"/>
        </w:rPr>
      </w:pPr>
    </w:p>
    <w:p w14:paraId="22E3F6D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1E8152CD"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62523AE4"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07AA346B" w14:textId="77777777" w:rsidR="004B6D30" w:rsidRDefault="004B6D30">
      <w:pPr>
        <w:pStyle w:val="Geenafstand"/>
        <w:spacing w:before="96" w:after="48"/>
        <w:ind w:right="-144"/>
        <w:rPr>
          <w:rFonts w:ascii="Open Sans" w:hAnsi="Open Sans" w:cs="Open Sans"/>
          <w:color w:val="363636"/>
          <w:szCs w:val="18"/>
          <w:lang w:val="nl-NL"/>
        </w:rPr>
      </w:pPr>
    </w:p>
    <w:p w14:paraId="27A99C74" w14:textId="77777777" w:rsidR="004B6D30" w:rsidRDefault="004B6D30">
      <w:pPr>
        <w:pStyle w:val="Geenafstand"/>
        <w:spacing w:before="96" w:after="48"/>
        <w:ind w:right="-144"/>
        <w:rPr>
          <w:rFonts w:ascii="Open Sans" w:hAnsi="Open Sans" w:cs="Open Sans"/>
          <w:color w:val="363636"/>
          <w:szCs w:val="18"/>
          <w:lang w:val="nl-NL"/>
        </w:rPr>
      </w:pPr>
    </w:p>
    <w:p w14:paraId="30E3CEBB" w14:textId="77777777"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2E7EA571"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4B9D9ACB"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7848472B" w14:textId="16732C6B" w:rsidR="004B6D30" w:rsidRDefault="0064088D">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Onderwijsgroep Tilburg</w:t>
      </w:r>
    </w:p>
    <w:p w14:paraId="07DF2C45" w14:textId="77777777" w:rsidR="004B6D30" w:rsidRDefault="004B6D30">
      <w:pPr>
        <w:pStyle w:val="Geenafstand"/>
        <w:spacing w:before="96" w:after="48"/>
        <w:ind w:right="-144"/>
        <w:rPr>
          <w:rFonts w:ascii="Open Sans" w:hAnsi="Open Sans" w:cs="Open Sans"/>
          <w:color w:val="363636"/>
          <w:szCs w:val="18"/>
          <w:lang w:val="nl-NL"/>
        </w:rPr>
      </w:pPr>
    </w:p>
    <w:p w14:paraId="17B1F90F" w14:textId="77777777" w:rsidR="004B6D30" w:rsidRDefault="004B6D30">
      <w:pPr>
        <w:pStyle w:val="Geenafstand"/>
        <w:spacing w:before="96" w:after="48"/>
        <w:ind w:right="-144"/>
        <w:rPr>
          <w:rFonts w:ascii="Open Sans" w:hAnsi="Open Sans" w:cs="Open Sans"/>
          <w:color w:val="363636"/>
          <w:szCs w:val="18"/>
          <w:lang w:val="nl-NL"/>
        </w:rPr>
      </w:pPr>
    </w:p>
    <w:p w14:paraId="21AC6B73" w14:textId="77777777" w:rsidR="004B6D30" w:rsidRDefault="004B6D30">
      <w:pPr>
        <w:pStyle w:val="Geenafstand"/>
        <w:spacing w:before="96" w:after="48"/>
        <w:ind w:right="-144"/>
        <w:rPr>
          <w:rFonts w:ascii="Open Sans" w:hAnsi="Open Sans" w:cs="Open Sans"/>
          <w:color w:val="363636"/>
          <w:szCs w:val="18"/>
          <w:lang w:val="nl-NL"/>
        </w:rPr>
      </w:pPr>
    </w:p>
    <w:p w14:paraId="6EA2DAB0"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78AC8FD0" w14:textId="14BAFC1E"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sidR="0064088D">
        <w:rPr>
          <w:rFonts w:ascii="Open Sans" w:hAnsi="Open Sans" w:cs="Open Sans"/>
          <w:color w:val="363636"/>
          <w:szCs w:val="18"/>
          <w:lang w:val="nl-NL"/>
        </w:rPr>
        <w:tab/>
        <w:t xml:space="preserve"> F.P.A. van der Westerlaken</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0F1624C3" w14:textId="328A2CBB"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sidR="0064088D">
        <w:rPr>
          <w:rFonts w:ascii="Open Sans" w:hAnsi="Open Sans" w:cs="Open Sans"/>
          <w:color w:val="363636"/>
          <w:szCs w:val="18"/>
          <w:lang w:val="nl-NL"/>
        </w:rPr>
        <w:t xml:space="preserve"> Voorzitter College van Bestuur</w:t>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5F8D0C9A" w14:textId="6D07F320"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41295FE3" w14:textId="3D06E5D8" w:rsidR="004B6D30" w:rsidRDefault="004B6D30">
      <w:pPr>
        <w:pStyle w:val="Geenafstand"/>
        <w:spacing w:before="96" w:after="48"/>
        <w:ind w:right="-144"/>
        <w:rPr>
          <w:rFonts w:ascii="Open Sans" w:hAnsi="Open Sans" w:cs="Open Sans"/>
          <w:color w:val="363636"/>
          <w:szCs w:val="18"/>
          <w:lang w:val="nl-NL"/>
        </w:rPr>
      </w:pPr>
    </w:p>
    <w:p w14:paraId="4CAC6ABB" w14:textId="77777777" w:rsidR="0064088D" w:rsidRDefault="0064088D">
      <w:pPr>
        <w:pStyle w:val="Geenafstand"/>
        <w:spacing w:before="96" w:after="48"/>
        <w:ind w:right="-144"/>
        <w:rPr>
          <w:rFonts w:ascii="Open Sans" w:hAnsi="Open Sans" w:cs="Open Sans"/>
          <w:color w:val="363636"/>
          <w:szCs w:val="18"/>
          <w:lang w:val="nl-NL"/>
        </w:rPr>
      </w:pPr>
    </w:p>
    <w:p w14:paraId="6B506F8A" w14:textId="77777777"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14:paraId="07D3E671"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673C2057" w14:textId="77777777" w:rsidR="004B6D30" w:rsidRDefault="00D27A43">
      <w:pPr>
        <w:pageBreakBefore/>
        <w:spacing w:before="0" w:line="240" w:lineRule="auto"/>
        <w:outlineLvl w:val="0"/>
      </w:pPr>
      <w:r>
        <w:rPr>
          <w:rFonts w:ascii="Open Sans" w:hAnsi="Open Sans" w:cs="Open Sans"/>
          <w:b/>
          <w:color w:val="008FA6"/>
          <w:sz w:val="28"/>
          <w:szCs w:val="40"/>
          <w:lang w:val="nl-NL"/>
        </w:rPr>
        <w:lastRenderedPageBreak/>
        <w:t>BIJLAGE 1: PRIVACYBIJSLUITER [naam product/dienst]</w:t>
      </w:r>
    </w:p>
    <w:p w14:paraId="08B198A7" w14:textId="77777777"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2039F97D"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6B24FA70"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Het gebruik van deze Privacybijsluiter helpt Onderwijsinstellingen om beter te begrijpen </w:t>
      </w:r>
      <w:bookmarkStart w:id="0" w:name="_GoBack"/>
      <w:bookmarkEnd w:id="0"/>
      <w:r>
        <w:rPr>
          <w:rFonts w:ascii="Open Sans" w:hAnsi="Open Sans" w:cs="Open Sans"/>
          <w:i/>
          <w:color w:val="363636"/>
          <w:lang w:val="nl-NL"/>
        </w:rPr>
        <w:t>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14:paraId="04A88637"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50319245" w14:textId="77777777"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58240" behindDoc="1" locked="0" layoutInCell="1" allowOverlap="1" wp14:anchorId="2005E7FF" wp14:editId="1DA1ED04">
                <wp:simplePos x="0" y="0"/>
                <wp:positionH relativeFrom="margin">
                  <wp:posOffset>-168275</wp:posOffset>
                </wp:positionH>
                <wp:positionV relativeFrom="paragraph">
                  <wp:posOffset>153670</wp:posOffset>
                </wp:positionV>
                <wp:extent cx="6076946" cy="923928"/>
                <wp:effectExtent l="0" t="0" r="19685" b="28575"/>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32D49766" id="Afgeronde rechthoek 1" o:spid="_x0000_s1026" style="position:absolute;margin-left:-13.25pt;margin-top:12.1pt;width:478.5pt;height:72.75pt;z-index:-25165824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18C533F1" w14:textId="77777777" w:rsidR="004B6D30" w:rsidRDefault="00D27A43">
      <w:pPr>
        <w:spacing w:before="96" w:after="48" w:line="240" w:lineRule="auto"/>
        <w:ind w:right="-144"/>
      </w:pPr>
      <w:r>
        <w:rPr>
          <w:rFonts w:ascii="Open Sans" w:hAnsi="Open Sans" w:cs="Open Sans"/>
          <w:i/>
          <w:color w:val="FFFFFF"/>
          <w:lang w:val="nl-NL"/>
        </w:rPr>
        <w:t>Voor specifieke branches zoals uitgevers, distributeurs en leveranciers van student- en leerling-administratiesystemen, kunnen specifieke privacybijsluiters worden gemaakt die gebaseerd zijn op dit model. Deze specifieke modellen zijn afgestemd door de Initiatiefnemers van het Convenant. De modellen zijn te vinden op de website van het Platform: www.edu-k.nl/ibp.</w:t>
      </w:r>
    </w:p>
    <w:p w14:paraId="606653FB" w14:textId="77777777" w:rsidR="004B6D30" w:rsidRDefault="004B6D30">
      <w:pPr>
        <w:spacing w:before="96" w:after="48" w:line="240" w:lineRule="auto"/>
        <w:ind w:right="-144"/>
        <w:rPr>
          <w:rFonts w:ascii="Open Sans" w:hAnsi="Open Sans" w:cs="Open Sans"/>
          <w:b/>
          <w:color w:val="363636"/>
          <w:u w:val="single"/>
          <w:lang w:val="nl-NL"/>
        </w:rPr>
      </w:pPr>
    </w:p>
    <w:p w14:paraId="50B09D33"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228B7F47"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5C9E80C9"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47BF8F7D" w14:textId="77777777"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1AF07A8A" w14:textId="4B7B19AF"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w:t>
      </w:r>
      <w:r w:rsidR="0064088D">
        <w:rPr>
          <w:rFonts w:ascii="Open Sans" w:hAnsi="Open Sans" w:cs="Open Sans"/>
          <w:color w:val="363636"/>
          <w:lang w:val="nl-NL"/>
        </w:rPr>
        <w:t>g en werking product en dienst</w:t>
      </w:r>
      <w:r w:rsidR="0064088D">
        <w:rPr>
          <w:rFonts w:ascii="Open Sans" w:hAnsi="Open Sans" w:cs="Open Sans"/>
          <w:color w:val="363636"/>
          <w:lang w:val="nl-NL"/>
        </w:rPr>
        <w:tab/>
      </w:r>
      <w:r>
        <w:rPr>
          <w:rFonts w:ascii="Open Sans" w:hAnsi="Open Sans" w:cs="Open Sans"/>
          <w:color w:val="363636"/>
          <w:lang w:val="nl-NL"/>
        </w:rPr>
        <w:t xml:space="preserve">: </w:t>
      </w:r>
    </w:p>
    <w:p w14:paraId="1699C897" w14:textId="749FE3B1"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Doelgroep (zoals po/vo, onderbouw/bovenbouw) :</w:t>
      </w:r>
    </w:p>
    <w:p w14:paraId="24B11522"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38848FBF"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508B566C" w14:textId="77777777" w:rsidR="004B6D30" w:rsidRDefault="004B6D30">
      <w:pPr>
        <w:tabs>
          <w:tab w:val="left" w:pos="3686"/>
        </w:tabs>
        <w:spacing w:before="96" w:after="48" w:line="240" w:lineRule="auto"/>
        <w:ind w:right="-144"/>
        <w:rPr>
          <w:rFonts w:ascii="Open Sans" w:hAnsi="Open Sans" w:cs="Open Sans"/>
          <w:b/>
          <w:color w:val="363636"/>
          <w:u w:val="single"/>
          <w:lang w:val="nl-NL"/>
        </w:rPr>
      </w:pPr>
    </w:p>
    <w:p w14:paraId="0C7F4461" w14:textId="77777777"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096EFA3C"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01827DBB" w14:textId="77777777"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061E2FAD" w14:textId="77777777"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4F17B0ED" w14:textId="77777777"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14:paraId="5AEB5875" w14:textId="77777777"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14:paraId="11AD71B9" w14:textId="77777777"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14:paraId="45F08B4A"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381C81DB"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38AE7E95" w14:textId="77777777" w:rsidR="004B6D30" w:rsidRDefault="004B6D30">
      <w:pPr>
        <w:spacing w:before="96" w:after="48" w:line="240" w:lineRule="auto"/>
        <w:ind w:right="-144"/>
        <w:rPr>
          <w:rFonts w:ascii="Open Sans" w:hAnsi="Open Sans" w:cs="Open Sans"/>
          <w:i/>
          <w:iCs/>
          <w:color w:val="363636"/>
          <w:lang w:val="nl-NL"/>
        </w:rPr>
      </w:pPr>
    </w:p>
    <w:p w14:paraId="193AF3AC" w14:textId="77777777"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05A2C349" w14:textId="77777777"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502A8B07" w14:textId="77777777" w:rsidR="004B6D30" w:rsidRDefault="00D27A43">
      <w:pPr>
        <w:spacing w:before="96" w:after="48" w:line="240" w:lineRule="auto"/>
        <w:ind w:right="-144"/>
      </w:pPr>
      <w:r>
        <w:rPr>
          <w:rFonts w:ascii="Open Sans" w:hAnsi="Open Sans" w:cs="Open Sans"/>
          <w:i/>
          <w:iCs/>
          <w:color w:val="363636"/>
          <w:lang w:val="nl-NL"/>
        </w:rPr>
        <w:t>De Onderwijsinstelling dient een keuze te maken en daarbij opdracht te geven om persoonsgegevens te verwerken, voor het afnemen van deze diensten. Dat kan door de keuze schriftelijk aan te geven in deze bijlage (bijvoorbeeld door het aanvinken van een tick-box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0B247EA3" w14:textId="77777777"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121AE6B2" w14:textId="77777777" w:rsidR="004B6D30" w:rsidRDefault="004B6D30">
      <w:pPr>
        <w:spacing w:before="96" w:after="48" w:line="240" w:lineRule="auto"/>
        <w:ind w:right="-144"/>
        <w:rPr>
          <w:rFonts w:ascii="Open Sans" w:hAnsi="Open Sans" w:cs="Open Sans"/>
          <w:b/>
          <w:color w:val="363636"/>
          <w:u w:val="single"/>
          <w:lang w:val="nl-NL"/>
        </w:rPr>
      </w:pPr>
    </w:p>
    <w:p w14:paraId="2D10E5F9"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7C535AD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24D1050F"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14:paraId="01BBDC35"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II. (tevens) leverancier is van een School- en Leerlinginformatiemiddel.</w:t>
      </w:r>
    </w:p>
    <w:p w14:paraId="1EFB82DF"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31D85F89"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54D5CFED"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2996AA0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14060D8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toetsmateriaal te kunnen verkrijgen dat is afgestemd op de specifieke leerbehoefte van een Onderwijsdeelnemer; </w:t>
      </w:r>
    </w:p>
    <w:p w14:paraId="47421AA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4E06843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6B0B073F"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2121F0DA"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2E21A381"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5B8A4A34"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634D8B86"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30EE7D54"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484ADDB3"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7B28023A"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48EA61FB"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62BDBE36" w14:textId="77777777" w:rsidR="004B6D30" w:rsidRDefault="00D27A43">
      <w:pPr>
        <w:pStyle w:val="Tekstopmerking"/>
        <w:rPr>
          <w:rFonts w:ascii="Open Sans" w:hAnsi="Open Sans" w:cs="Open Sans"/>
          <w:color w:val="363636"/>
          <w:lang w:val="nl-NL"/>
        </w:rPr>
      </w:pPr>
      <w:r>
        <w:rPr>
          <w:rFonts w:ascii="Open Sans" w:hAnsi="Open Sans" w:cs="Open Sans"/>
          <w:color w:val="363636"/>
          <w:lang w:val="nl-NL"/>
        </w:rPr>
        <w:t>Ad II. (Alleen) indien de Verwerker (tevens) leverancier is van een digitaal product en/of digitale dienst bestaande uit een School- en Leerlinginformatiemiddel dan zijn de volgende mogelijke doelstellingen van gegevensverwerking in het kader van deze producten en diensten van toepassing:</w:t>
      </w:r>
    </w:p>
    <w:p w14:paraId="24370A4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6E9194B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62030B4B"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14:paraId="29D51BC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6F9791D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14:paraId="24C291D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5761A984"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58B10092"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196FD62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72776C5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6A83F4B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14:paraId="6350B3E0"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2A118193"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partijen betrokken bij de invulling van stage of leer-/ werkplekken voor zover noodzakelijk en wettelijk toegestaan;</w:t>
      </w:r>
    </w:p>
    <w:p w14:paraId="7CA4BF23"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5745A0A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lastRenderedPageBreak/>
        <w:t>b. het geleverd krijgen/in gebruik kunnen nemen van Digitale Onderwijsmiddelen conform de afspraken die zijn gemaakt tussen de Onderwijsinstelling en de Leverancier;</w:t>
      </w:r>
    </w:p>
    <w:p w14:paraId="2530A865"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56B8E4FC"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0E357D87"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351D5FB0"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42ECACE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0CB18B6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123CFF4D"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491AF880" w14:textId="77777777" w:rsidR="004B6D30" w:rsidRDefault="004B6D30">
      <w:pPr>
        <w:spacing w:before="96" w:after="48" w:line="240" w:lineRule="auto"/>
        <w:rPr>
          <w:rFonts w:ascii="Open Sans" w:hAnsi="Open Sans" w:cs="Open Sans"/>
          <w:i/>
          <w:color w:val="363636"/>
          <w:lang w:val="nl-NL"/>
        </w:rPr>
      </w:pPr>
    </w:p>
    <w:p w14:paraId="2ABC23F0"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0EBB751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439"/>
        <w:gridCol w:w="2630"/>
        <w:gridCol w:w="4854"/>
      </w:tblGrid>
      <w:tr w:rsidR="004B6D30" w14:paraId="6792C806"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488706EF"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7F21DF07"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51761870"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3A945522"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14:paraId="3622B805"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83BF"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E9A3" w14:textId="77777777"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F559"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7D2E16B8"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6C2A844F"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14:paraId="47BCF53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7241"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0AAB" w14:textId="77777777"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210E" w14:textId="77777777"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14:paraId="38D8456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3F97" w14:textId="77777777"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94531" w14:textId="77777777"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051A1" w14:textId="77777777" w:rsidR="004B6D30" w:rsidRDefault="004B6D30">
            <w:pPr>
              <w:spacing w:line="240" w:lineRule="auto"/>
              <w:jc w:val="both"/>
              <w:rPr>
                <w:rFonts w:ascii="Open Sans" w:hAnsi="Open Sans" w:cs="Open Sans"/>
                <w:color w:val="363636"/>
                <w:lang w:val="nl-NL"/>
              </w:rPr>
            </w:pPr>
          </w:p>
        </w:tc>
      </w:tr>
      <w:tr w:rsidR="004B6D30" w14:paraId="54765C1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AADC5" w14:textId="77777777"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515B" w14:textId="77777777"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2F463" w14:textId="77777777"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14:paraId="4123FDD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8E92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597A" w14:textId="77777777"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9522" w14:textId="77777777" w:rsidR="004B6D30" w:rsidRDefault="00D27A43">
            <w:pPr>
              <w:spacing w:line="240" w:lineRule="auto"/>
              <w:jc w:val="both"/>
            </w:pPr>
            <w:r>
              <w:rPr>
                <w:rFonts w:ascii="Open Sans" w:hAnsi="Open Sans" w:cs="Open Sans"/>
                <w:color w:val="363636"/>
                <w:szCs w:val="22"/>
                <w:lang w:val="nl-NL"/>
              </w:rPr>
              <w:t xml:space="preserve">gegevens die noodzakelijk zijn met het oog op de gezondheid of het welzijn van de </w:t>
            </w:r>
            <w:r>
              <w:rPr>
                <w:rFonts w:ascii="Open Sans" w:hAnsi="Open Sans" w:cs="Open Sans"/>
                <w:color w:val="363636"/>
                <w:szCs w:val="22"/>
                <w:lang w:val="nl-NL"/>
              </w:rPr>
              <w:lastRenderedPageBreak/>
              <w:t>betrokkene of op eigen verzoek, een en ander voor zover noodzakelijk voor het onderwijs;</w:t>
            </w:r>
          </w:p>
        </w:tc>
      </w:tr>
      <w:tr w:rsidR="004B6D30" w14:paraId="0810EC8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D555"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E883" w14:textId="77777777"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99C5" w14:textId="77777777"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14:paraId="2546BFDA"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F3909"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CC02"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5C58"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518959DC"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1D49281D"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1A949630"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51526503" w14:textId="77777777"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14:paraId="60F9F90F"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Begeleiding onderwijsdeelnemers, inclusief handelingplan</w:t>
            </w:r>
          </w:p>
          <w:p w14:paraId="70D48D89"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14:paraId="16EF6A7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C412"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B105" w14:textId="77777777"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D56C" w14:textId="77777777"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14:paraId="628181C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8BED"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EE3F" w14:textId="77777777"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FB723"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14:paraId="1454852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3EE9"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3548"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CD52" w14:textId="77777777"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14:paraId="2665A2B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5E6A5"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EC81"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70347" w14:textId="77777777"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14:paraId="4EBA4E87"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449"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D63"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02C6" w14:textId="77777777"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14:paraId="42F05D4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80C2"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8C02" w14:textId="77777777"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1A65" w14:textId="77777777" w:rsidR="004B6D30" w:rsidRDefault="004B6D30">
            <w:pPr>
              <w:spacing w:line="240" w:lineRule="auto"/>
              <w:jc w:val="both"/>
              <w:rPr>
                <w:rFonts w:ascii="Open Sans" w:hAnsi="Open Sans" w:cs="Open Sans"/>
                <w:color w:val="363636"/>
                <w:szCs w:val="22"/>
                <w:lang w:val="nl-NL"/>
              </w:rPr>
            </w:pPr>
          </w:p>
        </w:tc>
      </w:tr>
      <w:tr w:rsidR="004B6D30" w14:paraId="6395C50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806D3"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9ACD" w14:textId="77777777"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959E"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unieke iD voor de 'educatieve contentketen'. hiermee kunnen onderwijsinstellingen gegevens delen, zonder dat ze direct herleidbaar zijn naar onderwijsdeelnemers of docenten.</w:t>
            </w:r>
          </w:p>
        </w:tc>
      </w:tr>
    </w:tbl>
    <w:p w14:paraId="03B3CC40" w14:textId="77777777" w:rsidR="004B6D30" w:rsidRDefault="004B6D30">
      <w:pPr>
        <w:spacing w:before="96" w:after="48" w:line="240" w:lineRule="auto"/>
        <w:ind w:right="-144"/>
        <w:rPr>
          <w:rFonts w:ascii="Open Sans" w:hAnsi="Open Sans" w:cs="Open Sans"/>
          <w:color w:val="363636"/>
          <w:lang w:val="nl-NL"/>
        </w:rPr>
      </w:pPr>
    </w:p>
    <w:p w14:paraId="23AF63A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lastRenderedPageBreak/>
        <w:t>3. Door de Verwerker te hanteren specifieke bewaartermijnen van Persoonsgegevens (of toetsingscriteria om dit vast te stellen):</w:t>
      </w:r>
    </w:p>
    <w:p w14:paraId="1A8EE48C" w14:textId="77777777" w:rsidR="004B6D30" w:rsidRDefault="00D27A43">
      <w:pPr>
        <w:spacing w:before="96" w:after="48" w:line="240" w:lineRule="auto"/>
        <w:ind w:right="-144"/>
      </w:pPr>
      <w:r>
        <w:rPr>
          <w:rFonts w:ascii="Open Sans" w:hAnsi="Open Sans" w:cs="Open Sans"/>
          <w:color w:val="363636"/>
          <w:shd w:val="clear" w:color="auto" w:fill="D3D3D3"/>
          <w:lang w:val="nl-NL"/>
        </w:rPr>
        <w:t>[….]</w:t>
      </w:r>
    </w:p>
    <w:p w14:paraId="76E29165" w14:textId="77777777" w:rsidR="004B6D30" w:rsidRDefault="004B6D30">
      <w:pPr>
        <w:spacing w:before="96" w:after="48" w:line="240" w:lineRule="auto"/>
        <w:ind w:right="-144"/>
        <w:rPr>
          <w:rFonts w:ascii="Open Sans" w:hAnsi="Open Sans" w:cs="Open Sans"/>
          <w:color w:val="363636"/>
          <w:lang w:val="nl-NL"/>
        </w:rPr>
      </w:pPr>
    </w:p>
    <w:p w14:paraId="6CF0B4EB"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6959847E"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2A3CCFFC" w14:textId="77777777" w:rsidR="004B6D30" w:rsidRDefault="004B6D30">
      <w:pPr>
        <w:spacing w:before="96" w:after="48" w:line="240" w:lineRule="auto"/>
        <w:ind w:right="-144"/>
        <w:rPr>
          <w:rFonts w:ascii="Open Sans" w:hAnsi="Open Sans" w:cs="Open Sans"/>
          <w:color w:val="363636"/>
          <w:lang w:val="nl-NL"/>
        </w:rPr>
      </w:pPr>
    </w:p>
    <w:p w14:paraId="7A03B3D6"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F. Subverwerkers</w:t>
      </w:r>
    </w:p>
    <w:p w14:paraId="7B1708E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 </w:t>
      </w:r>
    </w:p>
    <w:p w14:paraId="3DBDA956"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Subverwerkers: </w:t>
      </w:r>
    </w:p>
    <w:p w14:paraId="3016283A" w14:textId="77777777" w:rsidR="004B6D30" w:rsidRDefault="00D27A43">
      <w:pPr>
        <w:spacing w:before="96" w:after="48" w:line="240" w:lineRule="auto"/>
        <w:ind w:right="-144"/>
      </w:pPr>
      <w:r>
        <w:rPr>
          <w:rFonts w:ascii="Open Sans" w:hAnsi="Open Sans" w:cs="Open Sans"/>
          <w:color w:val="363636"/>
          <w:lang w:val="nl-NL"/>
        </w:rPr>
        <w:t>[partijnaam en vestigingsplaats, beknopte omschrijving taak/dienst waaruit blijkt welke informatie wordt Verwerkt door deze Subverwerker, plaats/land van opslag en Verwerking Persoonsgegevens</w:t>
      </w:r>
      <w:r>
        <w:rPr>
          <w:rFonts w:ascii="Open Sans" w:hAnsi="Open Sans" w:cs="Open Sans"/>
          <w:i/>
          <w:color w:val="363636"/>
          <w:lang w:val="nl-NL"/>
        </w:rPr>
        <w:t>]</w:t>
      </w:r>
    </w:p>
    <w:p w14:paraId="5D1206B2"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1797BB66" w14:textId="77777777" w:rsidR="004B6D30" w:rsidRDefault="004B6D30">
      <w:pPr>
        <w:spacing w:before="96" w:after="48" w:line="240" w:lineRule="auto"/>
        <w:ind w:right="-144"/>
        <w:rPr>
          <w:rFonts w:ascii="Open Sans" w:hAnsi="Open Sans" w:cs="Open Sans"/>
          <w:color w:val="363636"/>
          <w:lang w:val="nl-NL"/>
        </w:rPr>
      </w:pPr>
    </w:p>
    <w:p w14:paraId="32FCFEA3"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2EC1911A" w14:textId="77777777"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52E85CC6" w14:textId="77777777" w:rsidR="004B6D30" w:rsidRDefault="004B6D30">
      <w:pPr>
        <w:spacing w:before="96" w:after="48" w:line="240" w:lineRule="auto"/>
        <w:ind w:right="-144"/>
        <w:rPr>
          <w:rFonts w:ascii="Open Sans" w:hAnsi="Open Sans" w:cs="Open Sans"/>
          <w:color w:val="363636"/>
          <w:lang w:val="nl-NL"/>
        </w:rPr>
      </w:pPr>
    </w:p>
    <w:p w14:paraId="373BF8F6"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12CAD7D3" w14:textId="77777777"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14:paraId="0AC6870F" w14:textId="77777777" w:rsidR="004B6D30" w:rsidRDefault="004B6D30">
      <w:pPr>
        <w:spacing w:before="96" w:after="48" w:line="240" w:lineRule="auto"/>
        <w:ind w:right="-144"/>
        <w:rPr>
          <w:rFonts w:ascii="Open Sans" w:hAnsi="Open Sans" w:cs="Open Sans"/>
          <w:color w:val="363636"/>
          <w:lang w:val="nl-NL"/>
        </w:rPr>
      </w:pPr>
    </w:p>
    <w:p w14:paraId="7D37EFE9" w14:textId="77777777" w:rsidR="004B6D30" w:rsidRDefault="004B6D30">
      <w:pPr>
        <w:spacing w:before="96" w:after="48" w:line="240" w:lineRule="auto"/>
        <w:ind w:right="-144"/>
        <w:rPr>
          <w:rFonts w:ascii="Open Sans" w:hAnsi="Open Sans" w:cs="Open Sans"/>
          <w:color w:val="363636"/>
          <w:lang w:val="nl-NL"/>
        </w:rPr>
      </w:pPr>
    </w:p>
    <w:p w14:paraId="65FBB6F4" w14:textId="77777777" w:rsidR="004B6D30" w:rsidRDefault="004B6D30">
      <w:pPr>
        <w:spacing w:before="96" w:after="48" w:line="240" w:lineRule="auto"/>
        <w:ind w:right="-144"/>
        <w:rPr>
          <w:rFonts w:ascii="Open Sans" w:hAnsi="Open Sans" w:cs="Open Sans"/>
          <w:color w:val="363636"/>
          <w:lang w:val="nl-NL"/>
        </w:rPr>
      </w:pPr>
    </w:p>
    <w:p w14:paraId="04A68B7B" w14:textId="77777777" w:rsidR="004B6D30" w:rsidRDefault="004B6D30">
      <w:pPr>
        <w:spacing w:before="96" w:after="48" w:line="240" w:lineRule="auto"/>
        <w:ind w:right="-144"/>
        <w:rPr>
          <w:rFonts w:ascii="Open Sans" w:hAnsi="Open Sans" w:cs="Open Sans"/>
          <w:color w:val="363636"/>
          <w:lang w:val="nl-NL"/>
        </w:rPr>
      </w:pPr>
    </w:p>
    <w:p w14:paraId="0441A330" w14:textId="77777777" w:rsidR="004B6D30" w:rsidRDefault="00D27A43">
      <w:pPr>
        <w:spacing w:before="96" w:after="48" w:line="240" w:lineRule="auto"/>
        <w:ind w:right="-144"/>
      </w:pPr>
      <w:r>
        <w:rPr>
          <w:rFonts w:ascii="Open Sans" w:hAnsi="Open Sans" w:cs="Open Sans"/>
          <w:i/>
          <w:color w:val="363636"/>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11"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651E1013" w14:textId="77777777"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14:paraId="4D5B861D" w14:textId="77777777"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4B34DEE0" w14:textId="77777777" w:rsidR="004B6D30" w:rsidRDefault="004B6D30">
      <w:pPr>
        <w:spacing w:before="96" w:after="48" w:line="240" w:lineRule="auto"/>
        <w:ind w:right="-144"/>
        <w:rPr>
          <w:rFonts w:ascii="Open Sans" w:hAnsi="Open Sans" w:cs="Open Sans"/>
          <w:b/>
          <w:color w:val="363636"/>
          <w:lang w:val="nl-NL"/>
        </w:rPr>
      </w:pPr>
    </w:p>
    <w:p w14:paraId="46571722" w14:textId="77777777"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161F527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4AAA596B" w14:textId="77777777"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3"/>
      </w:r>
      <w:r>
        <w:rPr>
          <w:rFonts w:ascii="Open Sans" w:hAnsi="Open Sans" w:cs="Open Sans"/>
          <w:color w:val="363636"/>
          <w:lang w:val="nl-NL"/>
        </w:rPr>
        <w:t xml:space="preserve">. Dat schema voorziet in een baseline van (beveiligings)maatregelen waarmee organisaties dit aantoonbaar kunnen maken. </w:t>
      </w:r>
    </w:p>
    <w:p w14:paraId="043549B2" w14:textId="77777777"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58241" behindDoc="1" locked="0" layoutInCell="1" allowOverlap="1" wp14:anchorId="680E81F3" wp14:editId="0F9C3CC5">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64955EE9" id="Afgeronde rechthoek 3" o:spid="_x0000_s1026" style="position:absolute;margin-left:-13.25pt;margin-top:9.8pt;width:478.5pt;height:72.75pt;z-index:-251658239;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0B58F3C1" w14:textId="77777777"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6E8BEE87" w14:textId="77777777" w:rsidR="004B6D30" w:rsidRDefault="004B6D30">
      <w:pPr>
        <w:spacing w:before="96" w:after="48" w:line="240" w:lineRule="auto"/>
        <w:ind w:right="-144"/>
        <w:rPr>
          <w:rFonts w:ascii="Open Sans" w:hAnsi="Open Sans" w:cs="Open Sans"/>
          <w:color w:val="363636"/>
          <w:lang w:val="nl-NL"/>
        </w:rPr>
      </w:pPr>
    </w:p>
    <w:p w14:paraId="094AB2D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kan ook gebruik maken van andere certificeringsmechanismen en/of (inter)nationaal erkende normen en standaarden voor informatiebeveiliging, mits die een gelijkwaardig of hoger niveau van beveiliging bieden en de door Verwerker genomen maatregelen aan de Onderwijsinstelling inzichtelijk worden gemaakt. </w:t>
      </w:r>
    </w:p>
    <w:p w14:paraId="11BAECD9" w14:textId="77777777" w:rsidR="004B6D30" w:rsidRDefault="004B6D30">
      <w:pPr>
        <w:spacing w:before="96" w:after="48" w:line="240" w:lineRule="auto"/>
        <w:ind w:right="-144"/>
        <w:rPr>
          <w:rFonts w:ascii="Open Sans" w:hAnsi="Open Sans" w:cs="Open Sans"/>
          <w:b/>
          <w:color w:val="363636"/>
          <w:lang w:val="nl-NL"/>
        </w:rPr>
      </w:pPr>
    </w:p>
    <w:p w14:paraId="4B1CEA0B" w14:textId="77777777"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2F4B7E1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7E3106E0"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39E1CD5D"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26904AB8"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088F37D5"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795DA8B0"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neemt maatregelen zodat via een systeem van autorisatie enkel geautoriseerde medewerkers toegang kunnen verkrijgen tot de Verwerking </w:t>
      </w:r>
      <w:r>
        <w:rPr>
          <w:rFonts w:ascii="Open Sans" w:hAnsi="Open Sans" w:cs="Open Sans"/>
          <w:color w:val="363636"/>
          <w:lang w:val="nl-NL"/>
        </w:rPr>
        <w:lastRenderedPageBreak/>
        <w:t>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191D5EA0"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14:paraId="16C3EF2D"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75BB5D06"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2FEC9A8E"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maakt bij de beveiliging van de Verwerking van Persoonsgegevens gebruik van een (inter)nationale beveiligingsnorm; </w:t>
      </w:r>
    </w:p>
    <w:p w14:paraId="22F1F84E"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37CF7D16"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 xml:space="preserve">Een toetsing van getroffen maatregelen aan (inter)nationaal erkende normen en standaarden voor informatiebeveiliging. </w:t>
      </w:r>
    </w:p>
    <w:p w14:paraId="2DFE8A0A" w14:textId="77777777" w:rsidR="004B6D30" w:rsidRDefault="004B6D30">
      <w:pPr>
        <w:pStyle w:val="Lijstalinea"/>
        <w:spacing w:before="96" w:after="48"/>
        <w:ind w:left="720" w:right="-144"/>
        <w:rPr>
          <w:rFonts w:ascii="Open Sans" w:hAnsi="Open Sans" w:cs="Open Sans"/>
          <w:color w:val="363636"/>
          <w:lang w:val="nl-NL"/>
        </w:rPr>
      </w:pPr>
    </w:p>
    <w:p w14:paraId="19025B55" w14:textId="77777777"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14:paraId="0A767A1D" w14:textId="77777777"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14:paraId="7E3760C8" w14:textId="77777777" w:rsidR="004B6D30" w:rsidRDefault="004B6D30">
      <w:pPr>
        <w:spacing w:before="96" w:after="48" w:line="240" w:lineRule="auto"/>
        <w:ind w:right="-144"/>
        <w:rPr>
          <w:rFonts w:ascii="Open Sans" w:hAnsi="Open Sans" w:cs="Open Sans"/>
          <w:color w:val="363636"/>
          <w:lang w:val="nl-NL"/>
        </w:rPr>
      </w:pPr>
    </w:p>
    <w:p w14:paraId="2D88C5FA" w14:textId="31C00B6C" w:rsidR="004B6D30" w:rsidRDefault="00D27A43">
      <w:pPr>
        <w:spacing w:before="96" w:after="48" w:line="240" w:lineRule="auto"/>
        <w:ind w:right="-144"/>
      </w:pPr>
      <w:r>
        <w:rPr>
          <w:rFonts w:ascii="Open Sans" w:hAnsi="Open Sans" w:cs="Open Sans"/>
          <w:color w:val="363636"/>
          <w:lang w:val="nl-NL"/>
        </w:rPr>
        <w:t xml:space="preserve">De contactpersoon voor Verwerker is: </w:t>
      </w:r>
      <w:r w:rsidR="0064088D">
        <w:rPr>
          <w:rFonts w:ascii="Open Sans" w:hAnsi="Open Sans" w:cs="Open Sans"/>
          <w:color w:val="363636"/>
          <w:lang w:val="nl-NL"/>
        </w:rPr>
        <w:t xml:space="preserve">Functionaris gegevensbescherming, </w:t>
      </w:r>
      <w:hyperlink r:id="rId12" w:history="1">
        <w:r w:rsidR="0064088D" w:rsidRPr="00B4259B">
          <w:rPr>
            <w:rStyle w:val="Hyperlink"/>
            <w:rFonts w:ascii="Open Sans" w:hAnsi="Open Sans" w:cs="Open Sans"/>
            <w:lang w:val="nl-NL"/>
          </w:rPr>
          <w:t>privacy@onderwijsgroeptilburg.nl</w:t>
        </w:r>
      </w:hyperlink>
      <w:r w:rsidR="0064088D">
        <w:rPr>
          <w:rFonts w:ascii="Open Sans" w:hAnsi="Open Sans" w:cs="Open Sans"/>
          <w:color w:val="363636"/>
          <w:lang w:val="nl-NL"/>
        </w:rPr>
        <w:t>, 013-5397090 / 06-22314585</w:t>
      </w:r>
    </w:p>
    <w:p w14:paraId="731FE242" w14:textId="77777777" w:rsidR="004B6D30" w:rsidRDefault="004B6D30">
      <w:pPr>
        <w:spacing w:before="96" w:after="48" w:line="240" w:lineRule="auto"/>
        <w:ind w:right="-144"/>
        <w:rPr>
          <w:rFonts w:ascii="Open Sans" w:hAnsi="Open Sans" w:cs="Open Sans"/>
          <w:color w:val="363636"/>
          <w:lang w:val="nl-NL"/>
        </w:rPr>
      </w:pPr>
    </w:p>
    <w:p w14:paraId="2937E109" w14:textId="77777777"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5FC0CED7"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02CBED4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14:paraId="645A176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informatie wordt gedeeld:</w:t>
      </w:r>
    </w:p>
    <w:p w14:paraId="6F40B21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1FFE28BA"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746D3CE9"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1DC6B294"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14:paraId="6ABD9C06"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lastRenderedPageBreak/>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07177E3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2B524E10"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0F89913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14:paraId="2B9560F9"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1CB5F073"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14:paraId="0AD623E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542C0A44" w14:textId="77777777" w:rsidR="004B6D30" w:rsidRDefault="004B6D30">
      <w:pPr>
        <w:spacing w:before="96" w:after="48" w:line="240" w:lineRule="auto"/>
        <w:ind w:right="-144"/>
        <w:rPr>
          <w:rFonts w:ascii="Open Sans" w:hAnsi="Open Sans" w:cs="Open Sans"/>
          <w:b/>
          <w:color w:val="363636"/>
          <w:u w:val="single"/>
          <w:lang w:val="nl-NL"/>
        </w:rPr>
      </w:pPr>
    </w:p>
    <w:p w14:paraId="3892B922" w14:textId="77777777"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6FD50C70" w14:textId="77777777" w:rsidR="004B6D30" w:rsidRDefault="004B6D30">
      <w:pPr>
        <w:spacing w:before="96" w:after="48" w:line="240" w:lineRule="auto"/>
        <w:ind w:right="-144"/>
        <w:rPr>
          <w:rFonts w:ascii="Open Sans" w:hAnsi="Open Sans" w:cs="Open Sans"/>
          <w:i/>
          <w:color w:val="363636"/>
          <w:lang w:val="nl-NL"/>
        </w:rPr>
      </w:pPr>
    </w:p>
    <w:p w14:paraId="5B4B22A4" w14:textId="77777777" w:rsidR="004B6D30" w:rsidRDefault="004B6D30">
      <w:pPr>
        <w:spacing w:before="96" w:after="48" w:line="240" w:lineRule="auto"/>
        <w:ind w:right="-144"/>
        <w:rPr>
          <w:rFonts w:ascii="Open Sans" w:hAnsi="Open Sans" w:cs="Open Sans"/>
          <w:i/>
          <w:color w:val="363636"/>
          <w:lang w:val="nl-NL"/>
        </w:rPr>
      </w:pPr>
    </w:p>
    <w:p w14:paraId="6C7CD474" w14:textId="77777777" w:rsidR="004B6D30" w:rsidRDefault="004B6D30">
      <w:pPr>
        <w:spacing w:before="96" w:after="48" w:line="240" w:lineRule="auto"/>
        <w:ind w:right="-144"/>
        <w:rPr>
          <w:rFonts w:ascii="Open Sans" w:hAnsi="Open Sans" w:cs="Open Sans"/>
          <w:i/>
          <w:color w:val="363636"/>
          <w:lang w:val="nl-NL"/>
        </w:rPr>
      </w:pPr>
    </w:p>
    <w:p w14:paraId="0BEF4F0B" w14:textId="77777777" w:rsidR="004B6D30" w:rsidRDefault="004B6D30">
      <w:pPr>
        <w:spacing w:before="96" w:after="48" w:line="240" w:lineRule="auto"/>
        <w:ind w:right="-144"/>
        <w:rPr>
          <w:rFonts w:ascii="Open Sans" w:hAnsi="Open Sans" w:cs="Open Sans"/>
          <w:i/>
          <w:color w:val="363636"/>
          <w:lang w:val="nl-NL"/>
        </w:rPr>
      </w:pPr>
    </w:p>
    <w:p w14:paraId="76B817DC" w14:textId="77777777" w:rsidR="004B6D30" w:rsidRDefault="004B6D30">
      <w:pPr>
        <w:spacing w:before="96" w:after="48" w:line="240" w:lineRule="auto"/>
        <w:ind w:right="-144"/>
        <w:rPr>
          <w:rFonts w:ascii="Open Sans" w:hAnsi="Open Sans" w:cs="Open Sans"/>
          <w:i/>
          <w:color w:val="363636"/>
          <w:lang w:val="nl-NL"/>
        </w:rPr>
      </w:pPr>
    </w:p>
    <w:p w14:paraId="0F783BFA" w14:textId="77777777" w:rsidR="004B6D30" w:rsidRDefault="004B6D30">
      <w:pPr>
        <w:spacing w:before="96" w:after="48" w:line="240" w:lineRule="auto"/>
        <w:ind w:right="-144"/>
        <w:rPr>
          <w:rFonts w:ascii="Open Sans" w:hAnsi="Open Sans" w:cs="Open Sans"/>
          <w:i/>
          <w:color w:val="363636"/>
          <w:lang w:val="nl-NL"/>
        </w:rPr>
      </w:pPr>
    </w:p>
    <w:p w14:paraId="12A18C69" w14:textId="77777777" w:rsidR="004B6D30" w:rsidRDefault="004B6D30">
      <w:pPr>
        <w:spacing w:before="96" w:after="48" w:line="240" w:lineRule="auto"/>
        <w:ind w:right="-144"/>
        <w:rPr>
          <w:rFonts w:ascii="Open Sans" w:hAnsi="Open Sans" w:cs="Open Sans"/>
          <w:i/>
          <w:color w:val="363636"/>
          <w:lang w:val="nl-NL"/>
        </w:rPr>
      </w:pPr>
    </w:p>
    <w:p w14:paraId="5A946086" w14:textId="77777777" w:rsidR="004B6D30" w:rsidRDefault="004B6D30">
      <w:pPr>
        <w:spacing w:before="96" w:after="48" w:line="240" w:lineRule="auto"/>
        <w:ind w:right="-144"/>
        <w:rPr>
          <w:rFonts w:ascii="Open Sans" w:hAnsi="Open Sans" w:cs="Open Sans"/>
          <w:i/>
          <w:color w:val="363636"/>
          <w:lang w:val="nl-NL"/>
        </w:rPr>
      </w:pPr>
    </w:p>
    <w:p w14:paraId="0947E05B" w14:textId="77777777" w:rsidR="004B6D30" w:rsidRDefault="004B6D30">
      <w:pPr>
        <w:spacing w:before="96" w:after="48" w:line="240" w:lineRule="auto"/>
        <w:ind w:right="-144"/>
        <w:rPr>
          <w:rFonts w:ascii="Open Sans" w:hAnsi="Open Sans" w:cs="Open Sans"/>
          <w:i/>
          <w:color w:val="363636"/>
          <w:lang w:val="nl-NL"/>
        </w:rPr>
      </w:pPr>
    </w:p>
    <w:p w14:paraId="2576B736" w14:textId="77777777" w:rsidR="004B6D30" w:rsidRDefault="004B6D30">
      <w:pPr>
        <w:spacing w:before="96" w:after="48" w:line="240" w:lineRule="auto"/>
        <w:ind w:right="-144"/>
        <w:rPr>
          <w:rFonts w:ascii="Open Sans" w:hAnsi="Open Sans" w:cs="Open Sans"/>
          <w:i/>
          <w:color w:val="363636"/>
          <w:lang w:val="nl-NL"/>
        </w:rPr>
      </w:pPr>
    </w:p>
    <w:p w14:paraId="565F5647" w14:textId="77777777" w:rsidR="004B6D30" w:rsidRDefault="004B6D30">
      <w:pPr>
        <w:spacing w:before="96" w:after="48" w:line="240" w:lineRule="auto"/>
        <w:ind w:right="-144"/>
        <w:rPr>
          <w:rFonts w:ascii="Open Sans" w:hAnsi="Open Sans" w:cs="Open Sans"/>
          <w:i/>
          <w:color w:val="363636"/>
          <w:lang w:val="nl-NL"/>
        </w:rPr>
      </w:pPr>
    </w:p>
    <w:p w14:paraId="227DBC75" w14:textId="77777777" w:rsidR="004B6D30" w:rsidRDefault="004B6D30">
      <w:pPr>
        <w:spacing w:before="96" w:after="48" w:line="240" w:lineRule="auto"/>
        <w:ind w:right="-144"/>
        <w:rPr>
          <w:rFonts w:ascii="Open Sans" w:hAnsi="Open Sans" w:cs="Open Sans"/>
          <w:i/>
          <w:color w:val="363636"/>
          <w:lang w:val="nl-NL"/>
        </w:rPr>
      </w:pPr>
    </w:p>
    <w:p w14:paraId="4CB3A61A" w14:textId="77777777" w:rsidR="009F434F" w:rsidRDefault="009F434F">
      <w:pPr>
        <w:spacing w:before="96" w:after="48" w:line="240" w:lineRule="auto"/>
        <w:ind w:right="-144"/>
        <w:rPr>
          <w:rFonts w:ascii="Open Sans" w:hAnsi="Open Sans" w:cs="Open Sans"/>
          <w:i/>
          <w:color w:val="363636"/>
          <w:lang w:val="nl-NL"/>
        </w:rPr>
      </w:pPr>
    </w:p>
    <w:p w14:paraId="22F805DE" w14:textId="77777777"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13"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14"/>
      <w:footerReference w:type="default" r:id="rId15"/>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4FCB" w14:textId="77777777" w:rsidR="000E5945" w:rsidRDefault="000E5945">
      <w:pPr>
        <w:spacing w:before="0" w:line="240" w:lineRule="auto"/>
      </w:pPr>
      <w:r>
        <w:separator/>
      </w:r>
    </w:p>
  </w:endnote>
  <w:endnote w:type="continuationSeparator" w:id="0">
    <w:p w14:paraId="2B58F96E" w14:textId="77777777" w:rsidR="000E5945" w:rsidRDefault="000E5945">
      <w:pPr>
        <w:spacing w:before="0" w:line="240" w:lineRule="auto"/>
      </w:pPr>
      <w:r>
        <w:continuationSeparator/>
      </w:r>
    </w:p>
  </w:endnote>
  <w:endnote w:type="continuationNotice" w:id="1">
    <w:p w14:paraId="2B975E8F" w14:textId="77777777" w:rsidR="008B5399" w:rsidRDefault="008B539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0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modern"/>
    <w:pitch w:val="fixed"/>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Verdana"/>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2FC0" w14:textId="18E6A2B4" w:rsidR="000E5945" w:rsidRDefault="000E5945">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8B5399">
      <w:rPr>
        <w:rFonts w:ascii="Open Sans" w:hAnsi="Open Sans" w:cs="Open Sans"/>
        <w:noProof/>
        <w:color w:val="008FA6"/>
        <w:sz w:val="16"/>
        <w:lang w:val="nl-NL"/>
      </w:rPr>
      <w:t>21</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48A17" w14:textId="77777777" w:rsidR="000E5945" w:rsidRDefault="000E5945">
      <w:pPr>
        <w:spacing w:before="0" w:line="240" w:lineRule="auto"/>
      </w:pPr>
      <w:r>
        <w:separator/>
      </w:r>
    </w:p>
  </w:footnote>
  <w:footnote w:type="continuationSeparator" w:id="0">
    <w:p w14:paraId="688B48FE" w14:textId="77777777" w:rsidR="000E5945" w:rsidRDefault="000E5945">
      <w:pPr>
        <w:spacing w:before="0" w:line="240" w:lineRule="auto"/>
      </w:pPr>
      <w:r>
        <w:continuationSeparator/>
      </w:r>
    </w:p>
  </w:footnote>
  <w:footnote w:type="continuationNotice" w:id="1">
    <w:p w14:paraId="2CD38C70" w14:textId="77777777" w:rsidR="008B5399" w:rsidRDefault="008B5399">
      <w:pPr>
        <w:spacing w:before="0" w:line="240" w:lineRule="auto"/>
      </w:pPr>
    </w:p>
  </w:footnote>
  <w:footnote w:id="2">
    <w:p w14:paraId="5DEE4ADC" w14:textId="77777777" w:rsidR="000E5945" w:rsidRDefault="000E5945">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3">
    <w:p w14:paraId="19BAC4D9" w14:textId="77777777" w:rsidR="000E5945" w:rsidRDefault="000E5945">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BEFF" w14:textId="77777777" w:rsidR="000E5945" w:rsidRDefault="000E5945">
    <w:pPr>
      <w:pStyle w:val="Koptekst"/>
    </w:pPr>
  </w:p>
  <w:p w14:paraId="78F00C22" w14:textId="77777777" w:rsidR="000E5945" w:rsidRDefault="000E594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30"/>
    <w:rsid w:val="000E5945"/>
    <w:rsid w:val="001C79D9"/>
    <w:rsid w:val="002C41FF"/>
    <w:rsid w:val="00317C98"/>
    <w:rsid w:val="003F03B7"/>
    <w:rsid w:val="004B6D30"/>
    <w:rsid w:val="0064088D"/>
    <w:rsid w:val="00681D10"/>
    <w:rsid w:val="008B5399"/>
    <w:rsid w:val="009F434F"/>
    <w:rsid w:val="00BA6157"/>
    <w:rsid w:val="00D27A43"/>
    <w:rsid w:val="00D741E6"/>
    <w:rsid w:val="00ED0313"/>
    <w:rsid w:val="00F005F1"/>
    <w:rsid w:val="00F14D77"/>
    <w:rsid w:val="00F52F68"/>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84A3"/>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privacyconvenan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onderwijsgroeptilbur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privacyconvenan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2663-6FCA-4C94-B82F-24709B6421D3}">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afc05641-ae8a-498c-988f-97c5fd88b99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7DB0A35-6E7C-4C26-B22C-B334E4F60625}"/>
</file>

<file path=customXml/itemProps3.xml><?xml version="1.0" encoding="utf-8"?>
<ds:datastoreItem xmlns:ds="http://schemas.openxmlformats.org/officeDocument/2006/customXml" ds:itemID="{4045839F-F012-443A-96D2-4C8191B66C67}">
  <ds:schemaRefs>
    <ds:schemaRef ds:uri="http://schemas.microsoft.com/sharepoint/v3/contenttype/forms"/>
  </ds:schemaRefs>
</ds:datastoreItem>
</file>

<file path=customXml/itemProps4.xml><?xml version="1.0" encoding="utf-8"?>
<ds:datastoreItem xmlns:ds="http://schemas.openxmlformats.org/officeDocument/2006/customXml" ds:itemID="{A78DA6AA-E59E-42BE-B79A-1DED6AC1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8506</Words>
  <Characters>46783</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Joyce Kolen</cp:lastModifiedBy>
  <cp:revision>5</cp:revision>
  <dcterms:created xsi:type="dcterms:W3CDTF">2019-01-25T07:22:00Z</dcterms:created>
  <dcterms:modified xsi:type="dcterms:W3CDTF">2019-06-18T06:00:00Z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AuthorIds_UIVersion_1024">
    <vt:lpwstr>20</vt:lpwstr>
  </property>
</Properties>
</file>