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CE" w:rsidRPr="00CA75F2" w:rsidRDefault="00DC2FCE" w:rsidP="00DC2FCE">
      <w:pPr>
        <w:pStyle w:val="paragraaftitelgeletterd"/>
        <w:numPr>
          <w:ilvl w:val="0"/>
          <w:numId w:val="0"/>
        </w:numPr>
        <w:ind w:left="340" w:hanging="340"/>
        <w:outlineLvl w:val="1"/>
      </w:pPr>
      <w:bookmarkStart w:id="0" w:name="_Toc492465939"/>
      <w:bookmarkStart w:id="1" w:name="_Toc82527140"/>
      <w:r>
        <w:t xml:space="preserve">Bijlage F - </w:t>
      </w:r>
      <w:proofErr w:type="spellStart"/>
      <w:r>
        <w:t>Social</w:t>
      </w:r>
      <w:proofErr w:type="spellEnd"/>
      <w:r>
        <w:t xml:space="preserve"> Return On Investment</w:t>
      </w:r>
      <w:bookmarkEnd w:id="0"/>
      <w:bookmarkEnd w:id="1"/>
    </w:p>
    <w:p w:rsidR="00DC2FCE" w:rsidRDefault="00DC2FCE" w:rsidP="00DC2FCE">
      <w:pPr>
        <w:pStyle w:val="Plattetekst"/>
      </w:pPr>
    </w:p>
    <w:p w:rsidR="00DC2FCE" w:rsidRPr="00CA75F2" w:rsidRDefault="00DC2FCE" w:rsidP="00DC2FCE">
      <w:pPr>
        <w:pStyle w:val="Plattetekst"/>
      </w:pPr>
      <w:r w:rsidRPr="00CA75F2">
        <w:t xml:space="preserve">De gemeente Meppel heeft besloten om in deze aanbesteding </w:t>
      </w:r>
      <w:proofErr w:type="spellStart"/>
      <w:r w:rsidRPr="00CA75F2">
        <w:t>Social</w:t>
      </w:r>
      <w:proofErr w:type="spellEnd"/>
      <w:r w:rsidRPr="00CA75F2">
        <w:t xml:space="preserve"> Return On Investment (SROI) als bijzondere uitvoeringsvoorwaarde op te nemen. De aanbieder verplicht zich om bij gunning 5% van de gefactureerde opdrachtsom aan te wenden voor SROI-activiteiten. </w:t>
      </w:r>
    </w:p>
    <w:p w:rsidR="00DC2FCE" w:rsidRPr="00CA75F2" w:rsidRDefault="00DC2FCE" w:rsidP="00DC2FCE">
      <w:pPr>
        <w:pStyle w:val="Plattetekst"/>
      </w:pPr>
    </w:p>
    <w:p w:rsidR="00DC2FCE" w:rsidRPr="00CA75F2" w:rsidRDefault="00DC2FCE" w:rsidP="00DC2FCE">
      <w:pPr>
        <w:pStyle w:val="Plattetekst"/>
      </w:pPr>
      <w:r w:rsidRPr="00CA75F2">
        <w:t>De activiteiten mogen in de opdracht worden uitgevoerd maar ook in de bedrijfsvoering van de opdrachtnemer of bij een onderaannemer of toeleverancier. Voorwaarde is wel dat het een nieuwe, aanvullende activiteit betreft en dat deze activiteit alleen bij de gemeente Meppel (dus niet elders) wordt opgegeven. Bestaande of reeds eerder uitgevoerde activiteiten worden niet meegenomen. De opdrachtnemer is verantwoordelijk voor het nakomen van zijn SROI-verplichtingen (ook indien de activiteiten bij bijv. een toeleverancier worden uitgevoerd).</w:t>
      </w:r>
    </w:p>
    <w:p w:rsidR="00DC2FCE" w:rsidRPr="00CA75F2" w:rsidRDefault="00DC2FCE" w:rsidP="00DC2FCE">
      <w:pPr>
        <w:pStyle w:val="Plattetekst"/>
      </w:pPr>
    </w:p>
    <w:p w:rsidR="00DC2FCE" w:rsidRPr="00CA75F2" w:rsidRDefault="00DC2FCE" w:rsidP="00DC2FCE">
      <w:pPr>
        <w:pStyle w:val="Plattetekst"/>
      </w:pPr>
      <w:r w:rsidRPr="00CA75F2">
        <w:t xml:space="preserve">Het Expertisecentrum </w:t>
      </w:r>
      <w:proofErr w:type="spellStart"/>
      <w:r w:rsidRPr="00CA75F2">
        <w:t>Social</w:t>
      </w:r>
      <w:proofErr w:type="spellEnd"/>
      <w:r w:rsidRPr="00CA75F2">
        <w:t xml:space="preserve"> Return (ESR) van het Werkbedrijf regio Zwolle werkt in opdracht van de gemeenten Dalfsen, Hardenberg, Hattem, Heerde, Kampen, Meppel, Oldebroek, Ommen, Raalte, Staphorst, Steenwijkerland, Westerveld, Zwartewaterland, Zwolle en – binnenkort – de provincie Overijssel. Het ESR adviseert en faciliteert de opdrachtgever en de opdrachtnemer bij de invulling van SROI. De opdrachtgever zal u verwijzen naar het ESR.</w:t>
      </w:r>
    </w:p>
    <w:p w:rsidR="00DC2FCE" w:rsidRPr="00CA75F2" w:rsidRDefault="00DC2FCE" w:rsidP="00DC2FCE">
      <w:pPr>
        <w:pStyle w:val="Plattetekst"/>
      </w:pPr>
    </w:p>
    <w:p w:rsidR="00DC2FCE" w:rsidRPr="00CA75F2" w:rsidRDefault="00DC2FCE" w:rsidP="00DC2FCE">
      <w:pPr>
        <w:pStyle w:val="Plattetekst"/>
      </w:pPr>
      <w:r w:rsidRPr="00CA75F2">
        <w:t xml:space="preserve">U kunt, in samenspraak met het ESR, de verschillende SROI-inspanningen combineren in een voor u optimale mix. Voor de waardebepaling van SROI-activiteiten is gekozen voor de bouwblokken-methode. Het voordeel voor u is dat u kunt kiezen uit meerdere manieren om uw SROI verplichting in te vullen en dat u van iedere activiteit vooraf weet wat de waarde hiervan is. Om de waarde van de SROI-activiteiten te kunnen meten is deze uitgedrukt in een inspanningswaarde. Deze inspanningswaarde is gebaseerd op de relatieve afstand van de uitkeringsgroep tot de arbeidsmarkt. </w:t>
      </w:r>
    </w:p>
    <w:p w:rsidR="00DC2FCE" w:rsidRPr="00CA75F2" w:rsidRDefault="00DC2FCE" w:rsidP="00DC2FCE">
      <w:pPr>
        <w:pStyle w:val="Plattetekst"/>
      </w:pPr>
    </w:p>
    <w:tbl>
      <w:tblPr>
        <w:tblW w:w="8704" w:type="dxa"/>
        <w:tblLayout w:type="fixed"/>
        <w:tblCellMar>
          <w:left w:w="0" w:type="dxa"/>
          <w:right w:w="0" w:type="dxa"/>
        </w:tblCellMar>
        <w:tblLook w:val="0420" w:firstRow="1" w:lastRow="0" w:firstColumn="0" w:lastColumn="0" w:noHBand="0" w:noVBand="1"/>
      </w:tblPr>
      <w:tblGrid>
        <w:gridCol w:w="5957"/>
        <w:gridCol w:w="362"/>
        <w:gridCol w:w="2385"/>
      </w:tblGrid>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
                <w:bCs/>
              </w:rPr>
              <w:t>Werkzoekende / leerling</w:t>
            </w:r>
          </w:p>
        </w:tc>
        <w:tc>
          <w:tcPr>
            <w:tcW w:w="2747"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
                <w:bCs/>
              </w:rPr>
              <w:t>Waarde per jaar/1fte</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Participatiewet &lt; 2jaar  (niet-</w:t>
            </w:r>
            <w:proofErr w:type="spellStart"/>
            <w:r w:rsidRPr="00CA75F2">
              <w:rPr>
                <w:bCs/>
              </w:rPr>
              <w:t>arbeidsbeperkten</w:t>
            </w:r>
            <w:proofErr w:type="spellEnd"/>
            <w:r w:rsidRPr="00CA75F2">
              <w:rPr>
                <w:bCs/>
              </w:rPr>
              <w:t>)</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30.000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Participatiewet  &gt; 2 jaar (niet-</w:t>
            </w:r>
            <w:proofErr w:type="spellStart"/>
            <w:r w:rsidRPr="00CA75F2">
              <w:rPr>
                <w:bCs/>
              </w:rPr>
              <w:t>arbeidsbeperkten</w:t>
            </w:r>
            <w:proofErr w:type="spellEnd"/>
            <w:r w:rsidRPr="00CA75F2">
              <w:rPr>
                <w:bCs/>
              </w:rPr>
              <w:t>)</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35.000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 xml:space="preserve">Participatiewet  (vallend onder </w:t>
            </w:r>
            <w:proofErr w:type="spellStart"/>
            <w:r w:rsidRPr="00CA75F2">
              <w:rPr>
                <w:bCs/>
              </w:rPr>
              <w:t>doelgroepregister</w:t>
            </w:r>
            <w:proofErr w:type="spellEnd"/>
            <w:r w:rsidRPr="00CA75F2">
              <w:rPr>
                <w:bCs/>
              </w:rPr>
              <w:t>/banenafspraak)</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40.000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WW &lt; 1 jaar</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10.000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WW &gt; 1 jaar</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15.000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WIA/WAO</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30.000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Wajong</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35.000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WSW (detachering en/of diensten)</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facturen</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 xml:space="preserve">WSW (in dienst nemen: valt onder </w:t>
            </w:r>
            <w:proofErr w:type="spellStart"/>
            <w:r w:rsidRPr="00CA75F2">
              <w:rPr>
                <w:bCs/>
              </w:rPr>
              <w:t>doelgroepregister</w:t>
            </w:r>
            <w:proofErr w:type="spellEnd"/>
            <w:r w:rsidRPr="00CA75F2">
              <w:rPr>
                <w:bCs/>
              </w:rPr>
              <w:t>/banenafspraak)</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40.000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Leerling BBL (leerbaan)*</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15.000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Leerling BOL (stage)*</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Leerling VSO/Praktijkonderwijs (werkplek na uitstroom)</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pPr>
            <w:r w:rsidRPr="00CA75F2">
              <w:rPr>
                <w:bCs/>
              </w:rPr>
              <w:t>25.000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rPr>
            </w:pPr>
            <w:r w:rsidRPr="00CA75F2">
              <w:rPr>
                <w:bCs/>
                <w:i/>
                <w:iCs/>
              </w:rPr>
              <w:t>Extra op bovenstaande bedragen</w:t>
            </w:r>
          </w:p>
          <w:p w:rsidR="00DC2FCE" w:rsidRPr="00CA75F2" w:rsidRDefault="00DC2FCE" w:rsidP="00DC2FCE">
            <w:pPr>
              <w:pStyle w:val="Plattetekst"/>
              <w:numPr>
                <w:ilvl w:val="0"/>
                <w:numId w:val="2"/>
              </w:numPr>
            </w:pPr>
            <w:r w:rsidRPr="00CA75F2">
              <w:rPr>
                <w:bCs/>
              </w:rPr>
              <w:t>Leeftijd ≥ 50 jaar</w:t>
            </w:r>
          </w:p>
          <w:p w:rsidR="00DC2FCE" w:rsidRPr="00CA75F2" w:rsidRDefault="00DC2FCE" w:rsidP="00DC2FCE">
            <w:pPr>
              <w:pStyle w:val="Plattetekst"/>
              <w:numPr>
                <w:ilvl w:val="0"/>
                <w:numId w:val="2"/>
              </w:numPr>
            </w:pPr>
            <w:r w:rsidRPr="00CA75F2">
              <w:rPr>
                <w:bCs/>
              </w:rPr>
              <w:t>PSO-ladder: trede 1,  PSO-ladder: trede 2,  PSO-ladder: trede 3</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rPr>
            </w:pPr>
          </w:p>
          <w:p w:rsidR="00DC2FCE" w:rsidRPr="00CA75F2" w:rsidRDefault="00DC2FCE" w:rsidP="00696FD4">
            <w:pPr>
              <w:pStyle w:val="Plattetekst"/>
            </w:pPr>
            <w:r w:rsidRPr="00CA75F2">
              <w:rPr>
                <w:bCs/>
              </w:rPr>
              <w:t>€</w:t>
            </w:r>
          </w:p>
          <w:p w:rsidR="00DC2FCE" w:rsidRPr="00CA75F2" w:rsidRDefault="00DC2FCE" w:rsidP="00696FD4">
            <w:pPr>
              <w:pStyle w:val="Plattetekst"/>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rPr>
            </w:pPr>
          </w:p>
          <w:p w:rsidR="00DC2FCE" w:rsidRPr="00CA75F2" w:rsidRDefault="00DC2FCE" w:rsidP="00696FD4">
            <w:pPr>
              <w:pStyle w:val="Plattetekst"/>
            </w:pPr>
            <w:r w:rsidRPr="00CA75F2">
              <w:rPr>
                <w:bCs/>
              </w:rPr>
              <w:t>5.000</w:t>
            </w:r>
          </w:p>
          <w:p w:rsidR="00DC2FCE" w:rsidRPr="00CA75F2" w:rsidRDefault="00DC2FCE" w:rsidP="00696FD4">
            <w:pPr>
              <w:pStyle w:val="Plattetekst"/>
            </w:pPr>
            <w:r w:rsidRPr="00CA75F2">
              <w:rPr>
                <w:bCs/>
              </w:rPr>
              <w:t>2.000  ,  5.000  ,  7.500</w:t>
            </w:r>
          </w:p>
        </w:tc>
      </w:tr>
      <w:tr w:rsidR="00DC2FCE" w:rsidRPr="00CA75F2" w:rsidTr="00696FD4">
        <w:tc>
          <w:tcPr>
            <w:tcW w:w="5957" w:type="dxa"/>
            <w:tcBorders>
              <w:top w:val="single" w:sz="8" w:space="0" w:color="000000"/>
              <w:left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i/>
                <w:iCs/>
              </w:rPr>
            </w:pPr>
            <w:r w:rsidRPr="00CA75F2">
              <w:rPr>
                <w:bCs/>
                <w:i/>
                <w:iCs/>
              </w:rPr>
              <w:lastRenderedPageBreak/>
              <w:t>MVO-activiteiten**</w:t>
            </w:r>
          </w:p>
        </w:tc>
        <w:tc>
          <w:tcPr>
            <w:tcW w:w="362" w:type="dxa"/>
            <w:tcBorders>
              <w:top w:val="single" w:sz="8" w:space="0" w:color="000000"/>
              <w:left w:val="single" w:sz="8" w:space="0" w:color="000000"/>
              <w:bottom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rPr>
            </w:pPr>
            <w:r w:rsidRPr="00CA75F2">
              <w:rPr>
                <w:bCs/>
              </w:rPr>
              <w:t>€</w:t>
            </w:r>
          </w:p>
        </w:tc>
        <w:tc>
          <w:tcPr>
            <w:tcW w:w="2385" w:type="dxa"/>
            <w:tcBorders>
              <w:top w:val="single" w:sz="8" w:space="0" w:color="000000"/>
              <w:bottom w:val="single" w:sz="8" w:space="0" w:color="000000"/>
              <w:right w:val="single" w:sz="8" w:space="0" w:color="000000"/>
            </w:tcBorders>
            <w:shd w:val="clear" w:color="auto" w:fill="auto"/>
            <w:noWrap/>
            <w:tcMar>
              <w:top w:w="57" w:type="dxa"/>
              <w:left w:w="57" w:type="dxa"/>
              <w:bottom w:w="57" w:type="dxa"/>
              <w:right w:w="57" w:type="dxa"/>
            </w:tcMar>
            <w:hideMark/>
          </w:tcPr>
          <w:p w:rsidR="00DC2FCE" w:rsidRPr="00CA75F2" w:rsidRDefault="00DC2FCE" w:rsidP="00696FD4">
            <w:pPr>
              <w:pStyle w:val="Plattetekst"/>
              <w:rPr>
                <w:bCs/>
              </w:rPr>
            </w:pPr>
            <w:r w:rsidRPr="00CA75F2">
              <w:rPr>
                <w:bCs/>
              </w:rPr>
              <w:t>100/uur en/of facturen</w:t>
            </w:r>
          </w:p>
        </w:tc>
      </w:tr>
    </w:tbl>
    <w:p w:rsidR="00DC2FCE" w:rsidRPr="00CA75F2" w:rsidRDefault="00DC2FCE" w:rsidP="00DC2FCE">
      <w:pPr>
        <w:pStyle w:val="Plattetekst"/>
      </w:pPr>
      <w:proofErr w:type="spellStart"/>
      <w:r w:rsidRPr="00CA75F2">
        <w:t>I.g.v</w:t>
      </w:r>
      <w:proofErr w:type="spellEnd"/>
      <w:r w:rsidRPr="00CA75F2">
        <w:t xml:space="preserve">. overlap telt de hoogste waarde. </w:t>
      </w:r>
    </w:p>
    <w:p w:rsidR="00DC2FCE" w:rsidRPr="00CA75F2" w:rsidRDefault="00DC2FCE" w:rsidP="00DC2FCE">
      <w:pPr>
        <w:pStyle w:val="Plattetekst"/>
      </w:pPr>
      <w:r w:rsidRPr="00CA75F2">
        <w:t>WSW en Wajong: wetgeving van voor 01-01-2015</w:t>
      </w:r>
    </w:p>
    <w:p w:rsidR="00DC2FCE" w:rsidRPr="00CA75F2" w:rsidRDefault="00DC2FCE" w:rsidP="00DC2FCE">
      <w:pPr>
        <w:pStyle w:val="Plattetekst"/>
      </w:pPr>
      <w:r w:rsidRPr="00CA75F2">
        <w:rPr>
          <w:bCs/>
        </w:rPr>
        <w:t xml:space="preserve">Tarieven zijn </w:t>
      </w:r>
      <w:proofErr w:type="spellStart"/>
      <w:r w:rsidRPr="00CA75F2">
        <w:rPr>
          <w:bCs/>
        </w:rPr>
        <w:t>all-inclusive</w:t>
      </w:r>
      <w:proofErr w:type="spellEnd"/>
      <w:r w:rsidRPr="00CA75F2">
        <w:rPr>
          <w:bCs/>
        </w:rPr>
        <w:t>, incl. begeleidingskosten en werkgeverslasten</w:t>
      </w:r>
    </w:p>
    <w:p w:rsidR="00DC2FCE" w:rsidRPr="00CA75F2" w:rsidRDefault="00DC2FCE" w:rsidP="00DC2FCE">
      <w:pPr>
        <w:pStyle w:val="Plattetekst"/>
      </w:pPr>
      <w:r w:rsidRPr="00CA75F2">
        <w:t>* Deze activiteit kan alleen worden opgenomen indien de duur van de arbeidsovereenkomst overeenkomt met de eisen die de opleiding aan een overeenkomst stelt</w:t>
      </w:r>
    </w:p>
    <w:p w:rsidR="00DC2FCE" w:rsidRPr="00CA75F2" w:rsidRDefault="00DC2FCE" w:rsidP="00DC2FCE">
      <w:pPr>
        <w:pStyle w:val="Plattetekst"/>
      </w:pPr>
      <w:r w:rsidRPr="00CA75F2">
        <w:t>** MVO activiteiten omvat een scala aan activiteiten. Denk bijv. aan het begeleiden van stagiaires op het vakgebied van de opdracht, het geven van  gastcolleges bij opleidingsinstituten, de sponsoring van een beroepsgerichte opleiding van iemand uit de doelgroep, het storten van een bijdrage in een opleidingsfonds (erkend door het agentschap SZW) of het verkrijgen van een PSO-certificaat.</w:t>
      </w:r>
    </w:p>
    <w:p w:rsidR="00DC2FCE" w:rsidRPr="00CA75F2" w:rsidRDefault="00DC2FCE" w:rsidP="00DC2FCE">
      <w:pPr>
        <w:pStyle w:val="Plattetekst"/>
      </w:pPr>
    </w:p>
    <w:p w:rsidR="00DC2FCE" w:rsidRPr="00CA75F2" w:rsidRDefault="00DC2FCE" w:rsidP="00DC2FCE">
      <w:pPr>
        <w:pStyle w:val="Plattetekst"/>
        <w:rPr>
          <w:lang w:val="nl"/>
        </w:rPr>
      </w:pPr>
      <w:r w:rsidRPr="00CA75F2">
        <w:rPr>
          <w:lang w:val="nl"/>
        </w:rPr>
        <w:t>Een voorbeeld:</w:t>
      </w:r>
    </w:p>
    <w:p w:rsidR="00DC2FCE" w:rsidRPr="00CA75F2" w:rsidRDefault="00DC2FCE" w:rsidP="00DC2FCE">
      <w:pPr>
        <w:pStyle w:val="Plattetekst"/>
      </w:pPr>
      <w:r w:rsidRPr="00CA75F2">
        <w:t xml:space="preserve">De gefactureerde opdrachtsom van een opdracht is bijvoorbeeld € 300.000. De SROI-verplichting bedraagt 5% (€ 15.000). Om te voldoen aan deze verplichting kan de opdrachtnemer voor dit bedrag een arbeidscontract bieden voor een periode van: </w:t>
      </w:r>
    </w:p>
    <w:p w:rsidR="00DC2FCE" w:rsidRPr="00CA75F2" w:rsidRDefault="00DC2FCE" w:rsidP="00DC2FCE">
      <w:pPr>
        <w:pStyle w:val="Plattetekst"/>
        <w:numPr>
          <w:ilvl w:val="0"/>
          <w:numId w:val="4"/>
        </w:numPr>
      </w:pPr>
      <w:r w:rsidRPr="00CA75F2">
        <w:t xml:space="preserve">een halfjaar, aan iemand die &lt; 2 jaar onder de Participatiewet valt (en niet arbeidsbeperkt is), of </w:t>
      </w:r>
    </w:p>
    <w:p w:rsidR="00DC2FCE" w:rsidRPr="00CA75F2" w:rsidRDefault="00DC2FCE" w:rsidP="00DC2FCE">
      <w:pPr>
        <w:pStyle w:val="Plattetekst"/>
        <w:numPr>
          <w:ilvl w:val="0"/>
          <w:numId w:val="4"/>
        </w:numPr>
      </w:pPr>
      <w:r w:rsidRPr="00CA75F2">
        <w:t>één jaar, aan iemand die &gt; 1 jaar een WW-uitkering heeft.</w:t>
      </w:r>
    </w:p>
    <w:p w:rsidR="00DC2FCE" w:rsidRPr="00CA75F2" w:rsidRDefault="00DC2FCE" w:rsidP="00DC2FCE">
      <w:pPr>
        <w:pStyle w:val="Plattetekst"/>
        <w:rPr>
          <w:lang w:val="nl"/>
        </w:rPr>
      </w:pPr>
    </w:p>
    <w:p w:rsidR="00DC2FCE" w:rsidRPr="00CA75F2" w:rsidRDefault="00DC2FCE" w:rsidP="00DC2FCE">
      <w:pPr>
        <w:pStyle w:val="Plattetekst"/>
        <w:rPr>
          <w:u w:val="single"/>
        </w:rPr>
      </w:pPr>
      <w:r w:rsidRPr="00CA75F2">
        <w:rPr>
          <w:u w:val="single"/>
        </w:rPr>
        <w:t>Het proces voor gunning</w:t>
      </w:r>
    </w:p>
    <w:p w:rsidR="00DC2FCE" w:rsidRPr="00CA75F2" w:rsidRDefault="00DC2FCE" w:rsidP="00DC2FCE">
      <w:pPr>
        <w:pStyle w:val="Plattetekst"/>
      </w:pPr>
      <w:r w:rsidRPr="00CA75F2">
        <w:t>Mocht u vragen hebben over de invulling van SROI, een toelichting willen hebben over de verschillende bouwblokken of willen weten of uw specifieke oplossing voor de invulling van de mogelijke SROI verplichting ook realiseerbaar is kunt u deze stellen in de Nota van inlichtingen.</w:t>
      </w:r>
    </w:p>
    <w:p w:rsidR="00DC2FCE" w:rsidRPr="00CA75F2" w:rsidRDefault="00DC2FCE" w:rsidP="00DC2FCE">
      <w:pPr>
        <w:pStyle w:val="Plattetekst"/>
      </w:pPr>
    </w:p>
    <w:p w:rsidR="00DC2FCE" w:rsidRPr="00CA75F2" w:rsidRDefault="00DC2FCE" w:rsidP="00DC2FCE">
      <w:pPr>
        <w:pStyle w:val="Plattetekst"/>
        <w:rPr>
          <w:u w:val="single"/>
        </w:rPr>
      </w:pPr>
      <w:r w:rsidRPr="00CA75F2">
        <w:rPr>
          <w:u w:val="single"/>
        </w:rPr>
        <w:t>Het proces na gunning</w:t>
      </w:r>
    </w:p>
    <w:p w:rsidR="00DC2FCE" w:rsidRPr="00CA75F2" w:rsidRDefault="00DC2FCE" w:rsidP="00DC2FCE">
      <w:pPr>
        <w:pStyle w:val="Plattetekst"/>
      </w:pPr>
      <w:r w:rsidRPr="00CA75F2">
        <w:t xml:space="preserve">De opdrachtnemer neemt na gunning, binnen 1 week contact op met het ESR (sroi@daarwerkenweaan.nl). </w:t>
      </w:r>
    </w:p>
    <w:p w:rsidR="00DC2FCE" w:rsidRPr="00CA75F2" w:rsidRDefault="00DC2FCE" w:rsidP="00DC2FCE">
      <w:pPr>
        <w:pStyle w:val="Plattetekst"/>
      </w:pPr>
      <w:r w:rsidRPr="00CA75F2">
        <w:t>In samenspraak met het ESR wordt door de opdrachtnemer een plan van aanpak opgesteld op welke wijze de verplichting wordt ingevuld. Het plan bestaat uit de navolgende onderdelen:</w:t>
      </w:r>
    </w:p>
    <w:p w:rsidR="00DC2FCE" w:rsidRPr="00CA75F2" w:rsidRDefault="00DC2FCE" w:rsidP="00DC2FCE">
      <w:pPr>
        <w:pStyle w:val="Plattetekst"/>
        <w:numPr>
          <w:ilvl w:val="0"/>
          <w:numId w:val="3"/>
        </w:numPr>
      </w:pPr>
      <w:r w:rsidRPr="00CA75F2">
        <w:t>Opdrachtsom, of in het geval dat deze nog niet bekend is de verwachtte opdrachtsom</w:t>
      </w:r>
    </w:p>
    <w:p w:rsidR="00DC2FCE" w:rsidRPr="00CA75F2" w:rsidRDefault="00DC2FCE" w:rsidP="00DC2FCE">
      <w:pPr>
        <w:pStyle w:val="Plattetekst"/>
        <w:numPr>
          <w:ilvl w:val="0"/>
          <w:numId w:val="3"/>
        </w:numPr>
      </w:pPr>
      <w:r w:rsidRPr="00CA75F2">
        <w:t>Keuze welke bouwblokken worden ingezet</w:t>
      </w:r>
    </w:p>
    <w:p w:rsidR="00DC2FCE" w:rsidRPr="00CA75F2" w:rsidRDefault="00DC2FCE" w:rsidP="00DC2FCE">
      <w:pPr>
        <w:pStyle w:val="Plattetekst"/>
        <w:numPr>
          <w:ilvl w:val="0"/>
          <w:numId w:val="3"/>
        </w:numPr>
      </w:pPr>
      <w:r w:rsidRPr="00CA75F2">
        <w:t>Indien door de opdrachtgever maatschappelijke activiteiten worden ingezet zal vooraf een waarde door het ESR worden bepaald.</w:t>
      </w:r>
    </w:p>
    <w:p w:rsidR="00DC2FCE" w:rsidRPr="00CA75F2" w:rsidRDefault="00DC2FCE" w:rsidP="00DC2FCE">
      <w:pPr>
        <w:pStyle w:val="Plattetekst"/>
        <w:numPr>
          <w:ilvl w:val="0"/>
          <w:numId w:val="3"/>
        </w:numPr>
      </w:pPr>
      <w:r w:rsidRPr="00CA75F2">
        <w:t>Eventueel tussenevaluaties, inclusief eventuele bewijsstukken</w:t>
      </w:r>
    </w:p>
    <w:p w:rsidR="00DC2FCE" w:rsidRPr="00CA75F2" w:rsidRDefault="00DC2FCE" w:rsidP="00DC2FCE">
      <w:pPr>
        <w:pStyle w:val="Plattetekst"/>
        <w:numPr>
          <w:ilvl w:val="0"/>
          <w:numId w:val="3"/>
        </w:numPr>
      </w:pPr>
      <w:r w:rsidRPr="00CA75F2">
        <w:t>Eindevaluatie, inclusief eventuele bewijsstukken</w:t>
      </w:r>
    </w:p>
    <w:p w:rsidR="00DC2FCE" w:rsidRPr="00CA75F2" w:rsidRDefault="00DC2FCE" w:rsidP="00DC2FCE">
      <w:pPr>
        <w:pStyle w:val="Plattetekst"/>
        <w:numPr>
          <w:ilvl w:val="0"/>
          <w:numId w:val="3"/>
        </w:numPr>
      </w:pPr>
      <w:r w:rsidRPr="00CA75F2">
        <w:t>Akkoord ESR</w:t>
      </w:r>
    </w:p>
    <w:p w:rsidR="00DC2FCE" w:rsidRPr="00CA75F2" w:rsidRDefault="00DC2FCE" w:rsidP="00DC2FCE">
      <w:pPr>
        <w:pStyle w:val="Plattetekst"/>
      </w:pPr>
    </w:p>
    <w:p w:rsidR="00DC2FCE" w:rsidRPr="00CA75F2" w:rsidRDefault="00DC2FCE" w:rsidP="00DC2FCE">
      <w:pPr>
        <w:pStyle w:val="Plattetekst"/>
      </w:pPr>
      <w:r w:rsidRPr="00CA75F2">
        <w:t xml:space="preserve">Het resultaat van deze fase is een plan wat concreet en realiseerbaar is. Dit plan is gereed en goedgekeurd door het ESR binnen 6 weken na gunning opdracht. Het ESR kan deze termijn verlengen tot maximaal 12 weken. </w:t>
      </w:r>
    </w:p>
    <w:p w:rsidR="00DC2FCE" w:rsidRPr="00CA75F2" w:rsidRDefault="00DC2FCE" w:rsidP="00DC2FCE">
      <w:pPr>
        <w:pStyle w:val="Plattetekst"/>
      </w:pPr>
    </w:p>
    <w:p w:rsidR="00DC2FCE" w:rsidRPr="00CA75F2" w:rsidRDefault="00DC2FCE" w:rsidP="00DC2FCE">
      <w:pPr>
        <w:pStyle w:val="Plattetekst"/>
        <w:rPr>
          <w:u w:val="single"/>
        </w:rPr>
      </w:pPr>
      <w:r w:rsidRPr="00CA75F2">
        <w:rPr>
          <w:u w:val="single"/>
        </w:rPr>
        <w:t>Tussen- en eindevaluatie</w:t>
      </w:r>
    </w:p>
    <w:p w:rsidR="00DC2FCE" w:rsidRPr="00CA75F2" w:rsidRDefault="00DC2FCE" w:rsidP="00DC2FCE">
      <w:pPr>
        <w:pStyle w:val="Plattetekst"/>
      </w:pPr>
      <w:r w:rsidRPr="00CA75F2">
        <w:t xml:space="preserve">Conform het goedgekeurde plan levert de opdrachtnemer op de afgesproken tijdstippen de tussen- en eindevaluaties op inclusief de opgenomen bewijsstukken. In samenspraak met het ESR zal gekeken worden naar de voortgang en indien noodzakelijk zal het plan van aanpak worden aangepast. Alle wijzigingen dienen goedgekeurd te worden door het ESR. </w:t>
      </w:r>
    </w:p>
    <w:p w:rsidR="00DC2FCE" w:rsidRPr="00CA75F2" w:rsidRDefault="00DC2FCE" w:rsidP="00DC2FCE">
      <w:pPr>
        <w:pStyle w:val="Plattetekst"/>
      </w:pPr>
    </w:p>
    <w:p w:rsidR="00DC2FCE" w:rsidRDefault="00DC2FCE">
      <w:pPr>
        <w:spacing w:after="160" w:line="259" w:lineRule="auto"/>
        <w:rPr>
          <w:u w:val="single"/>
        </w:rPr>
      </w:pPr>
      <w:r>
        <w:rPr>
          <w:u w:val="single"/>
        </w:rPr>
        <w:br w:type="page"/>
      </w:r>
    </w:p>
    <w:p w:rsidR="00DC2FCE" w:rsidRPr="00CA75F2" w:rsidRDefault="00DC2FCE" w:rsidP="00DC2FCE">
      <w:pPr>
        <w:pStyle w:val="Plattetekst"/>
        <w:rPr>
          <w:u w:val="single"/>
        </w:rPr>
      </w:pPr>
      <w:bookmarkStart w:id="2" w:name="_GoBack"/>
      <w:bookmarkEnd w:id="2"/>
      <w:r w:rsidRPr="00CA75F2">
        <w:rPr>
          <w:u w:val="single"/>
        </w:rPr>
        <w:lastRenderedPageBreak/>
        <w:t>Registratie SROI-verplichting</w:t>
      </w:r>
    </w:p>
    <w:p w:rsidR="00DC2FCE" w:rsidRPr="00CA75F2" w:rsidRDefault="00DC2FCE" w:rsidP="00DC2FCE">
      <w:pPr>
        <w:pStyle w:val="Plattetekst"/>
      </w:pPr>
      <w:r w:rsidRPr="00CA75F2">
        <w:t>Opdrachtnemer krijgt toegang tot het registratiesysteem WIZZR en dient de invulling van de SROI-verplichting hierin bij te houden. Nadat er een gesprek is geweest met het ESR ontvangt opdrachtnemer een inlogcode voor het registratiesysteem. Aan de hand van het registratiesysteem wordt geregistreerd en gecontroleerd of aan de afgesproken SROI-verplichting voldaan wordt (op correcte wijze en volgens afspraak). Een inlogcode wordt alleen verstrekt aan opdrachtnemer, c.q. penvoerder die de opdracht gegund heeft gekregen.</w:t>
      </w:r>
    </w:p>
    <w:p w:rsidR="00DC2FCE" w:rsidRPr="00CA75F2" w:rsidRDefault="00DC2FCE" w:rsidP="00DC2FCE">
      <w:pPr>
        <w:pStyle w:val="Plattetekst"/>
      </w:pPr>
      <w:r w:rsidRPr="00CA75F2">
        <w:t>Als de inschrijver al een inlogcode heeft,  dan wordt het contract zichtbaar in zijn account in het systeem.</w:t>
      </w:r>
    </w:p>
    <w:p w:rsidR="00DC2FCE" w:rsidRPr="00CA75F2" w:rsidRDefault="00DC2FCE" w:rsidP="00DC2FCE">
      <w:pPr>
        <w:pStyle w:val="Plattetekst"/>
      </w:pPr>
    </w:p>
    <w:p w:rsidR="00DC2FCE" w:rsidRPr="00CA75F2" w:rsidRDefault="00DC2FCE" w:rsidP="00DC2FCE">
      <w:pPr>
        <w:pStyle w:val="Plattetekst"/>
      </w:pPr>
      <w:r w:rsidRPr="00CA75F2">
        <w:t xml:space="preserve">Opdrachtnemer voert in het registratiesysteem de kandidaten en/of activiteiten op ter invulling van de SROI-verplichting. De invulling moet door de opdrachtnemer te onderbouwen zijn, bijvoorbeeld via een doelgroepenverklaring of een bewijs voor toekenning uitkering in combinatie met een loonstrook, een arbeidsovereenkomst etc. Het ESR controleert deze gegevens op bijv.  doelgroep, uurtarief, startdatum en periode tewerkstelling. Een kopie van de loonstrook en/of arbeidsovereenkomst kan ter controle opgevraagd worden. Alle gegevens kunnen in de WIZZR worden ingevoerd. </w:t>
      </w:r>
    </w:p>
    <w:p w:rsidR="00DC2FCE" w:rsidRPr="00CA75F2" w:rsidRDefault="00DC2FCE" w:rsidP="00DC2FCE">
      <w:pPr>
        <w:pStyle w:val="Plattetekst"/>
      </w:pPr>
    </w:p>
    <w:p w:rsidR="00DC2FCE" w:rsidRPr="00CA75F2" w:rsidRDefault="00DC2FCE" w:rsidP="00DC2FCE">
      <w:pPr>
        <w:pStyle w:val="Plattetekst"/>
      </w:pPr>
      <w:r w:rsidRPr="00CA75F2">
        <w:t xml:space="preserve">Opdrachtnemer heeft op grond van de Wet bescherming persoonsgegevens toestemming nodig van de kandidaten om hun persoonsgegevens te overleggen voor de verantwoording van de SROI-verplichting. Hiervoor is het formulier “toestemmingsverklaring” te gebruiken. Dit formulier is verkrijgbaar via het ESR. </w:t>
      </w:r>
    </w:p>
    <w:p w:rsidR="00DC2FCE" w:rsidRPr="00CA75F2" w:rsidRDefault="00DC2FCE" w:rsidP="00DC2FCE">
      <w:pPr>
        <w:pStyle w:val="Plattetekst"/>
      </w:pPr>
      <w:r w:rsidRPr="00CA75F2">
        <w:t>In het registratiesysteem is de realisatie ten opzichte van de SROI- verplichting inzichtelijk, en kan opdrachtnemer deze zelf volgen. Als er afwijkingen worden geconstateerd door het ESR, dan zal deze contact met opdrachtnemer opnemen en -  indien nodig - de opdrachtgever op de hoogte stellen.</w:t>
      </w:r>
    </w:p>
    <w:p w:rsidR="00DC2FCE" w:rsidRPr="00CA75F2" w:rsidRDefault="00DC2FCE" w:rsidP="00DC2FCE">
      <w:pPr>
        <w:pStyle w:val="Plattetekst"/>
      </w:pPr>
    </w:p>
    <w:p w:rsidR="00DC2FCE" w:rsidRPr="00CA75F2" w:rsidRDefault="00DC2FCE" w:rsidP="00DC2FCE">
      <w:pPr>
        <w:pStyle w:val="Plattetekst"/>
        <w:rPr>
          <w:u w:val="single"/>
        </w:rPr>
      </w:pPr>
      <w:r w:rsidRPr="00CA75F2">
        <w:rPr>
          <w:u w:val="single"/>
        </w:rPr>
        <w:t>Tips</w:t>
      </w:r>
    </w:p>
    <w:p w:rsidR="00DC2FCE" w:rsidRPr="00CA75F2" w:rsidRDefault="00DC2FCE" w:rsidP="00DC2FCE">
      <w:pPr>
        <w:pStyle w:val="Plattetekst"/>
        <w:rPr>
          <w:i/>
        </w:rPr>
      </w:pPr>
      <w:r w:rsidRPr="00CA75F2">
        <w:rPr>
          <w:i/>
        </w:rPr>
        <w:t xml:space="preserve">Werkt u met onderaannemers/leveranciers? </w:t>
      </w:r>
    </w:p>
    <w:p w:rsidR="00DC2FCE" w:rsidRPr="00CA75F2" w:rsidRDefault="00DC2FCE" w:rsidP="00DC2FCE">
      <w:pPr>
        <w:pStyle w:val="Plattetekst"/>
      </w:pPr>
      <w:r w:rsidRPr="00CA75F2">
        <w:t xml:space="preserve">Neem dan in uw contracten met onderaannemers/leveranciers ook een SROI verplichting op. </w:t>
      </w:r>
    </w:p>
    <w:p w:rsidR="00DC2FCE" w:rsidRPr="00CA75F2" w:rsidRDefault="00DC2FCE" w:rsidP="00DC2FCE">
      <w:pPr>
        <w:pStyle w:val="Plattetekst"/>
      </w:pPr>
    </w:p>
    <w:p w:rsidR="00DC2FCE" w:rsidRPr="00CA75F2" w:rsidRDefault="00DC2FCE" w:rsidP="00DC2FCE">
      <w:pPr>
        <w:pStyle w:val="Plattetekst"/>
      </w:pPr>
      <w:r w:rsidRPr="00CA75F2">
        <w:rPr>
          <w:i/>
        </w:rPr>
        <w:t>Het aanbod is breder dan (vaak) wordt gedacht</w:t>
      </w:r>
      <w:r w:rsidRPr="00CA75F2">
        <w:t>.</w:t>
      </w:r>
    </w:p>
    <w:p w:rsidR="00DC2FCE" w:rsidRPr="00CA75F2" w:rsidRDefault="00DC2FCE" w:rsidP="00DC2FCE">
      <w:pPr>
        <w:pStyle w:val="Plattetekst"/>
      </w:pPr>
      <w:r w:rsidRPr="00CA75F2">
        <w:t>Het idee heerst dat de gemeente en het UWV alleen mensen bemiddelen met een grote afstand tot de arbeidsmarkt. Natuurlijk zijn zij altijd op zoek naar die werkgever die voor deze mensen de juiste plek hebben. Maar voor de invulling van SROI kunt u ook denken aan mensen die pas werkloos zijn geworden of aan die leerling die een BBL-plek nodig heeft om zijn/haar opleiding te kunnen afronden.</w:t>
      </w:r>
    </w:p>
    <w:p w:rsidR="00DC2FCE" w:rsidRPr="00CA75F2" w:rsidRDefault="00DC2FCE" w:rsidP="00DC2FCE">
      <w:pPr>
        <w:pStyle w:val="Plattetekst"/>
      </w:pPr>
    </w:p>
    <w:p w:rsidR="00DC2FCE" w:rsidRPr="00CA75F2" w:rsidRDefault="00DC2FCE" w:rsidP="00DC2FCE">
      <w:pPr>
        <w:pStyle w:val="Plattetekst"/>
        <w:rPr>
          <w:i/>
        </w:rPr>
      </w:pPr>
      <w:r w:rsidRPr="00CA75F2">
        <w:rPr>
          <w:i/>
        </w:rPr>
        <w:t>Check haalbaarheid</w:t>
      </w:r>
    </w:p>
    <w:p w:rsidR="00DC2FCE" w:rsidRPr="00CA75F2" w:rsidRDefault="00DC2FCE" w:rsidP="00DC2FCE">
      <w:pPr>
        <w:pStyle w:val="Plattetekst"/>
      </w:pPr>
      <w:r w:rsidRPr="00CA75F2">
        <w:t xml:space="preserve">Alhoewel er op dit moment veel mensen werkloos zijn, is dit geen garantie dat er voor elke functie (m.n. bij functies met specifieke opleidingseisen) de juiste kandidaat is. Aarzel dan ook niet om het Expertisecentrum </w:t>
      </w:r>
      <w:proofErr w:type="spellStart"/>
      <w:r w:rsidRPr="00CA75F2">
        <w:t>Social</w:t>
      </w:r>
      <w:proofErr w:type="spellEnd"/>
      <w:r w:rsidRPr="00CA75F2">
        <w:t xml:space="preserve"> Return (ESR) te raadplegen bij de planvorming. Zij kunnen u in contact brengen met de juiste instanties.</w:t>
      </w:r>
    </w:p>
    <w:p w:rsidR="00DC2FCE" w:rsidRPr="00CA75F2" w:rsidRDefault="00DC2FCE" w:rsidP="00DC2FCE">
      <w:pPr>
        <w:pStyle w:val="Plattetekst"/>
      </w:pPr>
    </w:p>
    <w:p w:rsidR="00DC2FCE" w:rsidRPr="00CA75F2" w:rsidRDefault="00DC2FCE" w:rsidP="00DC2FCE">
      <w:pPr>
        <w:pStyle w:val="Plattetekst"/>
      </w:pPr>
    </w:p>
    <w:p w:rsidR="00DC2FCE" w:rsidRPr="00CA75F2" w:rsidRDefault="00DC2FCE" w:rsidP="00DC2FCE">
      <w:pPr>
        <w:pStyle w:val="Plattetekst"/>
        <w:rPr>
          <w:b/>
        </w:rPr>
      </w:pPr>
      <w:bookmarkStart w:id="3" w:name="_Toc232740019"/>
      <w:r w:rsidRPr="00CA75F2">
        <w:rPr>
          <w:b/>
        </w:rPr>
        <w:t>Juridische voorwaarden</w:t>
      </w:r>
      <w:bookmarkEnd w:id="3"/>
      <w:r w:rsidRPr="00CA75F2">
        <w:rPr>
          <w:b/>
        </w:rPr>
        <w:t xml:space="preserve"> </w:t>
      </w:r>
    </w:p>
    <w:p w:rsidR="00DC2FCE" w:rsidRPr="00CA75F2" w:rsidRDefault="00DC2FCE" w:rsidP="00DC2FCE">
      <w:pPr>
        <w:pStyle w:val="Plattetekst"/>
        <w:numPr>
          <w:ilvl w:val="0"/>
          <w:numId w:val="6"/>
        </w:numPr>
      </w:pPr>
      <w:r w:rsidRPr="00CA75F2">
        <w:t>De opdrachtnemer is verplicht 5% van de gefactureerde omzet naar aanleiding van de opdracht aan te wenden aan SROI inspanningen. Het juiste percentage staat vermeld in het bestek.</w:t>
      </w:r>
    </w:p>
    <w:p w:rsidR="00DC2FCE" w:rsidRPr="00CA75F2" w:rsidRDefault="00DC2FCE" w:rsidP="00DC2FCE">
      <w:pPr>
        <w:pStyle w:val="Plattetekst"/>
        <w:numPr>
          <w:ilvl w:val="0"/>
          <w:numId w:val="6"/>
        </w:numPr>
      </w:pPr>
      <w:r w:rsidRPr="00CA75F2">
        <w:t>Voor het bepalen van de waarde van de inspanningen in SROI, worden minimaal de waarden uit, in dit document opgenomen, tabel bouwblokken gehanteerd, eventueel aangevuld met door het ESR vastgestelde waarde voor een maatschappelijke activiteit.</w:t>
      </w:r>
    </w:p>
    <w:p w:rsidR="00DC2FCE" w:rsidRPr="00CA75F2" w:rsidRDefault="00DC2FCE" w:rsidP="00DC2FCE">
      <w:pPr>
        <w:pStyle w:val="Plattetekst"/>
        <w:numPr>
          <w:ilvl w:val="0"/>
          <w:numId w:val="6"/>
        </w:numPr>
      </w:pPr>
      <w:r w:rsidRPr="00CA75F2">
        <w:t xml:space="preserve">De opdrachtnemer neemt binnen 1 week na gunning contact met het ESR op om een afspraak in te plannen om een start te maken met het opstellen van het plan </w:t>
      </w:r>
      <w:r w:rsidRPr="00CA75F2">
        <w:lastRenderedPageBreak/>
        <w:t>van aanpak. Het ESR adviseert en faciliteert de opdrachtnemer, indien gewenst, bij het opstellen van het plan van aanpak.</w:t>
      </w:r>
    </w:p>
    <w:p w:rsidR="00DC2FCE" w:rsidRPr="00CA75F2" w:rsidRDefault="00DC2FCE" w:rsidP="00DC2FCE">
      <w:pPr>
        <w:pStyle w:val="Plattetekst"/>
        <w:numPr>
          <w:ilvl w:val="0"/>
          <w:numId w:val="6"/>
        </w:numPr>
      </w:pPr>
      <w:r w:rsidRPr="00CA75F2">
        <w:t xml:space="preserve">Opdrachtnemer levert aan het ESR een goedgekeurd plan op binnen 6 weken na gunning opdracht, hoe aan de SROI-verplichting te voldoen. Deze termijn kan, door het ESR worden verlengd, tot maximaal 12 weken. </w:t>
      </w:r>
    </w:p>
    <w:p w:rsidR="00DC2FCE" w:rsidRPr="00CA75F2" w:rsidRDefault="00DC2FCE" w:rsidP="00DC2FCE">
      <w:pPr>
        <w:pStyle w:val="Plattetekst"/>
        <w:numPr>
          <w:ilvl w:val="0"/>
          <w:numId w:val="6"/>
        </w:numPr>
      </w:pPr>
      <w:r w:rsidRPr="00CA75F2">
        <w:t>Het ESR zal zich, indien gewenst, inspannen de aanlevering van kandidaten aan de opdrachtnemer te bevorderen. Deze inspanningen doen niets af aan de eigen eindverantwoordelijkheid van de opdrachtnemer om aan de SROI-verplichting te voldoen.</w:t>
      </w:r>
    </w:p>
    <w:p w:rsidR="00DC2FCE" w:rsidRPr="00CA75F2" w:rsidRDefault="00DC2FCE" w:rsidP="00DC2FCE">
      <w:pPr>
        <w:pStyle w:val="Plattetekst"/>
        <w:numPr>
          <w:ilvl w:val="0"/>
          <w:numId w:val="6"/>
        </w:numPr>
      </w:pPr>
      <w:r w:rsidRPr="00CA75F2">
        <w:t xml:space="preserve">Gedurende de looptijd van de overeenkomst levert opdrachtnemer, de in het plan van aanpak opgenomen, rapportage(s) aan het ESR inclusief bewijsstukken, conform de afspraken die hierover in het plan van aanpak, inclusief de eventuele wijzigingen hierop, zijn gemaakt. </w:t>
      </w:r>
    </w:p>
    <w:p w:rsidR="00DC2FCE" w:rsidRPr="00CA75F2" w:rsidRDefault="00DC2FCE" w:rsidP="00DC2FCE">
      <w:pPr>
        <w:pStyle w:val="Plattetekst"/>
        <w:numPr>
          <w:ilvl w:val="0"/>
          <w:numId w:val="6"/>
        </w:numPr>
      </w:pPr>
      <w:r w:rsidRPr="00CA75F2">
        <w:t>De definitieve hoogte van de SROI-verplichting wordt berekend over de gefactureerde omzet en geschiedt aan het einde van de looptijd van de overeenkomst.</w:t>
      </w:r>
    </w:p>
    <w:p w:rsidR="00DC2FCE" w:rsidRPr="00CA75F2" w:rsidRDefault="00DC2FCE" w:rsidP="00DC2FCE">
      <w:pPr>
        <w:pStyle w:val="Plattetekst"/>
        <w:numPr>
          <w:ilvl w:val="0"/>
          <w:numId w:val="6"/>
        </w:numPr>
      </w:pPr>
      <w:r w:rsidRPr="00CA75F2">
        <w:t>Uiterlijk binnen 2 (twee) maanden, of zoveel eerder als in het plan van aanpak is afgesproken, na het einde van de looptijd van de overeenkomst levert de opdrachtnemer een eindrapportage (inclusief bewijsstukken) aan het ESR conform de afspraken in het plan van aanpak.</w:t>
      </w:r>
    </w:p>
    <w:p w:rsidR="00DC2FCE" w:rsidRPr="00CA75F2" w:rsidRDefault="00DC2FCE" w:rsidP="00DC2FCE">
      <w:pPr>
        <w:pStyle w:val="Plattetekst"/>
        <w:numPr>
          <w:ilvl w:val="0"/>
          <w:numId w:val="6"/>
        </w:numPr>
      </w:pPr>
      <w:r w:rsidRPr="00CA75F2">
        <w:t>Het ESR heeft de bevoegdheid de rapportages te verifiëren. Opdrachtnemer verleent daartoe zijn volledige medewerking. De eventuele kosten voorvloeiend uit deze medewerking kunnen niet bij de opdrachtgever verhaald worden.</w:t>
      </w:r>
    </w:p>
    <w:p w:rsidR="00DC2FCE" w:rsidRPr="00CA75F2" w:rsidRDefault="00DC2FCE" w:rsidP="00DC2FCE">
      <w:pPr>
        <w:pStyle w:val="Plattetekst"/>
        <w:numPr>
          <w:ilvl w:val="0"/>
          <w:numId w:val="6"/>
        </w:numPr>
      </w:pPr>
      <w:r w:rsidRPr="00CA75F2">
        <w:t>Het ESR is bevoegd om inspanningen die niet vooraf zijn goedgekeurd, niet mee te rekenen in het kader van de SROI-verplichting. De bewijslast om deze goedkeuring achteraf te verkrijgen berust bij de opdrachtnemer.</w:t>
      </w:r>
    </w:p>
    <w:p w:rsidR="00DC2FCE" w:rsidRPr="00CA75F2" w:rsidRDefault="00DC2FCE" w:rsidP="00DC2FCE">
      <w:pPr>
        <w:pStyle w:val="Plattetekst"/>
      </w:pPr>
    </w:p>
    <w:p w:rsidR="00DC2FCE" w:rsidRPr="00CA75F2" w:rsidRDefault="00DC2FCE" w:rsidP="00DC2FCE">
      <w:pPr>
        <w:pStyle w:val="Plattetekst"/>
        <w:rPr>
          <w:b/>
        </w:rPr>
      </w:pPr>
      <w:r w:rsidRPr="00CA75F2">
        <w:rPr>
          <w:b/>
        </w:rPr>
        <w:t xml:space="preserve">Contactgegevens van het Expertisecentrum </w:t>
      </w:r>
      <w:proofErr w:type="spellStart"/>
      <w:r w:rsidRPr="00CA75F2">
        <w:rPr>
          <w:b/>
        </w:rPr>
        <w:t>Social</w:t>
      </w:r>
      <w:proofErr w:type="spellEnd"/>
      <w:r w:rsidRPr="00CA75F2">
        <w:rPr>
          <w:b/>
        </w:rPr>
        <w:t xml:space="preserve"> Return (ESR)</w:t>
      </w:r>
    </w:p>
    <w:p w:rsidR="00DC2FCE" w:rsidRPr="00CA75F2" w:rsidRDefault="00DC2FCE" w:rsidP="00DC2FCE">
      <w:pPr>
        <w:pStyle w:val="Plattetekst"/>
        <w:numPr>
          <w:ilvl w:val="0"/>
          <w:numId w:val="5"/>
        </w:numPr>
        <w:rPr>
          <w:lang w:val="en-US"/>
        </w:rPr>
      </w:pPr>
      <w:hyperlink r:id="rId5" w:history="1">
        <w:r w:rsidRPr="00CA75F2">
          <w:rPr>
            <w:rStyle w:val="Hyperlink"/>
            <w:lang w:val="en-US"/>
          </w:rPr>
          <w:t>sroi@daarwerkenweaan.nl</w:t>
        </w:r>
      </w:hyperlink>
    </w:p>
    <w:p w:rsidR="00DC2FCE" w:rsidRPr="00E43150" w:rsidRDefault="00DC2FCE" w:rsidP="00DC2FCE">
      <w:pPr>
        <w:pStyle w:val="Plattetekst"/>
        <w:numPr>
          <w:ilvl w:val="0"/>
          <w:numId w:val="5"/>
        </w:numPr>
        <w:rPr>
          <w:lang w:val="en-US"/>
        </w:rPr>
      </w:pPr>
      <w:hyperlink r:id="rId6">
        <w:r w:rsidRPr="61549DAF">
          <w:rPr>
            <w:rStyle w:val="Hyperlink"/>
            <w:lang w:val="en-US"/>
          </w:rPr>
          <w:t>www.bit.ly/aanpakSROI</w:t>
        </w:r>
      </w:hyperlink>
      <w:r w:rsidRPr="61549DAF">
        <w:rPr>
          <w:lang w:val="en-US"/>
        </w:rPr>
        <w:t xml:space="preserve"> </w:t>
      </w:r>
    </w:p>
    <w:p w:rsidR="005C2460" w:rsidRDefault="00530631"/>
    <w:sectPr w:rsidR="005C2460" w:rsidSect="00DC2FCE">
      <w:footerReference w:type="even" r:id="rId7"/>
      <w:footerReference w:type="default" r:id="rId8"/>
      <w:footnotePr>
        <w:pos w:val="beneathText"/>
      </w:footnotePr>
      <w:pgSz w:w="11906" w:h="16838" w:code="9"/>
      <w:pgMar w:top="1418" w:right="1134" w:bottom="1418" w:left="1701" w:header="709" w:footer="709" w:gutter="0"/>
      <w:paperSrc w:first="1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7F" w:rsidRDefault="00530631" w:rsidP="0021102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C5F7F" w:rsidRDefault="00530631" w:rsidP="00C84A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7F" w:rsidRPr="00636339" w:rsidRDefault="00530631" w:rsidP="00211020">
    <w:pPr>
      <w:pStyle w:val="Voettekst"/>
      <w:framePr w:wrap="around" w:vAnchor="text" w:hAnchor="margin" w:xAlign="right" w:y="1"/>
      <w:rPr>
        <w:rStyle w:val="Paginanummer"/>
        <w:color w:val="FF9900"/>
      </w:rPr>
    </w:pPr>
    <w:r w:rsidRPr="00636339">
      <w:rPr>
        <w:rStyle w:val="Paginanummer"/>
        <w:color w:val="FF9900"/>
      </w:rPr>
      <w:fldChar w:fldCharType="begin"/>
    </w:r>
    <w:r w:rsidRPr="00636339">
      <w:rPr>
        <w:rStyle w:val="Paginanummer"/>
        <w:color w:val="FF9900"/>
      </w:rPr>
      <w:instrText xml:space="preserve">PAGE  </w:instrText>
    </w:r>
    <w:r w:rsidRPr="00636339">
      <w:rPr>
        <w:rStyle w:val="Paginanummer"/>
        <w:color w:val="FF9900"/>
      </w:rPr>
      <w:fldChar w:fldCharType="separate"/>
    </w:r>
    <w:r>
      <w:rPr>
        <w:rStyle w:val="Paginanummer"/>
        <w:noProof/>
        <w:color w:val="FF9900"/>
      </w:rPr>
      <w:t>4</w:t>
    </w:r>
    <w:r w:rsidRPr="00636339">
      <w:rPr>
        <w:rStyle w:val="Paginanummer"/>
        <w:color w:val="FF9900"/>
      </w:rPr>
      <w:fldChar w:fldCharType="end"/>
    </w:r>
  </w:p>
  <w:p w:rsidR="008C5F7F" w:rsidRDefault="00530631" w:rsidP="00211020">
    <w:pPr>
      <w:pStyle w:val="Voetteks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381564B"/>
    <w:multiLevelType w:val="hybridMultilevel"/>
    <w:tmpl w:val="64FA4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FDF3676"/>
    <w:multiLevelType w:val="hybridMultilevel"/>
    <w:tmpl w:val="B08EE7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16264F"/>
    <w:multiLevelType w:val="hybridMultilevel"/>
    <w:tmpl w:val="C62A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13277BC"/>
    <w:multiLevelType w:val="hybridMultilevel"/>
    <w:tmpl w:val="CE78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838C7"/>
    <w:multiLevelType w:val="hybridMultilevel"/>
    <w:tmpl w:val="B5F4D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CE"/>
    <w:rsid w:val="00530631"/>
    <w:rsid w:val="0060004B"/>
    <w:rsid w:val="006670EB"/>
    <w:rsid w:val="00DC2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6803"/>
  <w15:chartTrackingRefBased/>
  <w15:docId w15:val="{868805B2-BBAB-4B3C-A558-3B097F89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Plattetekst"/>
    <w:qFormat/>
    <w:rsid w:val="00DC2FCE"/>
    <w:pPr>
      <w:spacing w:after="0" w:line="240" w:lineRule="auto"/>
    </w:pPr>
    <w:rPr>
      <w:rFonts w:ascii="Verdana" w:eastAsia="Times New Roman" w:hAnsi="Verdana" w:cs="Times New Roman"/>
      <w:snapToGrid w:val="0"/>
      <w:kern w:val="2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DC2FCE"/>
  </w:style>
  <w:style w:type="character" w:customStyle="1" w:styleId="PlattetekstChar">
    <w:name w:val="Platte tekst Char"/>
    <w:basedOn w:val="Standaardalinea-lettertype"/>
    <w:link w:val="Plattetekst"/>
    <w:rsid w:val="00DC2FCE"/>
    <w:rPr>
      <w:rFonts w:ascii="Verdana" w:eastAsia="Times New Roman" w:hAnsi="Verdana" w:cs="Times New Roman"/>
      <w:snapToGrid w:val="0"/>
      <w:kern w:val="20"/>
      <w:sz w:val="20"/>
      <w:szCs w:val="20"/>
      <w:lang w:eastAsia="nl-NL"/>
    </w:rPr>
  </w:style>
  <w:style w:type="paragraph" w:styleId="Voettekst">
    <w:name w:val="footer"/>
    <w:basedOn w:val="Standaard"/>
    <w:link w:val="VoettekstChar"/>
    <w:rsid w:val="00DC2FCE"/>
    <w:pPr>
      <w:tabs>
        <w:tab w:val="center" w:pos="4536"/>
        <w:tab w:val="right" w:pos="9072"/>
      </w:tabs>
    </w:pPr>
  </w:style>
  <w:style w:type="character" w:customStyle="1" w:styleId="VoettekstChar">
    <w:name w:val="Voettekst Char"/>
    <w:basedOn w:val="Standaardalinea-lettertype"/>
    <w:link w:val="Voettekst"/>
    <w:rsid w:val="00DC2FCE"/>
    <w:rPr>
      <w:rFonts w:ascii="Verdana" w:eastAsia="Times New Roman" w:hAnsi="Verdana" w:cs="Times New Roman"/>
      <w:snapToGrid w:val="0"/>
      <w:kern w:val="20"/>
      <w:sz w:val="20"/>
      <w:szCs w:val="20"/>
      <w:lang w:eastAsia="nl-NL"/>
    </w:rPr>
  </w:style>
  <w:style w:type="character" w:styleId="Paginanummer">
    <w:name w:val="page number"/>
    <w:basedOn w:val="Standaardalinea-lettertype"/>
    <w:rsid w:val="00DC2FCE"/>
  </w:style>
  <w:style w:type="character" w:styleId="Hyperlink">
    <w:name w:val="Hyperlink"/>
    <w:uiPriority w:val="99"/>
    <w:rsid w:val="00DC2FCE"/>
    <w:rPr>
      <w:color w:val="0000FF"/>
      <w:u w:val="single"/>
    </w:rPr>
  </w:style>
  <w:style w:type="paragraph" w:customStyle="1" w:styleId="paragraaftitelgeletterd">
    <w:name w:val="paragraaftitel geletterd"/>
    <w:basedOn w:val="Standaard"/>
    <w:next w:val="Standaard"/>
    <w:rsid w:val="00DC2FCE"/>
    <w:pPr>
      <w:numPr>
        <w:numId w:val="1"/>
      </w:numPr>
      <w:tabs>
        <w:tab w:val="left" w:pos="567"/>
      </w:tabs>
      <w:spacing w:line="360" w:lineRule="auto"/>
    </w:pPr>
    <w:rPr>
      <w:b/>
      <w:color w:val="FF9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t.ly/aanpakSROI" TargetMode="External"/><Relationship Id="rId5" Type="http://schemas.openxmlformats.org/officeDocument/2006/relationships/hyperlink" Target="mailto:sroi@daarwerkenweaan.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8958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Walsem</dc:creator>
  <cp:keywords/>
  <dc:description/>
  <cp:lastModifiedBy>Laurens van Walsem</cp:lastModifiedBy>
  <cp:revision>1</cp:revision>
  <dcterms:created xsi:type="dcterms:W3CDTF">2021-09-15T13:59:00Z</dcterms:created>
  <dcterms:modified xsi:type="dcterms:W3CDTF">2021-09-15T14:24:00Z</dcterms:modified>
</cp:coreProperties>
</file>