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7C503" w14:textId="6ABF932B" w:rsidR="00EA5BA4" w:rsidRPr="00767617" w:rsidRDefault="00F866BB" w:rsidP="00117837">
      <w:pPr>
        <w:widowControl w:val="0"/>
        <w:tabs>
          <w:tab w:val="left" w:pos="1701"/>
          <w:tab w:val="left" w:pos="4731"/>
        </w:tabs>
        <w:spacing w:before="120" w:after="120" w:line="240" w:lineRule="atLeast"/>
        <w:ind w:left="-851"/>
        <w:rPr>
          <w:rFonts w:ascii="Arial" w:hAnsi="Arial"/>
          <w:b/>
        </w:rPr>
      </w:pPr>
      <w:bookmarkStart w:id="0" w:name="_Hlk83323872"/>
      <w:r w:rsidRPr="00767617">
        <w:rPr>
          <w:rFonts w:ascii="Arial" w:hAnsi="Arial"/>
          <w:b/>
          <w:noProof/>
        </w:rPr>
        <w:t>Aanbesteding</w:t>
      </w:r>
      <w:r w:rsidR="003825EB" w:rsidRPr="00767617">
        <w:rPr>
          <w:rFonts w:ascii="Arial" w:hAnsi="Arial"/>
          <w:b/>
          <w:noProof/>
        </w:rPr>
        <w:tab/>
      </w:r>
      <w:r w:rsidRPr="00767617">
        <w:rPr>
          <w:rFonts w:ascii="Arial" w:hAnsi="Arial"/>
          <w:b/>
          <w:noProof/>
        </w:rPr>
        <w:t>:</w:t>
      </w:r>
      <w:r w:rsidR="003825EB" w:rsidRPr="00767617">
        <w:rPr>
          <w:rFonts w:ascii="Arial" w:hAnsi="Arial"/>
          <w:b/>
          <w:noProof/>
        </w:rPr>
        <w:t xml:space="preserve"> </w:t>
      </w:r>
      <w:r w:rsidR="00A16A13">
        <w:rPr>
          <w:rFonts w:ascii="Arial" w:hAnsi="Arial"/>
          <w:b/>
          <w:noProof/>
        </w:rPr>
        <w:t>Raadsinformatie- en Vergadersysteem</w:t>
      </w:r>
    </w:p>
    <w:p w14:paraId="486DD756" w14:textId="77777777" w:rsidR="00EA5BA4" w:rsidRPr="00767617" w:rsidRDefault="00F866BB" w:rsidP="00117837">
      <w:pPr>
        <w:widowControl w:val="0"/>
        <w:tabs>
          <w:tab w:val="left" w:pos="1701"/>
        </w:tabs>
        <w:spacing w:before="120" w:after="120" w:line="240" w:lineRule="atLeast"/>
        <w:ind w:left="-851"/>
        <w:rPr>
          <w:rFonts w:ascii="Arial" w:hAnsi="Arial"/>
          <w:b/>
        </w:rPr>
      </w:pPr>
      <w:r w:rsidRPr="00767617">
        <w:rPr>
          <w:rFonts w:ascii="Arial" w:hAnsi="Arial"/>
          <w:b/>
        </w:rPr>
        <w:t>Procedure</w:t>
      </w:r>
      <w:r w:rsidR="003825EB" w:rsidRPr="00767617">
        <w:rPr>
          <w:rFonts w:ascii="Arial" w:hAnsi="Arial"/>
          <w:b/>
        </w:rPr>
        <w:tab/>
      </w:r>
      <w:r w:rsidRPr="00767617">
        <w:rPr>
          <w:rFonts w:ascii="Arial" w:hAnsi="Arial"/>
          <w:b/>
        </w:rPr>
        <w:t>:</w:t>
      </w:r>
      <w:r w:rsidR="003825EB" w:rsidRPr="00767617">
        <w:rPr>
          <w:rFonts w:ascii="Arial" w:hAnsi="Arial"/>
          <w:b/>
        </w:rPr>
        <w:t xml:space="preserve"> </w:t>
      </w:r>
      <w:r w:rsidR="00CC1C04" w:rsidRPr="00767617">
        <w:rPr>
          <w:rFonts w:ascii="Arial" w:hAnsi="Arial"/>
          <w:b/>
        </w:rPr>
        <w:t xml:space="preserve">Europese </w:t>
      </w:r>
      <w:r w:rsidR="00A975D8" w:rsidRPr="00767617">
        <w:rPr>
          <w:rFonts w:ascii="Arial" w:hAnsi="Arial"/>
          <w:b/>
        </w:rPr>
        <w:t>O</w:t>
      </w:r>
      <w:r w:rsidR="00EA5BA4" w:rsidRPr="00767617">
        <w:rPr>
          <w:rFonts w:ascii="Arial" w:hAnsi="Arial"/>
          <w:b/>
        </w:rPr>
        <w:t>penbare aanbesteding</w:t>
      </w:r>
    </w:p>
    <w:p w14:paraId="38EAD084" w14:textId="2614799A" w:rsidR="00B51383" w:rsidRPr="00767617" w:rsidRDefault="00B51383" w:rsidP="00117837">
      <w:pPr>
        <w:widowControl w:val="0"/>
        <w:tabs>
          <w:tab w:val="left" w:pos="1701"/>
        </w:tabs>
        <w:spacing w:before="120" w:after="120" w:line="240" w:lineRule="atLeast"/>
        <w:ind w:left="-851"/>
        <w:rPr>
          <w:rFonts w:ascii="Arial" w:hAnsi="Arial"/>
          <w:b/>
        </w:rPr>
      </w:pPr>
      <w:r w:rsidRPr="00767617">
        <w:rPr>
          <w:rFonts w:ascii="Arial" w:hAnsi="Arial"/>
          <w:b/>
        </w:rPr>
        <w:t>TenderNed-kenmerk</w:t>
      </w:r>
      <w:r w:rsidR="003825EB" w:rsidRPr="00767617">
        <w:rPr>
          <w:rFonts w:ascii="Arial" w:hAnsi="Arial"/>
          <w:b/>
        </w:rPr>
        <w:tab/>
      </w:r>
      <w:r w:rsidRPr="00767617">
        <w:rPr>
          <w:rFonts w:ascii="Arial" w:hAnsi="Arial"/>
          <w:b/>
        </w:rPr>
        <w:t xml:space="preserve">: </w:t>
      </w:r>
      <w:r w:rsidR="00A16A13">
        <w:rPr>
          <w:rFonts w:ascii="Arial" w:hAnsi="Arial"/>
          <w:b/>
        </w:rPr>
        <w:t>325086</w:t>
      </w:r>
    </w:p>
    <w:p w14:paraId="27F29E5A" w14:textId="77777777" w:rsidR="0037189A" w:rsidRDefault="000A2864" w:rsidP="00117837">
      <w:pPr>
        <w:widowControl w:val="0"/>
        <w:tabs>
          <w:tab w:val="left" w:pos="1701"/>
        </w:tabs>
        <w:spacing w:before="120" w:after="120" w:line="240" w:lineRule="atLeast"/>
        <w:ind w:left="-851"/>
        <w:rPr>
          <w:rFonts w:ascii="Arial" w:hAnsi="Arial"/>
          <w:b/>
        </w:rPr>
      </w:pPr>
      <w:r>
        <w:rPr>
          <w:rFonts w:ascii="Arial" w:hAnsi="Arial"/>
          <w:b/>
        </w:rPr>
        <w:t>Nota van Inlichtingen</w:t>
      </w:r>
      <w:r>
        <w:rPr>
          <w:rFonts w:ascii="Arial" w:hAnsi="Arial"/>
          <w:b/>
        </w:rPr>
        <w:tab/>
        <w:t xml:space="preserve">: </w:t>
      </w:r>
      <w:r w:rsidR="0037189A">
        <w:rPr>
          <w:rFonts w:ascii="Arial" w:hAnsi="Arial"/>
          <w:b/>
        </w:rPr>
        <w:t>18</w:t>
      </w:r>
      <w:r>
        <w:rPr>
          <w:rFonts w:ascii="Arial" w:hAnsi="Arial"/>
          <w:b/>
        </w:rPr>
        <w:t>-</w:t>
      </w:r>
      <w:r w:rsidR="0037189A">
        <w:rPr>
          <w:rFonts w:ascii="Arial" w:hAnsi="Arial"/>
          <w:b/>
        </w:rPr>
        <w:t>10</w:t>
      </w:r>
      <w:r>
        <w:rPr>
          <w:rFonts w:ascii="Arial" w:hAnsi="Arial"/>
          <w:b/>
        </w:rPr>
        <w:t xml:space="preserve">-2021, </w:t>
      </w:r>
    </w:p>
    <w:p w14:paraId="234E1C5D" w14:textId="7BCD178A" w:rsidR="00EA5BA4" w:rsidRDefault="0037189A" w:rsidP="00117837">
      <w:pPr>
        <w:widowControl w:val="0"/>
        <w:tabs>
          <w:tab w:val="left" w:pos="1701"/>
        </w:tabs>
        <w:spacing w:before="120" w:after="120" w:line="240" w:lineRule="atLeast"/>
        <w:ind w:left="-851"/>
        <w:rPr>
          <w:rFonts w:ascii="Arial" w:hAnsi="Arial"/>
          <w:b/>
        </w:rPr>
      </w:pPr>
      <w:r>
        <w:rPr>
          <w:rFonts w:ascii="Arial" w:hAnsi="Arial"/>
          <w:b/>
        </w:rPr>
        <w:t>V</w:t>
      </w:r>
      <w:r w:rsidR="000A2864">
        <w:rPr>
          <w:rFonts w:ascii="Arial" w:hAnsi="Arial"/>
          <w:b/>
        </w:rPr>
        <w:t xml:space="preserve">ersie </w:t>
      </w:r>
      <w:r>
        <w:rPr>
          <w:rFonts w:ascii="Arial" w:hAnsi="Arial"/>
          <w:b/>
        </w:rPr>
        <w:tab/>
        <w:t xml:space="preserve">: </w:t>
      </w:r>
      <w:proofErr w:type="spellStart"/>
      <w:r w:rsidR="00A95997">
        <w:rPr>
          <w:rFonts w:ascii="Arial" w:hAnsi="Arial"/>
          <w:b/>
        </w:rPr>
        <w:t>Gibit</w:t>
      </w:r>
      <w:proofErr w:type="spellEnd"/>
      <w:r w:rsidR="00A95997">
        <w:rPr>
          <w:rFonts w:ascii="Arial" w:hAnsi="Arial"/>
          <w:b/>
        </w:rPr>
        <w:t xml:space="preserve"> 0.1</w:t>
      </w:r>
    </w:p>
    <w:p w14:paraId="4E4CB7B3" w14:textId="16F7F86F" w:rsidR="00C836B6" w:rsidRDefault="00C836B6" w:rsidP="00117837">
      <w:pPr>
        <w:widowControl w:val="0"/>
        <w:tabs>
          <w:tab w:val="left" w:pos="1701"/>
        </w:tabs>
        <w:spacing w:before="120" w:after="120" w:line="240" w:lineRule="atLeast"/>
        <w:ind w:left="-851"/>
        <w:rPr>
          <w:rFonts w:ascii="Arial" w:hAnsi="Arial"/>
          <w:b/>
        </w:rPr>
      </w:pPr>
    </w:p>
    <w:tbl>
      <w:tblPr>
        <w:tblW w:w="14786"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8"/>
        <w:gridCol w:w="708"/>
        <w:gridCol w:w="4016"/>
        <w:gridCol w:w="4016"/>
        <w:gridCol w:w="4017"/>
        <w:gridCol w:w="851"/>
      </w:tblGrid>
      <w:tr w:rsidR="00A95997" w:rsidRPr="000C3165" w14:paraId="3B8A3B40" w14:textId="6E00692B" w:rsidTr="00A95997">
        <w:trPr>
          <w:tblHeader/>
        </w:trPr>
        <w:tc>
          <w:tcPr>
            <w:tcW w:w="1178" w:type="dxa"/>
            <w:tcBorders>
              <w:bottom w:val="single" w:sz="4" w:space="0" w:color="auto"/>
            </w:tcBorders>
            <w:shd w:val="clear" w:color="auto" w:fill="D9D9D9"/>
            <w:vAlign w:val="center"/>
          </w:tcPr>
          <w:bookmarkEnd w:id="0"/>
          <w:p w14:paraId="33C73788" w14:textId="77777777" w:rsidR="00A95997" w:rsidRPr="000C3165" w:rsidRDefault="00A95997" w:rsidP="00117837">
            <w:pPr>
              <w:widowControl w:val="0"/>
              <w:spacing w:before="120" w:after="120" w:line="240" w:lineRule="atLeast"/>
              <w:jc w:val="center"/>
              <w:rPr>
                <w:rFonts w:ascii="Arial" w:hAnsi="Arial"/>
                <w:b/>
                <w:sz w:val="20"/>
                <w:szCs w:val="20"/>
              </w:rPr>
            </w:pPr>
            <w:r w:rsidRPr="000C3165">
              <w:rPr>
                <w:rFonts w:ascii="Arial" w:hAnsi="Arial"/>
                <w:b/>
                <w:sz w:val="20"/>
                <w:szCs w:val="20"/>
              </w:rPr>
              <w:lastRenderedPageBreak/>
              <w:t>Steller</w:t>
            </w:r>
          </w:p>
        </w:tc>
        <w:tc>
          <w:tcPr>
            <w:tcW w:w="708" w:type="dxa"/>
            <w:tcBorders>
              <w:bottom w:val="single" w:sz="4" w:space="0" w:color="auto"/>
            </w:tcBorders>
            <w:shd w:val="clear" w:color="auto" w:fill="D9D9D9"/>
            <w:vAlign w:val="center"/>
          </w:tcPr>
          <w:p w14:paraId="7CAA3292" w14:textId="77777777" w:rsidR="00A95997" w:rsidRPr="000C3165" w:rsidRDefault="00A95997" w:rsidP="00117837">
            <w:pPr>
              <w:widowControl w:val="0"/>
              <w:spacing w:before="120" w:after="120" w:line="240" w:lineRule="atLeast"/>
              <w:jc w:val="center"/>
              <w:rPr>
                <w:rFonts w:ascii="Arial" w:hAnsi="Arial"/>
                <w:b/>
                <w:sz w:val="20"/>
                <w:szCs w:val="20"/>
              </w:rPr>
            </w:pPr>
            <w:proofErr w:type="spellStart"/>
            <w:r w:rsidRPr="000C3165">
              <w:rPr>
                <w:rFonts w:ascii="Arial" w:hAnsi="Arial"/>
                <w:b/>
                <w:sz w:val="20"/>
                <w:szCs w:val="20"/>
              </w:rPr>
              <w:t>Nr</w:t>
            </w:r>
            <w:proofErr w:type="spellEnd"/>
          </w:p>
        </w:tc>
        <w:tc>
          <w:tcPr>
            <w:tcW w:w="4016" w:type="dxa"/>
            <w:tcBorders>
              <w:bottom w:val="single" w:sz="4" w:space="0" w:color="auto"/>
            </w:tcBorders>
            <w:shd w:val="clear" w:color="auto" w:fill="D9D9D9"/>
            <w:vAlign w:val="center"/>
          </w:tcPr>
          <w:p w14:paraId="5BFB21F1" w14:textId="77777777" w:rsidR="00A95997" w:rsidRPr="000C3165" w:rsidRDefault="00A95997" w:rsidP="00117837">
            <w:pPr>
              <w:widowControl w:val="0"/>
              <w:spacing w:before="120" w:after="120" w:line="240" w:lineRule="atLeast"/>
              <w:rPr>
                <w:rFonts w:ascii="Arial" w:hAnsi="Arial"/>
                <w:b/>
                <w:sz w:val="20"/>
                <w:szCs w:val="20"/>
              </w:rPr>
            </w:pPr>
            <w:r w:rsidRPr="000C3165">
              <w:rPr>
                <w:rFonts w:ascii="Arial" w:hAnsi="Arial"/>
                <w:b/>
                <w:sz w:val="20"/>
                <w:szCs w:val="20"/>
              </w:rPr>
              <w:t>Vraag</w:t>
            </w:r>
          </w:p>
        </w:tc>
        <w:tc>
          <w:tcPr>
            <w:tcW w:w="4016" w:type="dxa"/>
            <w:tcBorders>
              <w:bottom w:val="single" w:sz="4" w:space="0" w:color="auto"/>
            </w:tcBorders>
            <w:shd w:val="clear" w:color="auto" w:fill="D9D9D9"/>
            <w:vAlign w:val="center"/>
          </w:tcPr>
          <w:p w14:paraId="4C51F31E" w14:textId="307B2EA3" w:rsidR="00A95997" w:rsidRPr="000C3165" w:rsidRDefault="0037189A" w:rsidP="00117837">
            <w:pPr>
              <w:widowControl w:val="0"/>
              <w:spacing w:before="120" w:after="120" w:line="240" w:lineRule="atLeast"/>
              <w:rPr>
                <w:rFonts w:ascii="Arial" w:hAnsi="Arial"/>
                <w:b/>
                <w:sz w:val="20"/>
                <w:szCs w:val="20"/>
              </w:rPr>
            </w:pPr>
            <w:r>
              <w:rPr>
                <w:rFonts w:ascii="Arial" w:hAnsi="Arial"/>
                <w:b/>
                <w:sz w:val="20"/>
                <w:szCs w:val="20"/>
              </w:rPr>
              <w:t>Voorstel aan gemeente</w:t>
            </w:r>
          </w:p>
        </w:tc>
        <w:tc>
          <w:tcPr>
            <w:tcW w:w="4017" w:type="dxa"/>
            <w:tcBorders>
              <w:bottom w:val="single" w:sz="4" w:space="0" w:color="auto"/>
            </w:tcBorders>
            <w:shd w:val="clear" w:color="auto" w:fill="D9D9D9"/>
            <w:vAlign w:val="center"/>
          </w:tcPr>
          <w:p w14:paraId="7EE89432" w14:textId="730A4825" w:rsidR="00A95997" w:rsidRPr="000C3165" w:rsidRDefault="00A95997" w:rsidP="00117837">
            <w:pPr>
              <w:widowControl w:val="0"/>
              <w:spacing w:before="120" w:after="120" w:line="240" w:lineRule="atLeast"/>
              <w:rPr>
                <w:rFonts w:ascii="Arial" w:hAnsi="Arial"/>
                <w:b/>
                <w:sz w:val="20"/>
                <w:szCs w:val="20"/>
              </w:rPr>
            </w:pPr>
            <w:r>
              <w:rPr>
                <w:rFonts w:ascii="Arial" w:hAnsi="Arial"/>
                <w:b/>
                <w:sz w:val="20"/>
                <w:szCs w:val="20"/>
              </w:rPr>
              <w:t>Reactie Gemeente</w:t>
            </w:r>
          </w:p>
        </w:tc>
        <w:tc>
          <w:tcPr>
            <w:tcW w:w="851" w:type="dxa"/>
            <w:tcBorders>
              <w:bottom w:val="single" w:sz="4" w:space="0" w:color="auto"/>
            </w:tcBorders>
            <w:shd w:val="clear" w:color="auto" w:fill="D9D9D9"/>
          </w:tcPr>
          <w:p w14:paraId="20CF7C14" w14:textId="50C88B38" w:rsidR="00A95997" w:rsidRPr="000C3165" w:rsidRDefault="00A95997" w:rsidP="00117837">
            <w:pPr>
              <w:widowControl w:val="0"/>
              <w:spacing w:before="120" w:after="120" w:line="240" w:lineRule="atLeast"/>
              <w:jc w:val="center"/>
              <w:rPr>
                <w:rFonts w:ascii="Arial" w:hAnsi="Arial"/>
                <w:b/>
                <w:sz w:val="20"/>
                <w:szCs w:val="20"/>
              </w:rPr>
            </w:pPr>
            <w:r>
              <w:rPr>
                <w:rFonts w:ascii="Arial" w:hAnsi="Arial"/>
                <w:b/>
                <w:sz w:val="20"/>
                <w:szCs w:val="20"/>
              </w:rPr>
              <w:t>Versie</w:t>
            </w:r>
          </w:p>
        </w:tc>
      </w:tr>
      <w:tr w:rsidR="00A95997" w:rsidRPr="000C3165" w14:paraId="209F9343" w14:textId="52D7BCA4" w:rsidTr="00A95997">
        <w:trPr>
          <w:tblHeader/>
        </w:trPr>
        <w:tc>
          <w:tcPr>
            <w:tcW w:w="1178" w:type="dxa"/>
            <w:shd w:val="clear" w:color="auto" w:fill="FFFFFF" w:themeFill="background1"/>
          </w:tcPr>
          <w:p w14:paraId="04E0C3F3" w14:textId="2413D5E9" w:rsidR="00A95997" w:rsidRPr="000C3165" w:rsidRDefault="00A95997" w:rsidP="00117837">
            <w:pPr>
              <w:widowControl w:val="0"/>
              <w:spacing w:before="120" w:after="120" w:line="240" w:lineRule="atLeast"/>
              <w:rPr>
                <w:rFonts w:ascii="Arial" w:hAnsi="Arial"/>
                <w:b/>
                <w:sz w:val="20"/>
                <w:szCs w:val="20"/>
              </w:rPr>
            </w:pPr>
          </w:p>
        </w:tc>
        <w:tc>
          <w:tcPr>
            <w:tcW w:w="708" w:type="dxa"/>
            <w:shd w:val="clear" w:color="auto" w:fill="FFFFFF" w:themeFill="background1"/>
          </w:tcPr>
          <w:p w14:paraId="3DC9F761" w14:textId="165BFA05" w:rsidR="00A95997" w:rsidRPr="000C3165" w:rsidRDefault="00A95997" w:rsidP="00117837">
            <w:pPr>
              <w:widowControl w:val="0"/>
              <w:spacing w:before="120" w:after="120" w:line="240" w:lineRule="atLeast"/>
              <w:jc w:val="center"/>
              <w:rPr>
                <w:rFonts w:ascii="Arial" w:hAnsi="Arial"/>
                <w:b/>
                <w:sz w:val="20"/>
                <w:szCs w:val="20"/>
              </w:rPr>
            </w:pPr>
            <w:r>
              <w:rPr>
                <w:rFonts w:ascii="Arial" w:hAnsi="Arial"/>
                <w:b/>
                <w:sz w:val="20"/>
                <w:szCs w:val="20"/>
              </w:rPr>
              <w:t>1</w:t>
            </w:r>
          </w:p>
        </w:tc>
        <w:tc>
          <w:tcPr>
            <w:tcW w:w="4016" w:type="dxa"/>
            <w:shd w:val="clear" w:color="auto" w:fill="FFFFFF" w:themeFill="background1"/>
          </w:tcPr>
          <w:p w14:paraId="470C75D8" w14:textId="77777777" w:rsidR="00A95997" w:rsidRPr="000C3165" w:rsidRDefault="00A95997" w:rsidP="00117837">
            <w:pPr>
              <w:widowControl w:val="0"/>
              <w:spacing w:before="120" w:after="120" w:line="240" w:lineRule="atLeast"/>
              <w:jc w:val="both"/>
              <w:rPr>
                <w:rFonts w:ascii="Arial" w:hAnsi="Arial"/>
                <w:b/>
                <w:sz w:val="20"/>
                <w:szCs w:val="20"/>
              </w:rPr>
            </w:pPr>
            <w:r w:rsidRPr="00A95997">
              <w:rPr>
                <w:rFonts w:ascii="Arial" w:hAnsi="Arial"/>
                <w:b/>
                <w:sz w:val="20"/>
                <w:szCs w:val="20"/>
              </w:rPr>
              <w:t>Het is niet wenselijk om termijnen vrijwel automatisch als fataal te beschouwen.</w:t>
            </w:r>
          </w:p>
        </w:tc>
        <w:tc>
          <w:tcPr>
            <w:tcW w:w="4016" w:type="dxa"/>
            <w:shd w:val="clear" w:color="auto" w:fill="FFFFFF" w:themeFill="background1"/>
          </w:tcPr>
          <w:p w14:paraId="4411BA6F" w14:textId="425226BB" w:rsidR="00A95997" w:rsidRPr="000C3165" w:rsidRDefault="00A95997" w:rsidP="00117837">
            <w:pPr>
              <w:widowControl w:val="0"/>
              <w:spacing w:before="120" w:after="120" w:line="240" w:lineRule="atLeast"/>
              <w:jc w:val="both"/>
              <w:rPr>
                <w:rFonts w:ascii="Arial" w:hAnsi="Arial"/>
                <w:b/>
                <w:sz w:val="20"/>
                <w:szCs w:val="20"/>
              </w:rPr>
            </w:pPr>
            <w:r w:rsidRPr="00A95997">
              <w:rPr>
                <w:rFonts w:ascii="Arial" w:hAnsi="Arial"/>
                <w:b/>
                <w:sz w:val="20"/>
                <w:szCs w:val="20"/>
              </w:rPr>
              <w:t xml:space="preserve">In afwijking op artikel 4.1 geldt: Termijnen zijn eerst dan fataal als zij nadrukkelijk als zodanig zijn benoemd in de relevante (Nadere) overeenkomst(en) en verliezen, ongeacht het </w:t>
            </w:r>
            <w:proofErr w:type="spellStart"/>
            <w:r w:rsidRPr="00A95997">
              <w:rPr>
                <w:rFonts w:ascii="Arial" w:hAnsi="Arial"/>
                <w:b/>
                <w:sz w:val="20"/>
                <w:szCs w:val="20"/>
              </w:rPr>
              <w:t>hiervoorgaande</w:t>
            </w:r>
            <w:proofErr w:type="spellEnd"/>
            <w:r w:rsidRPr="00A95997">
              <w:rPr>
                <w:rFonts w:ascii="Arial" w:hAnsi="Arial"/>
                <w:b/>
                <w:sz w:val="20"/>
                <w:szCs w:val="20"/>
              </w:rPr>
              <w:t>, hun fatale karakter bij door Partijen overeengekomen wijzigingen in de planning.</w:t>
            </w:r>
          </w:p>
        </w:tc>
        <w:tc>
          <w:tcPr>
            <w:tcW w:w="4017" w:type="dxa"/>
            <w:shd w:val="clear" w:color="auto" w:fill="FFFFFF" w:themeFill="background1"/>
          </w:tcPr>
          <w:p w14:paraId="7729FB6E" w14:textId="2521CBC6" w:rsidR="00A95997" w:rsidRPr="000C3165" w:rsidRDefault="00A95997" w:rsidP="00117837">
            <w:pPr>
              <w:widowControl w:val="0"/>
              <w:spacing w:before="120" w:after="120" w:line="240" w:lineRule="atLeast"/>
              <w:jc w:val="both"/>
              <w:rPr>
                <w:rFonts w:ascii="Arial" w:hAnsi="Arial"/>
                <w:b/>
                <w:sz w:val="20"/>
                <w:szCs w:val="20"/>
              </w:rPr>
            </w:pPr>
            <w:r>
              <w:rPr>
                <w:rFonts w:ascii="Arial" w:hAnsi="Arial"/>
                <w:b/>
                <w:sz w:val="20"/>
                <w:szCs w:val="20"/>
              </w:rPr>
              <w:t>Hier gaan wij niet mee akkoord. Termijnen zijn fataal tenzij anders overeengekomen. Dit hangt een beetje op het principe ‘afspraak = afspraak’. Uw toevoeging ”</w:t>
            </w:r>
            <w:r w:rsidRPr="00A95997">
              <w:rPr>
                <w:rFonts w:ascii="Arial" w:hAnsi="Arial"/>
                <w:b/>
                <w:sz w:val="20"/>
                <w:szCs w:val="20"/>
              </w:rPr>
              <w:t xml:space="preserve">verliezen, ongeacht het </w:t>
            </w:r>
            <w:proofErr w:type="spellStart"/>
            <w:r w:rsidRPr="00A95997">
              <w:rPr>
                <w:rFonts w:ascii="Arial" w:hAnsi="Arial"/>
                <w:b/>
                <w:sz w:val="20"/>
                <w:szCs w:val="20"/>
              </w:rPr>
              <w:t>hiervoorgaande</w:t>
            </w:r>
            <w:proofErr w:type="spellEnd"/>
            <w:r w:rsidRPr="00A95997">
              <w:rPr>
                <w:rFonts w:ascii="Arial" w:hAnsi="Arial"/>
                <w:b/>
                <w:sz w:val="20"/>
                <w:szCs w:val="20"/>
              </w:rPr>
              <w:t>, hun fatale karakter bij door Partijen overeengekomen wijzigingen in de planning</w:t>
            </w:r>
            <w:r>
              <w:rPr>
                <w:rFonts w:ascii="Arial" w:hAnsi="Arial"/>
                <w:b/>
                <w:sz w:val="20"/>
                <w:szCs w:val="20"/>
              </w:rPr>
              <w:t>” is wel akkoord.</w:t>
            </w:r>
          </w:p>
        </w:tc>
        <w:tc>
          <w:tcPr>
            <w:tcW w:w="851" w:type="dxa"/>
            <w:shd w:val="clear" w:color="auto" w:fill="FFFFFF" w:themeFill="background1"/>
          </w:tcPr>
          <w:p w14:paraId="396CD451" w14:textId="1C933350" w:rsidR="00A95997" w:rsidRPr="000C3165" w:rsidRDefault="00A95997" w:rsidP="00117837">
            <w:pPr>
              <w:widowControl w:val="0"/>
              <w:spacing w:before="120" w:after="120" w:line="240" w:lineRule="atLeast"/>
              <w:jc w:val="center"/>
              <w:rPr>
                <w:rFonts w:ascii="Arial" w:hAnsi="Arial"/>
                <w:b/>
                <w:sz w:val="20"/>
                <w:szCs w:val="20"/>
              </w:rPr>
            </w:pPr>
            <w:r>
              <w:rPr>
                <w:rFonts w:ascii="Arial" w:hAnsi="Arial"/>
                <w:b/>
                <w:sz w:val="20"/>
                <w:szCs w:val="20"/>
              </w:rPr>
              <w:t>1</w:t>
            </w:r>
          </w:p>
        </w:tc>
      </w:tr>
      <w:tr w:rsidR="00A95997" w:rsidRPr="000C3165" w14:paraId="143C7138" w14:textId="77777777" w:rsidTr="00C836B6">
        <w:trPr>
          <w:tblHeader/>
        </w:trPr>
        <w:tc>
          <w:tcPr>
            <w:tcW w:w="1178" w:type="dxa"/>
            <w:shd w:val="clear" w:color="auto" w:fill="FFFFFF" w:themeFill="background1"/>
          </w:tcPr>
          <w:p w14:paraId="4279397C" w14:textId="1584D609" w:rsidR="00A95997" w:rsidRDefault="00A95997" w:rsidP="00117837">
            <w:pPr>
              <w:widowControl w:val="0"/>
              <w:spacing w:before="120" w:after="120" w:line="240" w:lineRule="atLeast"/>
              <w:rPr>
                <w:rFonts w:ascii="Arial" w:hAnsi="Arial"/>
                <w:b/>
                <w:sz w:val="20"/>
                <w:szCs w:val="20"/>
              </w:rPr>
            </w:pPr>
          </w:p>
        </w:tc>
        <w:tc>
          <w:tcPr>
            <w:tcW w:w="708" w:type="dxa"/>
            <w:shd w:val="clear" w:color="auto" w:fill="FFFFFF" w:themeFill="background1"/>
          </w:tcPr>
          <w:p w14:paraId="3F9F156D" w14:textId="3C859C49" w:rsidR="00A95997" w:rsidRDefault="00A95997" w:rsidP="00117837">
            <w:pPr>
              <w:widowControl w:val="0"/>
              <w:spacing w:before="120" w:after="120" w:line="240" w:lineRule="atLeast"/>
              <w:jc w:val="center"/>
              <w:rPr>
                <w:rFonts w:ascii="Arial" w:hAnsi="Arial"/>
                <w:b/>
                <w:sz w:val="20"/>
                <w:szCs w:val="20"/>
              </w:rPr>
            </w:pPr>
            <w:r>
              <w:rPr>
                <w:rFonts w:ascii="Arial" w:hAnsi="Arial"/>
                <w:b/>
                <w:sz w:val="20"/>
                <w:szCs w:val="20"/>
              </w:rPr>
              <w:t>2</w:t>
            </w:r>
          </w:p>
        </w:tc>
        <w:tc>
          <w:tcPr>
            <w:tcW w:w="4016" w:type="dxa"/>
            <w:shd w:val="clear" w:color="auto" w:fill="FFFFFF" w:themeFill="background1"/>
          </w:tcPr>
          <w:p w14:paraId="5505C618" w14:textId="0E2CD57A" w:rsidR="00A95997" w:rsidRPr="00A95997" w:rsidRDefault="00A95997" w:rsidP="00117837">
            <w:pPr>
              <w:widowControl w:val="0"/>
              <w:spacing w:before="120" w:after="120" w:line="240" w:lineRule="atLeast"/>
              <w:jc w:val="both"/>
              <w:rPr>
                <w:rFonts w:ascii="Arial" w:hAnsi="Arial"/>
                <w:b/>
                <w:sz w:val="20"/>
                <w:szCs w:val="20"/>
              </w:rPr>
            </w:pPr>
            <w:r w:rsidRPr="00A95997">
              <w:rPr>
                <w:rFonts w:ascii="Arial" w:hAnsi="Arial"/>
                <w:b/>
                <w:sz w:val="20"/>
                <w:szCs w:val="20"/>
              </w:rPr>
              <w:t xml:space="preserve">Het is een ongebruikelijk zware bepaling dat de overeenkomst bij het niet halen van service levels kan worden ontbonden. Het is niet eenduidig gedefinieerd wat "meerdere meetperiodes" precies betekent en hoe wordt meegewogen of het om een geringe of zware overschrijding van de afgesproken service levels gaat. De gangbare oplossing is om in de SLA afspraken op te nemen over de consequenties bij het niet halen van service levels. Wij verzoeken u daarom duidelijke afspraken in de SLA op te </w:t>
            </w:r>
            <w:proofErr w:type="spellStart"/>
            <w:r w:rsidRPr="00A95997">
              <w:rPr>
                <w:rFonts w:ascii="Arial" w:hAnsi="Arial"/>
                <w:b/>
                <w:sz w:val="20"/>
                <w:szCs w:val="20"/>
              </w:rPr>
              <w:t>nenem</w:t>
            </w:r>
            <w:proofErr w:type="spellEnd"/>
            <w:r w:rsidRPr="00A95997">
              <w:rPr>
                <w:rFonts w:ascii="Arial" w:hAnsi="Arial"/>
                <w:b/>
                <w:sz w:val="20"/>
                <w:szCs w:val="20"/>
              </w:rPr>
              <w:t xml:space="preserve"> en GIBIT-artikel 8.7 te laten vervallen.</w:t>
            </w:r>
          </w:p>
        </w:tc>
        <w:tc>
          <w:tcPr>
            <w:tcW w:w="4016" w:type="dxa"/>
            <w:shd w:val="clear" w:color="auto" w:fill="FFFFFF" w:themeFill="background1"/>
          </w:tcPr>
          <w:p w14:paraId="598D7C34" w14:textId="6814E6CC" w:rsidR="00A95997" w:rsidRPr="00A95997" w:rsidRDefault="00A94750" w:rsidP="00117837">
            <w:pPr>
              <w:widowControl w:val="0"/>
              <w:spacing w:before="120" w:after="120" w:line="240" w:lineRule="atLeast"/>
              <w:jc w:val="both"/>
              <w:rPr>
                <w:rFonts w:ascii="Arial" w:hAnsi="Arial"/>
                <w:b/>
                <w:sz w:val="20"/>
                <w:szCs w:val="20"/>
              </w:rPr>
            </w:pPr>
            <w:r w:rsidRPr="00A94750">
              <w:rPr>
                <w:rFonts w:ascii="Arial" w:hAnsi="Arial"/>
                <w:b/>
                <w:sz w:val="20"/>
                <w:szCs w:val="20"/>
              </w:rPr>
              <w:t>In afwijking op artikel 8.7 gelden bij het niet halen van service levels de afspraken zoals overeengekomen in het SLA.</w:t>
            </w:r>
          </w:p>
        </w:tc>
        <w:tc>
          <w:tcPr>
            <w:tcW w:w="4017" w:type="dxa"/>
            <w:shd w:val="clear" w:color="auto" w:fill="FFFFFF" w:themeFill="background1"/>
          </w:tcPr>
          <w:p w14:paraId="23E2CFE7" w14:textId="649155EB" w:rsidR="00A95997" w:rsidRDefault="00A94750" w:rsidP="00117837">
            <w:pPr>
              <w:widowControl w:val="0"/>
              <w:spacing w:before="120" w:after="120" w:line="240" w:lineRule="atLeast"/>
              <w:jc w:val="both"/>
              <w:rPr>
                <w:rFonts w:ascii="Arial" w:hAnsi="Arial"/>
                <w:b/>
                <w:sz w:val="20"/>
                <w:szCs w:val="20"/>
              </w:rPr>
            </w:pPr>
            <w:r>
              <w:rPr>
                <w:rFonts w:ascii="Arial" w:hAnsi="Arial"/>
                <w:b/>
                <w:sz w:val="20"/>
                <w:szCs w:val="20"/>
              </w:rPr>
              <w:t>In artikel 8.7 is al neergelegd dat een en ander in de SLA wordt geregeld.</w:t>
            </w:r>
          </w:p>
        </w:tc>
        <w:tc>
          <w:tcPr>
            <w:tcW w:w="851" w:type="dxa"/>
            <w:shd w:val="clear" w:color="auto" w:fill="FFFFFF" w:themeFill="background1"/>
          </w:tcPr>
          <w:p w14:paraId="4F4E91CE" w14:textId="5E3BE0D2" w:rsidR="00A95997" w:rsidRDefault="00A94750" w:rsidP="00117837">
            <w:pPr>
              <w:widowControl w:val="0"/>
              <w:spacing w:before="120" w:after="120" w:line="240" w:lineRule="atLeast"/>
              <w:jc w:val="center"/>
              <w:rPr>
                <w:rFonts w:ascii="Arial" w:hAnsi="Arial"/>
                <w:b/>
                <w:sz w:val="20"/>
                <w:szCs w:val="20"/>
              </w:rPr>
            </w:pPr>
            <w:r>
              <w:rPr>
                <w:rFonts w:ascii="Arial" w:hAnsi="Arial"/>
                <w:b/>
                <w:sz w:val="20"/>
                <w:szCs w:val="20"/>
              </w:rPr>
              <w:t>1</w:t>
            </w:r>
          </w:p>
        </w:tc>
      </w:tr>
      <w:tr w:rsidR="00A94750" w:rsidRPr="000C3165" w14:paraId="00564643" w14:textId="77777777" w:rsidTr="00C836B6">
        <w:trPr>
          <w:tblHeader/>
        </w:trPr>
        <w:tc>
          <w:tcPr>
            <w:tcW w:w="1178" w:type="dxa"/>
            <w:shd w:val="clear" w:color="auto" w:fill="FFFFFF" w:themeFill="background1"/>
          </w:tcPr>
          <w:p w14:paraId="2B52860B" w14:textId="43E078BD" w:rsidR="00A94750" w:rsidRDefault="00A94750" w:rsidP="00117837">
            <w:pPr>
              <w:widowControl w:val="0"/>
              <w:spacing w:before="120" w:after="120" w:line="240" w:lineRule="atLeast"/>
              <w:rPr>
                <w:rFonts w:ascii="Arial" w:hAnsi="Arial"/>
                <w:b/>
                <w:sz w:val="20"/>
                <w:szCs w:val="20"/>
              </w:rPr>
            </w:pPr>
          </w:p>
        </w:tc>
        <w:tc>
          <w:tcPr>
            <w:tcW w:w="708" w:type="dxa"/>
            <w:shd w:val="clear" w:color="auto" w:fill="FFFFFF" w:themeFill="background1"/>
          </w:tcPr>
          <w:p w14:paraId="17ED27B2" w14:textId="62A42356" w:rsidR="00A94750" w:rsidRDefault="00A94750" w:rsidP="00117837">
            <w:pPr>
              <w:widowControl w:val="0"/>
              <w:spacing w:before="120" w:after="120" w:line="240" w:lineRule="atLeast"/>
              <w:jc w:val="center"/>
              <w:rPr>
                <w:rFonts w:ascii="Arial" w:hAnsi="Arial"/>
                <w:b/>
                <w:sz w:val="20"/>
                <w:szCs w:val="20"/>
              </w:rPr>
            </w:pPr>
            <w:r>
              <w:rPr>
                <w:rFonts w:ascii="Arial" w:hAnsi="Arial"/>
                <w:b/>
                <w:sz w:val="20"/>
                <w:szCs w:val="20"/>
              </w:rPr>
              <w:t>3</w:t>
            </w:r>
          </w:p>
        </w:tc>
        <w:tc>
          <w:tcPr>
            <w:tcW w:w="4016" w:type="dxa"/>
            <w:shd w:val="clear" w:color="auto" w:fill="FFFFFF" w:themeFill="background1"/>
          </w:tcPr>
          <w:p w14:paraId="36AE3BAA" w14:textId="77777777" w:rsidR="00A94750" w:rsidRPr="00A94750" w:rsidRDefault="00A94750" w:rsidP="00117837">
            <w:pPr>
              <w:widowControl w:val="0"/>
              <w:spacing w:before="120" w:after="120" w:line="240" w:lineRule="atLeast"/>
              <w:jc w:val="both"/>
              <w:rPr>
                <w:rFonts w:ascii="Arial" w:hAnsi="Arial"/>
                <w:b/>
                <w:sz w:val="20"/>
                <w:szCs w:val="20"/>
              </w:rPr>
            </w:pPr>
            <w:r w:rsidRPr="00A94750">
              <w:rPr>
                <w:rFonts w:ascii="Arial" w:hAnsi="Arial"/>
                <w:b/>
                <w:sz w:val="20"/>
                <w:szCs w:val="20"/>
              </w:rPr>
              <w:t xml:space="preserve">De GIBIT geeft aan dat 30% van de kosten voor de implementatie pas na integrale Acceptatie in rekening gebracht kan worden. "Over de resterende 70% kunnen in de Overeenkomst nadere afspraken worden gemaakt". Wij achten het voor alle partijen wenselijk van te voren al te weten wat het facturatieschema wordt. Wij stellen het volgende voor: </w:t>
            </w:r>
          </w:p>
          <w:p w14:paraId="3A2282C5" w14:textId="0FD9386A" w:rsidR="00A94750" w:rsidRPr="00A94750" w:rsidRDefault="00A94750" w:rsidP="00117837">
            <w:pPr>
              <w:widowControl w:val="0"/>
              <w:spacing w:before="120" w:after="120" w:line="240" w:lineRule="atLeast"/>
              <w:ind w:left="316" w:hanging="316"/>
              <w:jc w:val="both"/>
              <w:rPr>
                <w:rFonts w:ascii="Arial" w:hAnsi="Arial"/>
                <w:b/>
                <w:sz w:val="20"/>
                <w:szCs w:val="20"/>
              </w:rPr>
            </w:pPr>
            <w:r w:rsidRPr="00A94750">
              <w:rPr>
                <w:rFonts w:ascii="Arial" w:hAnsi="Arial"/>
                <w:b/>
                <w:sz w:val="20"/>
                <w:szCs w:val="20"/>
              </w:rPr>
              <w:t>-</w:t>
            </w:r>
            <w:r>
              <w:rPr>
                <w:rFonts w:ascii="Arial" w:hAnsi="Arial"/>
                <w:b/>
                <w:sz w:val="20"/>
                <w:szCs w:val="20"/>
              </w:rPr>
              <w:tab/>
            </w:r>
            <w:r w:rsidRPr="00A94750">
              <w:rPr>
                <w:rFonts w:ascii="Arial" w:hAnsi="Arial"/>
                <w:b/>
                <w:sz w:val="20"/>
                <w:szCs w:val="20"/>
              </w:rPr>
              <w:t>35% bij opdrachtverlening (</w:t>
            </w:r>
            <w:proofErr w:type="spellStart"/>
            <w:r w:rsidRPr="00A94750">
              <w:rPr>
                <w:rFonts w:ascii="Arial" w:hAnsi="Arial"/>
                <w:b/>
                <w:sz w:val="20"/>
                <w:szCs w:val="20"/>
              </w:rPr>
              <w:t>onder</w:t>
            </w:r>
            <w:r>
              <w:rPr>
                <w:rFonts w:ascii="Arial" w:hAnsi="Arial"/>
                <w:b/>
                <w:sz w:val="20"/>
                <w:szCs w:val="20"/>
              </w:rPr>
              <w:t>-</w:t>
            </w:r>
            <w:r w:rsidRPr="00A94750">
              <w:rPr>
                <w:rFonts w:ascii="Arial" w:hAnsi="Arial"/>
                <w:b/>
                <w:sz w:val="20"/>
                <w:szCs w:val="20"/>
              </w:rPr>
              <w:t>tekening</w:t>
            </w:r>
            <w:proofErr w:type="spellEnd"/>
            <w:r w:rsidRPr="00A94750">
              <w:rPr>
                <w:rFonts w:ascii="Arial" w:hAnsi="Arial"/>
                <w:b/>
                <w:sz w:val="20"/>
                <w:szCs w:val="20"/>
              </w:rPr>
              <w:t xml:space="preserve"> van</w:t>
            </w:r>
            <w:r>
              <w:rPr>
                <w:rFonts w:ascii="Arial" w:hAnsi="Arial"/>
                <w:b/>
                <w:sz w:val="20"/>
                <w:szCs w:val="20"/>
              </w:rPr>
              <w:t xml:space="preserve"> </w:t>
            </w:r>
            <w:r w:rsidRPr="00A94750">
              <w:rPr>
                <w:rFonts w:ascii="Arial" w:hAnsi="Arial"/>
                <w:b/>
                <w:sz w:val="20"/>
                <w:szCs w:val="20"/>
              </w:rPr>
              <w:t xml:space="preserve">de overeenkomsten) </w:t>
            </w:r>
          </w:p>
          <w:p w14:paraId="2AD3AF29" w14:textId="62D3F5FE" w:rsidR="00A94750" w:rsidRPr="00A94750" w:rsidRDefault="00A94750" w:rsidP="00117837">
            <w:pPr>
              <w:widowControl w:val="0"/>
              <w:spacing w:before="120" w:after="120" w:line="240" w:lineRule="atLeast"/>
              <w:ind w:left="316" w:hanging="316"/>
              <w:jc w:val="both"/>
              <w:rPr>
                <w:rFonts w:ascii="Arial" w:hAnsi="Arial"/>
                <w:b/>
                <w:sz w:val="20"/>
                <w:szCs w:val="20"/>
              </w:rPr>
            </w:pPr>
            <w:r w:rsidRPr="00A94750">
              <w:rPr>
                <w:rFonts w:ascii="Arial" w:hAnsi="Arial"/>
                <w:b/>
                <w:sz w:val="20"/>
                <w:szCs w:val="20"/>
              </w:rPr>
              <w:t xml:space="preserve">- </w:t>
            </w:r>
            <w:r>
              <w:rPr>
                <w:rFonts w:ascii="Arial" w:hAnsi="Arial"/>
                <w:b/>
                <w:sz w:val="20"/>
                <w:szCs w:val="20"/>
              </w:rPr>
              <w:tab/>
            </w:r>
            <w:r w:rsidRPr="00A94750">
              <w:rPr>
                <w:rFonts w:ascii="Arial" w:hAnsi="Arial"/>
                <w:b/>
                <w:sz w:val="20"/>
                <w:szCs w:val="20"/>
              </w:rPr>
              <w:t>35% bij oplevering van de applicatie door</w:t>
            </w:r>
            <w:r>
              <w:rPr>
                <w:rFonts w:ascii="Arial" w:hAnsi="Arial"/>
                <w:b/>
                <w:sz w:val="20"/>
                <w:szCs w:val="20"/>
              </w:rPr>
              <w:t xml:space="preserve"> L</w:t>
            </w:r>
            <w:r w:rsidRPr="00A94750">
              <w:rPr>
                <w:rFonts w:ascii="Arial" w:hAnsi="Arial"/>
                <w:b/>
                <w:sz w:val="20"/>
                <w:szCs w:val="20"/>
              </w:rPr>
              <w:t>everancier in de acceptatie</w:t>
            </w:r>
            <w:r>
              <w:rPr>
                <w:rFonts w:ascii="Arial" w:hAnsi="Arial"/>
                <w:b/>
                <w:sz w:val="20"/>
                <w:szCs w:val="20"/>
              </w:rPr>
              <w:t>-</w:t>
            </w:r>
            <w:r w:rsidRPr="00A94750">
              <w:rPr>
                <w:rFonts w:ascii="Arial" w:hAnsi="Arial"/>
                <w:b/>
                <w:sz w:val="20"/>
                <w:szCs w:val="20"/>
              </w:rPr>
              <w:t xml:space="preserve">omgeving van  Opdrachtgever </w:t>
            </w:r>
          </w:p>
          <w:p w14:paraId="15F393AF" w14:textId="7890F8AC" w:rsidR="00A94750" w:rsidRPr="00A94750" w:rsidRDefault="00A94750" w:rsidP="00117837">
            <w:pPr>
              <w:widowControl w:val="0"/>
              <w:spacing w:before="120" w:after="120" w:line="240" w:lineRule="atLeast"/>
              <w:ind w:left="316" w:hanging="316"/>
              <w:jc w:val="both"/>
              <w:rPr>
                <w:rFonts w:ascii="Arial" w:hAnsi="Arial"/>
                <w:b/>
                <w:sz w:val="20"/>
                <w:szCs w:val="20"/>
              </w:rPr>
            </w:pPr>
            <w:r w:rsidRPr="00A94750">
              <w:rPr>
                <w:rFonts w:ascii="Arial" w:hAnsi="Arial"/>
                <w:b/>
                <w:sz w:val="20"/>
                <w:szCs w:val="20"/>
              </w:rPr>
              <w:t xml:space="preserve">- </w:t>
            </w:r>
            <w:r>
              <w:rPr>
                <w:rFonts w:ascii="Arial" w:hAnsi="Arial"/>
                <w:b/>
                <w:sz w:val="20"/>
                <w:szCs w:val="20"/>
              </w:rPr>
              <w:tab/>
            </w:r>
            <w:r w:rsidRPr="00A94750">
              <w:rPr>
                <w:rFonts w:ascii="Arial" w:hAnsi="Arial"/>
                <w:b/>
                <w:sz w:val="20"/>
                <w:szCs w:val="20"/>
              </w:rPr>
              <w:t xml:space="preserve">30% na integrale Acceptatie </w:t>
            </w:r>
          </w:p>
          <w:p w14:paraId="00188706" w14:textId="3C75679B" w:rsidR="00A94750" w:rsidRPr="00A95997" w:rsidRDefault="00A94750" w:rsidP="00117837">
            <w:pPr>
              <w:widowControl w:val="0"/>
              <w:spacing w:before="120" w:after="120" w:line="240" w:lineRule="atLeast"/>
              <w:jc w:val="both"/>
              <w:rPr>
                <w:rFonts w:ascii="Arial" w:hAnsi="Arial"/>
                <w:b/>
                <w:sz w:val="20"/>
                <w:szCs w:val="20"/>
              </w:rPr>
            </w:pPr>
            <w:r w:rsidRPr="00A94750">
              <w:rPr>
                <w:rFonts w:ascii="Arial" w:hAnsi="Arial"/>
                <w:b/>
                <w:sz w:val="20"/>
                <w:szCs w:val="20"/>
              </w:rPr>
              <w:t>Gaat u hiermee akkoord?</w:t>
            </w:r>
          </w:p>
        </w:tc>
        <w:tc>
          <w:tcPr>
            <w:tcW w:w="4016" w:type="dxa"/>
            <w:shd w:val="clear" w:color="auto" w:fill="FFFFFF" w:themeFill="background1"/>
          </w:tcPr>
          <w:p w14:paraId="74538599" w14:textId="77777777" w:rsidR="00A94750" w:rsidRPr="00A94750" w:rsidRDefault="00A94750" w:rsidP="00117837">
            <w:pPr>
              <w:widowControl w:val="0"/>
              <w:spacing w:before="120" w:after="120" w:line="240" w:lineRule="atLeast"/>
              <w:jc w:val="both"/>
              <w:rPr>
                <w:rFonts w:ascii="Arial" w:hAnsi="Arial"/>
                <w:b/>
                <w:sz w:val="20"/>
                <w:szCs w:val="20"/>
              </w:rPr>
            </w:pPr>
            <w:r w:rsidRPr="00A94750">
              <w:rPr>
                <w:rFonts w:ascii="Arial" w:hAnsi="Arial"/>
                <w:b/>
                <w:sz w:val="20"/>
                <w:szCs w:val="20"/>
              </w:rPr>
              <w:t xml:space="preserve">In afwijking op artikel 9.2 sub 1 geldt het volgende facturatieschema m.b.t. de implementatiekosten: </w:t>
            </w:r>
          </w:p>
          <w:p w14:paraId="4339289B" w14:textId="5D315316" w:rsidR="00A94750" w:rsidRPr="00A94750" w:rsidRDefault="00A94750" w:rsidP="00117837">
            <w:pPr>
              <w:widowControl w:val="0"/>
              <w:spacing w:before="120" w:after="120" w:line="240" w:lineRule="atLeast"/>
              <w:ind w:left="265" w:hanging="265"/>
              <w:jc w:val="both"/>
              <w:rPr>
                <w:rFonts w:ascii="Arial" w:hAnsi="Arial"/>
                <w:b/>
                <w:sz w:val="20"/>
                <w:szCs w:val="20"/>
              </w:rPr>
            </w:pPr>
            <w:r w:rsidRPr="00A94750">
              <w:rPr>
                <w:rFonts w:ascii="Arial" w:hAnsi="Arial"/>
                <w:b/>
                <w:sz w:val="20"/>
                <w:szCs w:val="20"/>
              </w:rPr>
              <w:t>-</w:t>
            </w:r>
            <w:r>
              <w:rPr>
                <w:rFonts w:ascii="Arial" w:hAnsi="Arial"/>
                <w:b/>
                <w:sz w:val="20"/>
                <w:szCs w:val="20"/>
              </w:rPr>
              <w:tab/>
            </w:r>
            <w:r w:rsidRPr="00A94750">
              <w:rPr>
                <w:rFonts w:ascii="Arial" w:hAnsi="Arial"/>
                <w:b/>
                <w:sz w:val="20"/>
                <w:szCs w:val="20"/>
              </w:rPr>
              <w:t xml:space="preserve">35% bij opdrachtverlening (ondertekening van de </w:t>
            </w:r>
            <w:proofErr w:type="spellStart"/>
            <w:r w:rsidRPr="00A94750">
              <w:rPr>
                <w:rFonts w:ascii="Arial" w:hAnsi="Arial"/>
                <w:b/>
                <w:sz w:val="20"/>
                <w:szCs w:val="20"/>
              </w:rPr>
              <w:t>overeen</w:t>
            </w:r>
            <w:r>
              <w:rPr>
                <w:rFonts w:ascii="Arial" w:hAnsi="Arial"/>
                <w:b/>
                <w:sz w:val="20"/>
                <w:szCs w:val="20"/>
              </w:rPr>
              <w:t>-</w:t>
            </w:r>
            <w:r w:rsidRPr="00A94750">
              <w:rPr>
                <w:rFonts w:ascii="Arial" w:hAnsi="Arial"/>
                <w:b/>
                <w:sz w:val="20"/>
                <w:szCs w:val="20"/>
              </w:rPr>
              <w:t>komsten</w:t>
            </w:r>
            <w:proofErr w:type="spellEnd"/>
            <w:r w:rsidRPr="00A94750">
              <w:rPr>
                <w:rFonts w:ascii="Arial" w:hAnsi="Arial"/>
                <w:b/>
                <w:sz w:val="20"/>
                <w:szCs w:val="20"/>
              </w:rPr>
              <w:t xml:space="preserve">), </w:t>
            </w:r>
          </w:p>
          <w:p w14:paraId="02D79D0D" w14:textId="44B8F9A6" w:rsidR="00A94750" w:rsidRPr="00A94750" w:rsidRDefault="00A94750" w:rsidP="00117837">
            <w:pPr>
              <w:widowControl w:val="0"/>
              <w:spacing w:before="120" w:after="120" w:line="240" w:lineRule="atLeast"/>
              <w:ind w:left="265" w:hanging="265"/>
              <w:jc w:val="both"/>
              <w:rPr>
                <w:rFonts w:ascii="Arial" w:hAnsi="Arial"/>
                <w:b/>
                <w:sz w:val="20"/>
                <w:szCs w:val="20"/>
              </w:rPr>
            </w:pPr>
            <w:r w:rsidRPr="00A94750">
              <w:rPr>
                <w:rFonts w:ascii="Arial" w:hAnsi="Arial"/>
                <w:b/>
                <w:sz w:val="20"/>
                <w:szCs w:val="20"/>
              </w:rPr>
              <w:t xml:space="preserve">- </w:t>
            </w:r>
            <w:r>
              <w:rPr>
                <w:rFonts w:ascii="Arial" w:hAnsi="Arial"/>
                <w:b/>
                <w:sz w:val="20"/>
                <w:szCs w:val="20"/>
              </w:rPr>
              <w:tab/>
            </w:r>
            <w:r w:rsidRPr="00A94750">
              <w:rPr>
                <w:rFonts w:ascii="Arial" w:hAnsi="Arial"/>
                <w:b/>
                <w:sz w:val="20"/>
                <w:szCs w:val="20"/>
              </w:rPr>
              <w:t xml:space="preserve">35% bij oplevering van de applicatie door Leverancier in de acceptatie-omgeving van Opdrachtgever, </w:t>
            </w:r>
          </w:p>
          <w:p w14:paraId="48009CDD" w14:textId="074E2D6D" w:rsidR="00A94750" w:rsidRPr="00A94750" w:rsidRDefault="00A94750" w:rsidP="00117837">
            <w:pPr>
              <w:widowControl w:val="0"/>
              <w:spacing w:before="120" w:after="120" w:line="240" w:lineRule="atLeast"/>
              <w:ind w:left="265" w:hanging="265"/>
              <w:jc w:val="both"/>
              <w:rPr>
                <w:rFonts w:ascii="Arial" w:hAnsi="Arial"/>
                <w:b/>
                <w:sz w:val="20"/>
                <w:szCs w:val="20"/>
              </w:rPr>
            </w:pPr>
            <w:r w:rsidRPr="00A94750">
              <w:rPr>
                <w:rFonts w:ascii="Arial" w:hAnsi="Arial"/>
                <w:b/>
                <w:sz w:val="20"/>
                <w:szCs w:val="20"/>
              </w:rPr>
              <w:t xml:space="preserve">- </w:t>
            </w:r>
            <w:r>
              <w:rPr>
                <w:rFonts w:ascii="Arial" w:hAnsi="Arial"/>
                <w:b/>
                <w:sz w:val="20"/>
                <w:szCs w:val="20"/>
              </w:rPr>
              <w:tab/>
            </w:r>
            <w:r w:rsidRPr="00A94750">
              <w:rPr>
                <w:rFonts w:ascii="Arial" w:hAnsi="Arial"/>
                <w:b/>
                <w:sz w:val="20"/>
                <w:szCs w:val="20"/>
              </w:rPr>
              <w:t>30% na integrale Acceptatie.</w:t>
            </w:r>
          </w:p>
        </w:tc>
        <w:tc>
          <w:tcPr>
            <w:tcW w:w="4017" w:type="dxa"/>
            <w:shd w:val="clear" w:color="auto" w:fill="FFFFFF" w:themeFill="background1"/>
          </w:tcPr>
          <w:p w14:paraId="5A8EA027" w14:textId="657AB3E6" w:rsidR="00A94750" w:rsidRDefault="00A94750" w:rsidP="00117837">
            <w:pPr>
              <w:widowControl w:val="0"/>
              <w:spacing w:before="120" w:after="120" w:line="240" w:lineRule="atLeast"/>
              <w:jc w:val="both"/>
              <w:rPr>
                <w:rFonts w:ascii="Arial" w:hAnsi="Arial"/>
                <w:b/>
                <w:sz w:val="20"/>
                <w:szCs w:val="20"/>
              </w:rPr>
            </w:pPr>
            <w:r>
              <w:rPr>
                <w:rFonts w:ascii="Arial" w:hAnsi="Arial"/>
                <w:b/>
                <w:sz w:val="20"/>
                <w:szCs w:val="20"/>
              </w:rPr>
              <w:t>Wij kunnen hiermee akkoord gaan.</w:t>
            </w:r>
          </w:p>
        </w:tc>
        <w:tc>
          <w:tcPr>
            <w:tcW w:w="851" w:type="dxa"/>
            <w:shd w:val="clear" w:color="auto" w:fill="FFFFFF" w:themeFill="background1"/>
          </w:tcPr>
          <w:p w14:paraId="2CA2E5CA" w14:textId="2F54764B" w:rsidR="00A94750" w:rsidRDefault="00A94750" w:rsidP="00117837">
            <w:pPr>
              <w:widowControl w:val="0"/>
              <w:spacing w:before="120" w:after="120" w:line="240" w:lineRule="atLeast"/>
              <w:jc w:val="center"/>
              <w:rPr>
                <w:rFonts w:ascii="Arial" w:hAnsi="Arial"/>
                <w:b/>
                <w:sz w:val="20"/>
                <w:szCs w:val="20"/>
              </w:rPr>
            </w:pPr>
            <w:r>
              <w:rPr>
                <w:rFonts w:ascii="Arial" w:hAnsi="Arial"/>
                <w:b/>
                <w:sz w:val="20"/>
                <w:szCs w:val="20"/>
              </w:rPr>
              <w:t>1</w:t>
            </w:r>
          </w:p>
        </w:tc>
      </w:tr>
      <w:tr w:rsidR="00A94750" w:rsidRPr="000C3165" w14:paraId="73BECE1E" w14:textId="77777777" w:rsidTr="00A95997">
        <w:trPr>
          <w:tblHeader/>
        </w:trPr>
        <w:tc>
          <w:tcPr>
            <w:tcW w:w="1178" w:type="dxa"/>
            <w:shd w:val="clear" w:color="auto" w:fill="FFFFFF" w:themeFill="background1"/>
          </w:tcPr>
          <w:p w14:paraId="20111D03" w14:textId="1A0B7050" w:rsidR="00A94750" w:rsidRDefault="00A94750" w:rsidP="00117837">
            <w:pPr>
              <w:widowControl w:val="0"/>
              <w:spacing w:before="120" w:after="120" w:line="240" w:lineRule="atLeast"/>
              <w:rPr>
                <w:rFonts w:ascii="Arial" w:hAnsi="Arial"/>
                <w:b/>
                <w:sz w:val="20"/>
                <w:szCs w:val="20"/>
              </w:rPr>
            </w:pPr>
          </w:p>
        </w:tc>
        <w:tc>
          <w:tcPr>
            <w:tcW w:w="708" w:type="dxa"/>
            <w:shd w:val="clear" w:color="auto" w:fill="FFFFFF" w:themeFill="background1"/>
          </w:tcPr>
          <w:p w14:paraId="4B92BD47" w14:textId="0895021A" w:rsidR="00A94750" w:rsidRDefault="00A94750" w:rsidP="00117837">
            <w:pPr>
              <w:widowControl w:val="0"/>
              <w:spacing w:before="120" w:after="120" w:line="240" w:lineRule="atLeast"/>
              <w:jc w:val="center"/>
              <w:rPr>
                <w:rFonts w:ascii="Arial" w:hAnsi="Arial"/>
                <w:b/>
                <w:sz w:val="20"/>
                <w:szCs w:val="20"/>
              </w:rPr>
            </w:pPr>
            <w:r>
              <w:rPr>
                <w:rFonts w:ascii="Arial" w:hAnsi="Arial"/>
                <w:b/>
                <w:sz w:val="20"/>
                <w:szCs w:val="20"/>
              </w:rPr>
              <w:t>4</w:t>
            </w:r>
          </w:p>
        </w:tc>
        <w:tc>
          <w:tcPr>
            <w:tcW w:w="4016" w:type="dxa"/>
            <w:shd w:val="clear" w:color="auto" w:fill="FFFFFF" w:themeFill="background1"/>
          </w:tcPr>
          <w:p w14:paraId="577427AE" w14:textId="25C118FB" w:rsidR="00A94750" w:rsidRPr="00A94750" w:rsidRDefault="00A94750" w:rsidP="00117837">
            <w:pPr>
              <w:widowControl w:val="0"/>
              <w:spacing w:before="120" w:after="120" w:line="240" w:lineRule="atLeast"/>
              <w:jc w:val="both"/>
              <w:rPr>
                <w:rFonts w:ascii="Arial" w:hAnsi="Arial"/>
                <w:b/>
                <w:sz w:val="20"/>
                <w:szCs w:val="20"/>
              </w:rPr>
            </w:pPr>
            <w:r w:rsidRPr="00A94750">
              <w:rPr>
                <w:rFonts w:ascii="Arial" w:hAnsi="Arial"/>
                <w:b/>
                <w:sz w:val="20"/>
                <w:szCs w:val="20"/>
              </w:rPr>
              <w:t>Afhankelijk van de keuzes van opdrachtgever kan het vrij lang duren voordat integrale Acceptatie of ingebruikname feitelijk plaatsvindt. De programmatuur kan al maanden volledig naar behoren werken voordat de programmatuur formeel wordt geaccepteerd of andersom.</w:t>
            </w:r>
          </w:p>
        </w:tc>
        <w:tc>
          <w:tcPr>
            <w:tcW w:w="4016" w:type="dxa"/>
            <w:shd w:val="clear" w:color="auto" w:fill="FFFFFF" w:themeFill="background1"/>
          </w:tcPr>
          <w:p w14:paraId="1E2324B7" w14:textId="31A63F99" w:rsidR="00A94750" w:rsidRPr="00A94750" w:rsidRDefault="00A94750" w:rsidP="00117837">
            <w:pPr>
              <w:widowControl w:val="0"/>
              <w:spacing w:before="120" w:after="120" w:line="240" w:lineRule="atLeast"/>
              <w:jc w:val="both"/>
              <w:rPr>
                <w:rFonts w:ascii="Arial" w:hAnsi="Arial"/>
                <w:b/>
                <w:sz w:val="20"/>
                <w:szCs w:val="20"/>
              </w:rPr>
            </w:pPr>
            <w:r w:rsidRPr="00A94750">
              <w:rPr>
                <w:rFonts w:ascii="Arial" w:hAnsi="Arial"/>
                <w:b/>
                <w:sz w:val="20"/>
                <w:szCs w:val="20"/>
              </w:rPr>
              <w:t>In afwijking op artikel 9.2 sub ii geldt: "...70% bij eerste oplevering in de productieomgeving en 30% na eerste acceptatie, met terugwerkende kracht vanaf het moment van eerste oplevering in de productieomgeving;"</w:t>
            </w:r>
          </w:p>
        </w:tc>
        <w:tc>
          <w:tcPr>
            <w:tcW w:w="4017" w:type="dxa"/>
            <w:shd w:val="clear" w:color="auto" w:fill="FFFFFF" w:themeFill="background1"/>
          </w:tcPr>
          <w:p w14:paraId="4544468A" w14:textId="0F0968C0" w:rsidR="00A94750" w:rsidRDefault="00A94750" w:rsidP="00117837">
            <w:pPr>
              <w:widowControl w:val="0"/>
              <w:spacing w:before="120" w:after="120" w:line="240" w:lineRule="atLeast"/>
              <w:jc w:val="both"/>
              <w:rPr>
                <w:rFonts w:ascii="Arial" w:hAnsi="Arial"/>
                <w:b/>
                <w:sz w:val="20"/>
                <w:szCs w:val="20"/>
              </w:rPr>
            </w:pPr>
            <w:r>
              <w:rPr>
                <w:rFonts w:ascii="Arial" w:hAnsi="Arial"/>
                <w:b/>
                <w:sz w:val="20"/>
                <w:szCs w:val="20"/>
              </w:rPr>
              <w:t>Kunt u aangeven hoe u dat ziet in relatie tot het gestelde in vraag 3? Misschien dat een en ander in een rekenvoorbeeld kan worden neergelegd.</w:t>
            </w:r>
          </w:p>
        </w:tc>
        <w:tc>
          <w:tcPr>
            <w:tcW w:w="851" w:type="dxa"/>
            <w:shd w:val="clear" w:color="auto" w:fill="FFFFFF" w:themeFill="background1"/>
          </w:tcPr>
          <w:p w14:paraId="6752EF9A" w14:textId="77044079" w:rsidR="00A94750" w:rsidRDefault="00A94750" w:rsidP="00117837">
            <w:pPr>
              <w:widowControl w:val="0"/>
              <w:spacing w:before="120" w:after="120" w:line="240" w:lineRule="atLeast"/>
              <w:jc w:val="center"/>
              <w:rPr>
                <w:rFonts w:ascii="Arial" w:hAnsi="Arial"/>
                <w:b/>
                <w:sz w:val="20"/>
                <w:szCs w:val="20"/>
              </w:rPr>
            </w:pPr>
            <w:r>
              <w:rPr>
                <w:rFonts w:ascii="Arial" w:hAnsi="Arial"/>
                <w:b/>
                <w:sz w:val="20"/>
                <w:szCs w:val="20"/>
              </w:rPr>
              <w:t>1</w:t>
            </w:r>
          </w:p>
        </w:tc>
      </w:tr>
      <w:tr w:rsidR="00A94750" w:rsidRPr="000C3165" w14:paraId="084662DA" w14:textId="77777777" w:rsidTr="00A95997">
        <w:trPr>
          <w:tblHeader/>
        </w:trPr>
        <w:tc>
          <w:tcPr>
            <w:tcW w:w="1178" w:type="dxa"/>
            <w:shd w:val="clear" w:color="auto" w:fill="FFFFFF" w:themeFill="background1"/>
          </w:tcPr>
          <w:p w14:paraId="6C71632B" w14:textId="4FCA2C1F" w:rsidR="00A94750" w:rsidRDefault="00A94750" w:rsidP="00117837">
            <w:pPr>
              <w:widowControl w:val="0"/>
              <w:spacing w:before="120" w:after="120" w:line="240" w:lineRule="atLeast"/>
              <w:rPr>
                <w:rFonts w:ascii="Arial" w:hAnsi="Arial"/>
                <w:b/>
                <w:sz w:val="20"/>
                <w:szCs w:val="20"/>
              </w:rPr>
            </w:pPr>
          </w:p>
        </w:tc>
        <w:tc>
          <w:tcPr>
            <w:tcW w:w="708" w:type="dxa"/>
            <w:shd w:val="clear" w:color="auto" w:fill="FFFFFF" w:themeFill="background1"/>
          </w:tcPr>
          <w:p w14:paraId="54F66CB8" w14:textId="6A07976A" w:rsidR="00A94750" w:rsidRDefault="00117837" w:rsidP="00117837">
            <w:pPr>
              <w:widowControl w:val="0"/>
              <w:spacing w:before="120" w:after="120" w:line="240" w:lineRule="atLeast"/>
              <w:jc w:val="center"/>
              <w:rPr>
                <w:rFonts w:ascii="Arial" w:hAnsi="Arial"/>
                <w:b/>
                <w:sz w:val="20"/>
                <w:szCs w:val="20"/>
              </w:rPr>
            </w:pPr>
            <w:r>
              <w:rPr>
                <w:rFonts w:ascii="Arial" w:hAnsi="Arial"/>
                <w:b/>
                <w:sz w:val="20"/>
                <w:szCs w:val="20"/>
              </w:rPr>
              <w:t>5</w:t>
            </w:r>
          </w:p>
        </w:tc>
        <w:tc>
          <w:tcPr>
            <w:tcW w:w="4016" w:type="dxa"/>
            <w:shd w:val="clear" w:color="auto" w:fill="FFFFFF" w:themeFill="background1"/>
          </w:tcPr>
          <w:p w14:paraId="0CB5B1AD" w14:textId="7144419F" w:rsidR="00A94750" w:rsidRPr="00A94750" w:rsidRDefault="00A94750" w:rsidP="00117837">
            <w:pPr>
              <w:widowControl w:val="0"/>
              <w:spacing w:before="120" w:after="120" w:line="240" w:lineRule="atLeast"/>
              <w:jc w:val="both"/>
              <w:rPr>
                <w:rFonts w:ascii="Arial" w:hAnsi="Arial"/>
                <w:b/>
                <w:sz w:val="20"/>
                <w:szCs w:val="20"/>
              </w:rPr>
            </w:pPr>
            <w:r w:rsidRPr="00A94750">
              <w:rPr>
                <w:rFonts w:ascii="Arial" w:hAnsi="Arial"/>
                <w:b/>
                <w:sz w:val="20"/>
                <w:szCs w:val="20"/>
              </w:rPr>
              <w:t>Als het gaat om maatwerk, zal deze conform artikel 12 lid 3 om niet ter beschikking moeten worden gesteld aan andere gemeenten. Dit is geen enkel punt wanneer het extra functionaliteit betreft die wordt opgenomen in de standaardprogrammatuur. Wanneer het echter een aanvullende module betreft, wensen wij hierover wellicht andere afspraken te maken.</w:t>
            </w:r>
          </w:p>
        </w:tc>
        <w:tc>
          <w:tcPr>
            <w:tcW w:w="4016" w:type="dxa"/>
            <w:shd w:val="clear" w:color="auto" w:fill="FFFFFF" w:themeFill="background1"/>
          </w:tcPr>
          <w:p w14:paraId="316E03BA" w14:textId="108E4591" w:rsidR="00A94750" w:rsidRPr="00A94750" w:rsidRDefault="00A94750" w:rsidP="00117837">
            <w:pPr>
              <w:widowControl w:val="0"/>
              <w:spacing w:before="120" w:after="120" w:line="240" w:lineRule="atLeast"/>
              <w:jc w:val="both"/>
              <w:rPr>
                <w:rFonts w:ascii="Arial" w:hAnsi="Arial"/>
                <w:b/>
                <w:sz w:val="20"/>
                <w:szCs w:val="20"/>
              </w:rPr>
            </w:pPr>
            <w:r w:rsidRPr="00A94750">
              <w:rPr>
                <w:rFonts w:ascii="Arial" w:hAnsi="Arial"/>
                <w:b/>
                <w:sz w:val="20"/>
                <w:szCs w:val="20"/>
              </w:rPr>
              <w:t>Partijen komen overeen dat in afwijking van artikel 12 lid 3 sub ii van de GIBIT niet van toepassing is op maatwerk (niet zijnde functionaliteit die in de standaardsoftware zal worden opgenomen) en dat partijen hierover in voorkomende gevallen in onderling overleg afspraken zullen maken.</w:t>
            </w:r>
          </w:p>
        </w:tc>
        <w:tc>
          <w:tcPr>
            <w:tcW w:w="4017" w:type="dxa"/>
            <w:shd w:val="clear" w:color="auto" w:fill="FFFFFF" w:themeFill="background1"/>
          </w:tcPr>
          <w:p w14:paraId="6491D427" w14:textId="338722FF" w:rsidR="00A94750" w:rsidRDefault="00A94750" w:rsidP="00117837">
            <w:pPr>
              <w:widowControl w:val="0"/>
              <w:spacing w:before="120" w:after="120" w:line="240" w:lineRule="atLeast"/>
              <w:jc w:val="both"/>
              <w:rPr>
                <w:rFonts w:ascii="Arial" w:hAnsi="Arial"/>
                <w:b/>
                <w:sz w:val="20"/>
                <w:szCs w:val="20"/>
              </w:rPr>
            </w:pPr>
            <w:r>
              <w:rPr>
                <w:rFonts w:ascii="Arial" w:hAnsi="Arial"/>
                <w:b/>
                <w:sz w:val="20"/>
                <w:szCs w:val="20"/>
              </w:rPr>
              <w:t>Wij kunnen hiermee akkoord gaan.</w:t>
            </w:r>
          </w:p>
        </w:tc>
        <w:tc>
          <w:tcPr>
            <w:tcW w:w="851" w:type="dxa"/>
            <w:shd w:val="clear" w:color="auto" w:fill="FFFFFF" w:themeFill="background1"/>
          </w:tcPr>
          <w:p w14:paraId="4984D75A" w14:textId="1A18E8D5" w:rsidR="00A94750" w:rsidRDefault="00A94750" w:rsidP="00117837">
            <w:pPr>
              <w:widowControl w:val="0"/>
              <w:spacing w:before="120" w:after="120" w:line="240" w:lineRule="atLeast"/>
              <w:jc w:val="center"/>
              <w:rPr>
                <w:rFonts w:ascii="Arial" w:hAnsi="Arial"/>
                <w:b/>
                <w:sz w:val="20"/>
                <w:szCs w:val="20"/>
              </w:rPr>
            </w:pPr>
            <w:r>
              <w:rPr>
                <w:rFonts w:ascii="Arial" w:hAnsi="Arial"/>
                <w:b/>
                <w:sz w:val="20"/>
                <w:szCs w:val="20"/>
              </w:rPr>
              <w:t>1</w:t>
            </w:r>
          </w:p>
        </w:tc>
      </w:tr>
      <w:tr w:rsidR="00A94750" w:rsidRPr="000C3165" w14:paraId="2CE1FF88" w14:textId="77777777" w:rsidTr="00A95997">
        <w:trPr>
          <w:tblHeader/>
        </w:trPr>
        <w:tc>
          <w:tcPr>
            <w:tcW w:w="1178" w:type="dxa"/>
            <w:shd w:val="clear" w:color="auto" w:fill="FFFFFF" w:themeFill="background1"/>
          </w:tcPr>
          <w:p w14:paraId="6147B470" w14:textId="795F1589" w:rsidR="00A419D1" w:rsidRDefault="00A419D1" w:rsidP="00117837">
            <w:pPr>
              <w:widowControl w:val="0"/>
              <w:spacing w:before="120" w:after="120" w:line="240" w:lineRule="atLeast"/>
              <w:rPr>
                <w:rFonts w:ascii="Arial" w:hAnsi="Arial"/>
                <w:b/>
                <w:sz w:val="20"/>
                <w:szCs w:val="20"/>
              </w:rPr>
            </w:pPr>
          </w:p>
        </w:tc>
        <w:tc>
          <w:tcPr>
            <w:tcW w:w="708" w:type="dxa"/>
            <w:shd w:val="clear" w:color="auto" w:fill="FFFFFF" w:themeFill="background1"/>
          </w:tcPr>
          <w:p w14:paraId="16E22613" w14:textId="31654BB5" w:rsidR="00A94750" w:rsidRDefault="00117837" w:rsidP="00117837">
            <w:pPr>
              <w:widowControl w:val="0"/>
              <w:spacing w:before="120" w:after="120" w:line="240" w:lineRule="atLeast"/>
              <w:jc w:val="center"/>
              <w:rPr>
                <w:rFonts w:ascii="Arial" w:hAnsi="Arial"/>
                <w:b/>
                <w:sz w:val="20"/>
                <w:szCs w:val="20"/>
              </w:rPr>
            </w:pPr>
            <w:r>
              <w:rPr>
                <w:rFonts w:ascii="Arial" w:hAnsi="Arial"/>
                <w:b/>
                <w:sz w:val="20"/>
                <w:szCs w:val="20"/>
              </w:rPr>
              <w:t>6</w:t>
            </w:r>
          </w:p>
        </w:tc>
        <w:tc>
          <w:tcPr>
            <w:tcW w:w="4016" w:type="dxa"/>
            <w:shd w:val="clear" w:color="auto" w:fill="FFFFFF" w:themeFill="background1"/>
          </w:tcPr>
          <w:p w14:paraId="7CDB6444" w14:textId="5FB92712" w:rsidR="00A94750" w:rsidRPr="00A94750" w:rsidRDefault="00A419D1" w:rsidP="00117837">
            <w:pPr>
              <w:widowControl w:val="0"/>
              <w:spacing w:before="120" w:after="120" w:line="240" w:lineRule="atLeast"/>
              <w:jc w:val="both"/>
              <w:rPr>
                <w:rFonts w:ascii="Arial" w:hAnsi="Arial"/>
                <w:b/>
                <w:sz w:val="20"/>
                <w:szCs w:val="20"/>
              </w:rPr>
            </w:pPr>
            <w:r w:rsidRPr="00A419D1">
              <w:rPr>
                <w:rFonts w:ascii="Arial" w:hAnsi="Arial"/>
                <w:b/>
                <w:sz w:val="20"/>
                <w:szCs w:val="20"/>
              </w:rPr>
              <w:t>De maximale aansprakelijkheid van 5 miljoen is erg hoog. Wij verzoeken u daarom dit bedrag te verlagen naar een maximale totale aansprakelijkheid van 2,5 miljoen euro</w:t>
            </w:r>
          </w:p>
        </w:tc>
        <w:tc>
          <w:tcPr>
            <w:tcW w:w="4016" w:type="dxa"/>
            <w:shd w:val="clear" w:color="auto" w:fill="FFFFFF" w:themeFill="background1"/>
          </w:tcPr>
          <w:p w14:paraId="07A27BD8" w14:textId="547200F7" w:rsidR="00A94750" w:rsidRPr="00A94750" w:rsidRDefault="00A419D1" w:rsidP="00117837">
            <w:pPr>
              <w:widowControl w:val="0"/>
              <w:spacing w:before="120" w:after="120" w:line="240" w:lineRule="atLeast"/>
              <w:jc w:val="both"/>
              <w:rPr>
                <w:rFonts w:ascii="Arial" w:hAnsi="Arial"/>
                <w:b/>
                <w:sz w:val="20"/>
                <w:szCs w:val="20"/>
              </w:rPr>
            </w:pPr>
            <w:r w:rsidRPr="00A419D1">
              <w:rPr>
                <w:rFonts w:ascii="Arial" w:hAnsi="Arial"/>
                <w:b/>
                <w:sz w:val="20"/>
                <w:szCs w:val="20"/>
              </w:rPr>
              <w:t>In afwijking op artikel 13.2 geldt een maximale aansprakelijkheid van 2,5 miljoen euro.</w:t>
            </w:r>
          </w:p>
        </w:tc>
        <w:tc>
          <w:tcPr>
            <w:tcW w:w="4017" w:type="dxa"/>
            <w:shd w:val="clear" w:color="auto" w:fill="FFFFFF" w:themeFill="background1"/>
          </w:tcPr>
          <w:p w14:paraId="7F75B9BF" w14:textId="0A1DC7D0" w:rsidR="00A94750" w:rsidRDefault="00A419D1" w:rsidP="00117837">
            <w:pPr>
              <w:widowControl w:val="0"/>
              <w:spacing w:before="120" w:after="120" w:line="240" w:lineRule="atLeast"/>
              <w:jc w:val="both"/>
              <w:rPr>
                <w:rFonts w:ascii="Arial" w:hAnsi="Arial"/>
                <w:b/>
                <w:sz w:val="20"/>
                <w:szCs w:val="20"/>
              </w:rPr>
            </w:pPr>
            <w:r>
              <w:rPr>
                <w:rFonts w:ascii="Arial" w:hAnsi="Arial"/>
                <w:b/>
                <w:sz w:val="20"/>
                <w:szCs w:val="20"/>
              </w:rPr>
              <w:t xml:space="preserve">Wij kunnen hiermee akkoord gaan.  </w:t>
            </w:r>
          </w:p>
        </w:tc>
        <w:tc>
          <w:tcPr>
            <w:tcW w:w="851" w:type="dxa"/>
            <w:shd w:val="clear" w:color="auto" w:fill="FFFFFF" w:themeFill="background1"/>
          </w:tcPr>
          <w:p w14:paraId="6263E200" w14:textId="4BBDDA08" w:rsidR="00A94750" w:rsidRDefault="00A419D1" w:rsidP="00117837">
            <w:pPr>
              <w:widowControl w:val="0"/>
              <w:spacing w:before="120" w:after="120" w:line="240" w:lineRule="atLeast"/>
              <w:jc w:val="center"/>
              <w:rPr>
                <w:rFonts w:ascii="Arial" w:hAnsi="Arial"/>
                <w:b/>
                <w:sz w:val="20"/>
                <w:szCs w:val="20"/>
              </w:rPr>
            </w:pPr>
            <w:r>
              <w:rPr>
                <w:rFonts w:ascii="Arial" w:hAnsi="Arial"/>
                <w:b/>
                <w:sz w:val="20"/>
                <w:szCs w:val="20"/>
              </w:rPr>
              <w:t>1</w:t>
            </w:r>
          </w:p>
        </w:tc>
      </w:tr>
      <w:tr w:rsidR="00A419D1" w:rsidRPr="000C3165" w14:paraId="298F2DB8" w14:textId="77777777" w:rsidTr="00A95997">
        <w:trPr>
          <w:tblHeader/>
        </w:trPr>
        <w:tc>
          <w:tcPr>
            <w:tcW w:w="1178" w:type="dxa"/>
            <w:shd w:val="clear" w:color="auto" w:fill="FFFFFF" w:themeFill="background1"/>
          </w:tcPr>
          <w:p w14:paraId="37C489FE" w14:textId="014CC646" w:rsidR="00A419D1" w:rsidRDefault="00A419D1" w:rsidP="00117837">
            <w:pPr>
              <w:widowControl w:val="0"/>
              <w:spacing w:before="120" w:after="120" w:line="240" w:lineRule="atLeast"/>
              <w:rPr>
                <w:rFonts w:ascii="Arial" w:hAnsi="Arial"/>
                <w:b/>
                <w:sz w:val="20"/>
                <w:szCs w:val="20"/>
              </w:rPr>
            </w:pPr>
          </w:p>
        </w:tc>
        <w:tc>
          <w:tcPr>
            <w:tcW w:w="708" w:type="dxa"/>
            <w:shd w:val="clear" w:color="auto" w:fill="FFFFFF" w:themeFill="background1"/>
          </w:tcPr>
          <w:p w14:paraId="09EE9E68" w14:textId="6CE7D800" w:rsidR="00A419D1" w:rsidRDefault="00117837" w:rsidP="00117837">
            <w:pPr>
              <w:widowControl w:val="0"/>
              <w:spacing w:before="120" w:after="120" w:line="240" w:lineRule="atLeast"/>
              <w:jc w:val="center"/>
              <w:rPr>
                <w:rFonts w:ascii="Arial" w:hAnsi="Arial"/>
                <w:b/>
                <w:sz w:val="20"/>
                <w:szCs w:val="20"/>
              </w:rPr>
            </w:pPr>
            <w:r>
              <w:rPr>
                <w:rFonts w:ascii="Arial" w:hAnsi="Arial"/>
                <w:b/>
                <w:sz w:val="20"/>
                <w:szCs w:val="20"/>
              </w:rPr>
              <w:t>7</w:t>
            </w:r>
          </w:p>
        </w:tc>
        <w:tc>
          <w:tcPr>
            <w:tcW w:w="4016" w:type="dxa"/>
            <w:shd w:val="clear" w:color="auto" w:fill="FFFFFF" w:themeFill="background1"/>
          </w:tcPr>
          <w:p w14:paraId="223FBA0C" w14:textId="71252254" w:rsidR="00A419D1" w:rsidRPr="00A419D1" w:rsidRDefault="00A419D1" w:rsidP="00117837">
            <w:pPr>
              <w:widowControl w:val="0"/>
              <w:spacing w:before="120" w:after="120" w:line="240" w:lineRule="atLeast"/>
              <w:jc w:val="both"/>
              <w:rPr>
                <w:rFonts w:ascii="Arial" w:hAnsi="Arial"/>
                <w:b/>
                <w:sz w:val="20"/>
                <w:szCs w:val="20"/>
              </w:rPr>
            </w:pPr>
            <w:r w:rsidRPr="00A419D1">
              <w:rPr>
                <w:rFonts w:ascii="Arial" w:hAnsi="Arial"/>
                <w:b/>
                <w:sz w:val="20"/>
                <w:szCs w:val="20"/>
              </w:rPr>
              <w:t>Een door de Autoriteit Persoonsgegevens opgelegde boete kan duidelijk verder gaan dan de in artikel 13.2 vastgelegde maximale aansprakelijkheid. Dit is niet te verzekeren. Wij verzoeken u daarom op artikel 13.4 een maximale aansprakelijkheid van € 2.000.000,- van toepassing te verklaren.</w:t>
            </w:r>
          </w:p>
        </w:tc>
        <w:tc>
          <w:tcPr>
            <w:tcW w:w="4016" w:type="dxa"/>
            <w:shd w:val="clear" w:color="auto" w:fill="FFFFFF" w:themeFill="background1"/>
          </w:tcPr>
          <w:p w14:paraId="01D13608" w14:textId="12B5B135" w:rsidR="00A419D1" w:rsidRPr="00A419D1" w:rsidRDefault="00A419D1" w:rsidP="00117837">
            <w:pPr>
              <w:widowControl w:val="0"/>
              <w:spacing w:before="120" w:after="120" w:line="240" w:lineRule="atLeast"/>
              <w:jc w:val="both"/>
              <w:rPr>
                <w:rFonts w:ascii="Arial" w:hAnsi="Arial"/>
                <w:b/>
                <w:sz w:val="20"/>
                <w:szCs w:val="20"/>
              </w:rPr>
            </w:pPr>
            <w:r w:rsidRPr="00A419D1">
              <w:rPr>
                <w:rFonts w:ascii="Arial" w:hAnsi="Arial"/>
                <w:b/>
                <w:sz w:val="20"/>
                <w:szCs w:val="20"/>
              </w:rPr>
              <w:t>In afwijking op artikel 13.4 geldt een maximale aansprakelijkheid van 2 miljoen euro.</w:t>
            </w:r>
          </w:p>
        </w:tc>
        <w:tc>
          <w:tcPr>
            <w:tcW w:w="4017" w:type="dxa"/>
            <w:shd w:val="clear" w:color="auto" w:fill="FFFFFF" w:themeFill="background1"/>
          </w:tcPr>
          <w:p w14:paraId="521271F3" w14:textId="14098B3A" w:rsidR="00A419D1" w:rsidRDefault="00A419D1" w:rsidP="00117837">
            <w:pPr>
              <w:widowControl w:val="0"/>
              <w:spacing w:before="120" w:after="120" w:line="240" w:lineRule="atLeast"/>
              <w:jc w:val="both"/>
              <w:rPr>
                <w:rFonts w:ascii="Arial" w:hAnsi="Arial"/>
                <w:b/>
                <w:sz w:val="20"/>
                <w:szCs w:val="20"/>
              </w:rPr>
            </w:pPr>
            <w:r>
              <w:rPr>
                <w:rFonts w:ascii="Arial" w:hAnsi="Arial"/>
                <w:b/>
                <w:sz w:val="20"/>
                <w:szCs w:val="20"/>
              </w:rPr>
              <w:t>Neen, de maximale aansprakelijkheid zal gelijk zijn aan het onder vraag 5 genoemde maximum.</w:t>
            </w:r>
          </w:p>
        </w:tc>
        <w:tc>
          <w:tcPr>
            <w:tcW w:w="851" w:type="dxa"/>
            <w:shd w:val="clear" w:color="auto" w:fill="FFFFFF" w:themeFill="background1"/>
          </w:tcPr>
          <w:p w14:paraId="28AA5517" w14:textId="4D2EB604" w:rsidR="00A419D1" w:rsidRDefault="00A419D1" w:rsidP="00117837">
            <w:pPr>
              <w:widowControl w:val="0"/>
              <w:spacing w:before="120" w:after="120" w:line="240" w:lineRule="atLeast"/>
              <w:jc w:val="center"/>
              <w:rPr>
                <w:rFonts w:ascii="Arial" w:hAnsi="Arial"/>
                <w:b/>
                <w:sz w:val="20"/>
                <w:szCs w:val="20"/>
              </w:rPr>
            </w:pPr>
            <w:r>
              <w:rPr>
                <w:rFonts w:ascii="Arial" w:hAnsi="Arial"/>
                <w:b/>
                <w:sz w:val="20"/>
                <w:szCs w:val="20"/>
              </w:rPr>
              <w:t>1</w:t>
            </w:r>
          </w:p>
        </w:tc>
      </w:tr>
      <w:tr w:rsidR="00A419D1" w:rsidRPr="000C3165" w14:paraId="5367FB28" w14:textId="77777777" w:rsidTr="00A95997">
        <w:trPr>
          <w:tblHeader/>
        </w:trPr>
        <w:tc>
          <w:tcPr>
            <w:tcW w:w="1178" w:type="dxa"/>
            <w:shd w:val="clear" w:color="auto" w:fill="FFFFFF" w:themeFill="background1"/>
          </w:tcPr>
          <w:p w14:paraId="37A65A92" w14:textId="4E572C56" w:rsidR="00A419D1" w:rsidRDefault="00A419D1" w:rsidP="00117837">
            <w:pPr>
              <w:widowControl w:val="0"/>
              <w:spacing w:before="120" w:after="120" w:line="240" w:lineRule="atLeast"/>
              <w:rPr>
                <w:rFonts w:ascii="Arial" w:hAnsi="Arial"/>
                <w:b/>
                <w:sz w:val="20"/>
                <w:szCs w:val="20"/>
              </w:rPr>
            </w:pPr>
          </w:p>
        </w:tc>
        <w:tc>
          <w:tcPr>
            <w:tcW w:w="708" w:type="dxa"/>
            <w:shd w:val="clear" w:color="auto" w:fill="FFFFFF" w:themeFill="background1"/>
          </w:tcPr>
          <w:p w14:paraId="03ED5761" w14:textId="30B5DB91" w:rsidR="00A419D1" w:rsidRDefault="00117837" w:rsidP="00117837">
            <w:pPr>
              <w:widowControl w:val="0"/>
              <w:spacing w:before="120" w:after="120" w:line="240" w:lineRule="atLeast"/>
              <w:jc w:val="center"/>
              <w:rPr>
                <w:rFonts w:ascii="Arial" w:hAnsi="Arial"/>
                <w:b/>
                <w:sz w:val="20"/>
                <w:szCs w:val="20"/>
              </w:rPr>
            </w:pPr>
            <w:r>
              <w:rPr>
                <w:rFonts w:ascii="Arial" w:hAnsi="Arial"/>
                <w:b/>
                <w:sz w:val="20"/>
                <w:szCs w:val="20"/>
              </w:rPr>
              <w:t>8</w:t>
            </w:r>
          </w:p>
        </w:tc>
        <w:tc>
          <w:tcPr>
            <w:tcW w:w="4016" w:type="dxa"/>
            <w:shd w:val="clear" w:color="auto" w:fill="FFFFFF" w:themeFill="background1"/>
          </w:tcPr>
          <w:p w14:paraId="433DCA87" w14:textId="50FE424E" w:rsidR="00A419D1" w:rsidRPr="00A419D1" w:rsidRDefault="00A419D1" w:rsidP="00117837">
            <w:pPr>
              <w:widowControl w:val="0"/>
              <w:spacing w:before="120" w:after="120" w:line="240" w:lineRule="atLeast"/>
              <w:jc w:val="both"/>
              <w:rPr>
                <w:rFonts w:ascii="Arial" w:hAnsi="Arial"/>
                <w:b/>
                <w:sz w:val="20"/>
                <w:szCs w:val="20"/>
              </w:rPr>
            </w:pPr>
            <w:r w:rsidRPr="00A419D1">
              <w:rPr>
                <w:rFonts w:ascii="Arial" w:hAnsi="Arial"/>
                <w:b/>
                <w:sz w:val="20"/>
                <w:szCs w:val="20"/>
              </w:rPr>
              <w:t>Er heeft een ronde plaatsgevonden waarbij de VNG leveranciers heeft gevraagd om wijzigingsverzoeken in te dienen. Bij dit wijzigingsverzoek heeft de VNG zelf het volgende aangegeven (citaat): "Artikel aanpassen door schrappen laatste zin 15.1." Dit betreft dus de volgende zin: "De inhoud van de onder de GIBIT gesloten Overeenkomst(en) als zodanig mag/mogen met andere gemeenten, aan gemeenten gelieerde rechtspersonen en gemeentelijke samenwerkingsverbanden worden gedeeld." Dit is inmiddels ook in de GIBIT 2020 verwerkt. Wij verzoeken u daarom deze zin conform het standpunt van de VNG te schrappen.</w:t>
            </w:r>
          </w:p>
        </w:tc>
        <w:tc>
          <w:tcPr>
            <w:tcW w:w="4016" w:type="dxa"/>
            <w:shd w:val="clear" w:color="auto" w:fill="FFFFFF" w:themeFill="background1"/>
          </w:tcPr>
          <w:p w14:paraId="348F6FEA" w14:textId="251976F8" w:rsidR="00A419D1" w:rsidRPr="00A419D1" w:rsidRDefault="00A419D1" w:rsidP="00117837">
            <w:pPr>
              <w:widowControl w:val="0"/>
              <w:spacing w:before="120" w:after="120" w:line="240" w:lineRule="atLeast"/>
              <w:jc w:val="both"/>
              <w:rPr>
                <w:rFonts w:ascii="Arial" w:hAnsi="Arial"/>
                <w:b/>
                <w:sz w:val="20"/>
                <w:szCs w:val="20"/>
              </w:rPr>
            </w:pPr>
            <w:r w:rsidRPr="00A419D1">
              <w:rPr>
                <w:rFonts w:ascii="Arial" w:hAnsi="Arial"/>
                <w:b/>
                <w:sz w:val="20"/>
                <w:szCs w:val="20"/>
              </w:rPr>
              <w:t>De laatste zin van artikel 15.1 ("De inhoud van de onder de GIBIT gesloten Overeenkomst(en) als zodanig mag/mogen met andere gemeenten, aan gemeenten gelieerde rechtspersonen en gemeentelijke samenwerkingsverbanden worden gedeeld.") is niet van toepassing.</w:t>
            </w:r>
          </w:p>
        </w:tc>
        <w:tc>
          <w:tcPr>
            <w:tcW w:w="4017" w:type="dxa"/>
            <w:shd w:val="clear" w:color="auto" w:fill="FFFFFF" w:themeFill="background1"/>
          </w:tcPr>
          <w:p w14:paraId="7DC539CC" w14:textId="070FF45A" w:rsidR="00A419D1" w:rsidRDefault="00A419D1" w:rsidP="00117837">
            <w:pPr>
              <w:widowControl w:val="0"/>
              <w:spacing w:before="120" w:after="120" w:line="240" w:lineRule="atLeast"/>
              <w:jc w:val="both"/>
              <w:rPr>
                <w:rFonts w:ascii="Arial" w:hAnsi="Arial"/>
                <w:b/>
                <w:sz w:val="20"/>
                <w:szCs w:val="20"/>
              </w:rPr>
            </w:pPr>
            <w:r>
              <w:rPr>
                <w:rFonts w:ascii="Arial" w:hAnsi="Arial"/>
                <w:b/>
                <w:sz w:val="20"/>
                <w:szCs w:val="20"/>
              </w:rPr>
              <w:t>Wij kunnen hiermee akkoord gaan.</w:t>
            </w:r>
          </w:p>
        </w:tc>
        <w:tc>
          <w:tcPr>
            <w:tcW w:w="851" w:type="dxa"/>
            <w:shd w:val="clear" w:color="auto" w:fill="FFFFFF" w:themeFill="background1"/>
          </w:tcPr>
          <w:p w14:paraId="1247467E" w14:textId="62565F76" w:rsidR="00A419D1" w:rsidRDefault="00A419D1" w:rsidP="00117837">
            <w:pPr>
              <w:widowControl w:val="0"/>
              <w:spacing w:before="120" w:after="120" w:line="240" w:lineRule="atLeast"/>
              <w:jc w:val="center"/>
              <w:rPr>
                <w:rFonts w:ascii="Arial" w:hAnsi="Arial"/>
                <w:b/>
                <w:sz w:val="20"/>
                <w:szCs w:val="20"/>
              </w:rPr>
            </w:pPr>
            <w:r>
              <w:rPr>
                <w:rFonts w:ascii="Arial" w:hAnsi="Arial"/>
                <w:b/>
                <w:sz w:val="20"/>
                <w:szCs w:val="20"/>
              </w:rPr>
              <w:t>1</w:t>
            </w:r>
          </w:p>
        </w:tc>
      </w:tr>
      <w:tr w:rsidR="00A419D1" w:rsidRPr="000C3165" w14:paraId="5783B983" w14:textId="77777777" w:rsidTr="00A95997">
        <w:trPr>
          <w:tblHeader/>
        </w:trPr>
        <w:tc>
          <w:tcPr>
            <w:tcW w:w="1178" w:type="dxa"/>
            <w:shd w:val="clear" w:color="auto" w:fill="FFFFFF" w:themeFill="background1"/>
          </w:tcPr>
          <w:p w14:paraId="42E243B8" w14:textId="13A8D099" w:rsidR="00A419D1" w:rsidRDefault="00A419D1" w:rsidP="00117837">
            <w:pPr>
              <w:widowControl w:val="0"/>
              <w:spacing w:before="120" w:after="120" w:line="240" w:lineRule="atLeast"/>
              <w:rPr>
                <w:rFonts w:ascii="Arial" w:hAnsi="Arial"/>
                <w:b/>
                <w:sz w:val="20"/>
                <w:szCs w:val="20"/>
              </w:rPr>
            </w:pPr>
          </w:p>
        </w:tc>
        <w:tc>
          <w:tcPr>
            <w:tcW w:w="708" w:type="dxa"/>
            <w:shd w:val="clear" w:color="auto" w:fill="FFFFFF" w:themeFill="background1"/>
          </w:tcPr>
          <w:p w14:paraId="7D4CB6DE" w14:textId="7F626DA6" w:rsidR="00A419D1" w:rsidRDefault="00117837" w:rsidP="00117837">
            <w:pPr>
              <w:widowControl w:val="0"/>
              <w:spacing w:before="120" w:after="120" w:line="240" w:lineRule="atLeast"/>
              <w:jc w:val="center"/>
              <w:rPr>
                <w:rFonts w:ascii="Arial" w:hAnsi="Arial"/>
                <w:b/>
                <w:sz w:val="20"/>
                <w:szCs w:val="20"/>
              </w:rPr>
            </w:pPr>
            <w:r>
              <w:rPr>
                <w:rFonts w:ascii="Arial" w:hAnsi="Arial"/>
                <w:b/>
                <w:sz w:val="20"/>
                <w:szCs w:val="20"/>
              </w:rPr>
              <w:t>9</w:t>
            </w:r>
          </w:p>
        </w:tc>
        <w:tc>
          <w:tcPr>
            <w:tcW w:w="4016" w:type="dxa"/>
            <w:shd w:val="clear" w:color="auto" w:fill="FFFFFF" w:themeFill="background1"/>
          </w:tcPr>
          <w:p w14:paraId="0310585D" w14:textId="603822FC" w:rsidR="00A419D1" w:rsidRPr="00A419D1" w:rsidRDefault="00A419D1" w:rsidP="00117837">
            <w:pPr>
              <w:widowControl w:val="0"/>
              <w:spacing w:before="120" w:after="120" w:line="240" w:lineRule="atLeast"/>
              <w:jc w:val="both"/>
              <w:rPr>
                <w:rFonts w:ascii="Arial" w:hAnsi="Arial"/>
                <w:b/>
                <w:sz w:val="20"/>
                <w:szCs w:val="20"/>
              </w:rPr>
            </w:pPr>
            <w:r w:rsidRPr="00A419D1">
              <w:rPr>
                <w:rFonts w:ascii="Arial" w:hAnsi="Arial"/>
                <w:b/>
                <w:sz w:val="20"/>
                <w:szCs w:val="20"/>
              </w:rPr>
              <w:t>De opzegtermijnen voor opdrachtgever (3 maanden) en opdrachtnemer (18 maanden) wijken sterk van elkaar af en staan in onze optiek niet in verhouding. Wij verzoeken u daarom voor opdrachtnemer een opzegtermijn van 12 maanden van toepassing te verklaren.</w:t>
            </w:r>
          </w:p>
        </w:tc>
        <w:tc>
          <w:tcPr>
            <w:tcW w:w="4016" w:type="dxa"/>
            <w:shd w:val="clear" w:color="auto" w:fill="FFFFFF" w:themeFill="background1"/>
          </w:tcPr>
          <w:p w14:paraId="251AA90D" w14:textId="2B859915" w:rsidR="00A419D1" w:rsidRPr="00A419D1" w:rsidRDefault="00A419D1" w:rsidP="00117837">
            <w:pPr>
              <w:widowControl w:val="0"/>
              <w:spacing w:before="120" w:after="120" w:line="240" w:lineRule="atLeast"/>
              <w:jc w:val="both"/>
              <w:rPr>
                <w:rFonts w:ascii="Arial" w:hAnsi="Arial"/>
                <w:b/>
                <w:sz w:val="20"/>
                <w:szCs w:val="20"/>
              </w:rPr>
            </w:pPr>
            <w:r w:rsidRPr="00A419D1">
              <w:rPr>
                <w:rFonts w:ascii="Arial" w:hAnsi="Arial"/>
                <w:b/>
                <w:sz w:val="20"/>
                <w:szCs w:val="20"/>
              </w:rPr>
              <w:t>In afwijking op artikel 20.1 geldt voor opdrachtnemer een opzegtermijn van 12 maanden</w:t>
            </w:r>
          </w:p>
        </w:tc>
        <w:tc>
          <w:tcPr>
            <w:tcW w:w="4017" w:type="dxa"/>
            <w:shd w:val="clear" w:color="auto" w:fill="FFFFFF" w:themeFill="background1"/>
          </w:tcPr>
          <w:p w14:paraId="0AD41339" w14:textId="43CB3CF6" w:rsidR="00A419D1" w:rsidRDefault="00117837" w:rsidP="00117837">
            <w:pPr>
              <w:widowControl w:val="0"/>
              <w:spacing w:before="120" w:after="120" w:line="240" w:lineRule="atLeast"/>
              <w:jc w:val="both"/>
              <w:rPr>
                <w:rFonts w:ascii="Arial" w:hAnsi="Arial"/>
                <w:b/>
                <w:sz w:val="20"/>
                <w:szCs w:val="20"/>
              </w:rPr>
            </w:pPr>
            <w:r>
              <w:rPr>
                <w:rFonts w:ascii="Arial" w:hAnsi="Arial"/>
                <w:b/>
                <w:sz w:val="20"/>
                <w:szCs w:val="20"/>
              </w:rPr>
              <w:t>De opzegtermijn in artikel 18.1 bedraagt minimaal 6 maanden en maximaal de termijn die benodigd is voor het afsluiten van een overeenkomst met een andere opdrachtgever, tenzij anders wordt overeengekomen.</w:t>
            </w:r>
          </w:p>
        </w:tc>
        <w:tc>
          <w:tcPr>
            <w:tcW w:w="851" w:type="dxa"/>
            <w:shd w:val="clear" w:color="auto" w:fill="FFFFFF" w:themeFill="background1"/>
          </w:tcPr>
          <w:p w14:paraId="04F21E5E" w14:textId="66EE7F02" w:rsidR="00A419D1" w:rsidRDefault="00117837" w:rsidP="00117837">
            <w:pPr>
              <w:widowControl w:val="0"/>
              <w:spacing w:before="120" w:after="120" w:line="240" w:lineRule="atLeast"/>
              <w:jc w:val="center"/>
              <w:rPr>
                <w:rFonts w:ascii="Arial" w:hAnsi="Arial"/>
                <w:b/>
                <w:sz w:val="20"/>
                <w:szCs w:val="20"/>
              </w:rPr>
            </w:pPr>
            <w:r>
              <w:rPr>
                <w:rFonts w:ascii="Arial" w:hAnsi="Arial"/>
                <w:b/>
                <w:sz w:val="20"/>
                <w:szCs w:val="20"/>
              </w:rPr>
              <w:t>1</w:t>
            </w:r>
          </w:p>
        </w:tc>
      </w:tr>
      <w:tr w:rsidR="00117837" w:rsidRPr="000C3165" w14:paraId="31D6110B" w14:textId="77777777" w:rsidTr="00A95997">
        <w:trPr>
          <w:tblHeader/>
        </w:trPr>
        <w:tc>
          <w:tcPr>
            <w:tcW w:w="1178" w:type="dxa"/>
            <w:shd w:val="clear" w:color="auto" w:fill="FFFFFF" w:themeFill="background1"/>
          </w:tcPr>
          <w:p w14:paraId="12107810" w14:textId="51610FD2" w:rsidR="00117837" w:rsidRDefault="00117837" w:rsidP="00117837">
            <w:pPr>
              <w:widowControl w:val="0"/>
              <w:spacing w:before="120" w:after="120" w:line="240" w:lineRule="atLeast"/>
              <w:rPr>
                <w:rFonts w:ascii="Arial" w:hAnsi="Arial"/>
                <w:b/>
                <w:sz w:val="20"/>
                <w:szCs w:val="20"/>
              </w:rPr>
            </w:pPr>
          </w:p>
        </w:tc>
        <w:tc>
          <w:tcPr>
            <w:tcW w:w="708" w:type="dxa"/>
            <w:shd w:val="clear" w:color="auto" w:fill="FFFFFF" w:themeFill="background1"/>
          </w:tcPr>
          <w:p w14:paraId="1CDABC15" w14:textId="161D41D8" w:rsidR="00117837" w:rsidRDefault="00117837" w:rsidP="00117837">
            <w:pPr>
              <w:widowControl w:val="0"/>
              <w:spacing w:before="120" w:after="120" w:line="240" w:lineRule="atLeast"/>
              <w:jc w:val="center"/>
              <w:rPr>
                <w:rFonts w:ascii="Arial" w:hAnsi="Arial"/>
                <w:b/>
                <w:sz w:val="20"/>
                <w:szCs w:val="20"/>
              </w:rPr>
            </w:pPr>
            <w:r>
              <w:rPr>
                <w:rFonts w:ascii="Arial" w:hAnsi="Arial"/>
                <w:b/>
                <w:sz w:val="20"/>
                <w:szCs w:val="20"/>
              </w:rPr>
              <w:t>10</w:t>
            </w:r>
          </w:p>
        </w:tc>
        <w:tc>
          <w:tcPr>
            <w:tcW w:w="4016" w:type="dxa"/>
            <w:shd w:val="clear" w:color="auto" w:fill="FFFFFF" w:themeFill="background1"/>
          </w:tcPr>
          <w:p w14:paraId="0E6E22EF" w14:textId="4084FAEF" w:rsidR="00117837" w:rsidRPr="00A419D1" w:rsidRDefault="00117837" w:rsidP="00117837">
            <w:pPr>
              <w:widowControl w:val="0"/>
              <w:spacing w:before="120" w:after="120" w:line="240" w:lineRule="atLeast"/>
              <w:jc w:val="both"/>
              <w:rPr>
                <w:rFonts w:ascii="Arial" w:hAnsi="Arial"/>
                <w:b/>
                <w:sz w:val="20"/>
                <w:szCs w:val="20"/>
              </w:rPr>
            </w:pPr>
            <w:r w:rsidRPr="00117837">
              <w:rPr>
                <w:rFonts w:ascii="Arial" w:hAnsi="Arial"/>
                <w:b/>
                <w:sz w:val="20"/>
                <w:szCs w:val="20"/>
              </w:rPr>
              <w:t>Wij houden ons aan de normen van ISO 27001 en doen er alles aan om de instructies van de Opdrachtgever op te volgen, maar het is voor een leverancier niet werkbaar zich te conformeren aan gedragscodes van een enkele gemeente, die wellicht zelfs in tegenspraak zijn met gedragscodes van een andere gemeente. Leverancier moet een uniform informatiebeveiligings</w:t>
            </w:r>
            <w:r>
              <w:rPr>
                <w:rFonts w:ascii="Arial" w:hAnsi="Arial"/>
                <w:b/>
                <w:sz w:val="20"/>
                <w:szCs w:val="20"/>
              </w:rPr>
              <w:t>-</w:t>
            </w:r>
            <w:r w:rsidRPr="00117837">
              <w:rPr>
                <w:rFonts w:ascii="Arial" w:hAnsi="Arial"/>
                <w:b/>
                <w:sz w:val="20"/>
                <w:szCs w:val="20"/>
              </w:rPr>
              <w:t>belei</w:t>
            </w:r>
            <w:r>
              <w:rPr>
                <w:rFonts w:ascii="Arial" w:hAnsi="Arial"/>
                <w:b/>
                <w:sz w:val="20"/>
                <w:szCs w:val="20"/>
              </w:rPr>
              <w:t>d</w:t>
            </w:r>
            <w:r w:rsidRPr="00117837">
              <w:rPr>
                <w:rFonts w:ascii="Arial" w:hAnsi="Arial"/>
                <w:b/>
                <w:sz w:val="20"/>
                <w:szCs w:val="20"/>
              </w:rPr>
              <w:t xml:space="preserve"> kunnen handhaven. Wij verzoeken u daarom akkoord te gaan met de volgende wijziging: "Leverancier verwerkt persoonsgegevens op behoorlijke en zorgvuldige wijze en in overeenstemming met de toepasselijke wet- en regelgeving, de instructies van Opdrachtgever alsmede conform de norm ISO 27001 en 27002".</w:t>
            </w:r>
          </w:p>
        </w:tc>
        <w:tc>
          <w:tcPr>
            <w:tcW w:w="4016" w:type="dxa"/>
            <w:shd w:val="clear" w:color="auto" w:fill="FFFFFF" w:themeFill="background1"/>
          </w:tcPr>
          <w:p w14:paraId="323EF23B" w14:textId="665BD6E9" w:rsidR="00117837" w:rsidRPr="00A419D1" w:rsidRDefault="00117837" w:rsidP="00117837">
            <w:pPr>
              <w:widowControl w:val="0"/>
              <w:spacing w:before="120" w:after="120" w:line="240" w:lineRule="atLeast"/>
              <w:jc w:val="both"/>
              <w:rPr>
                <w:rFonts w:ascii="Arial" w:hAnsi="Arial"/>
                <w:b/>
                <w:sz w:val="20"/>
                <w:szCs w:val="20"/>
              </w:rPr>
            </w:pPr>
            <w:r w:rsidRPr="00117837">
              <w:rPr>
                <w:rFonts w:ascii="Arial" w:hAnsi="Arial"/>
                <w:b/>
                <w:sz w:val="20"/>
                <w:szCs w:val="20"/>
              </w:rPr>
              <w:t>In afwijking op artikel 25.5 geldt: "Leverancier verwerkt persoonsgegevens op behoorlijke en zorgvuldige wijze en in overeenstemming met de toepasselijke wet- en regelgeving, de instructies van Opdrachtgever alsmede conform de norm ISO 27001 en 27002".</w:t>
            </w:r>
          </w:p>
        </w:tc>
        <w:tc>
          <w:tcPr>
            <w:tcW w:w="4017" w:type="dxa"/>
            <w:shd w:val="clear" w:color="auto" w:fill="FFFFFF" w:themeFill="background1"/>
          </w:tcPr>
          <w:p w14:paraId="33DF9F3F" w14:textId="4FD28452" w:rsidR="00117837" w:rsidRDefault="00117837" w:rsidP="00117837">
            <w:pPr>
              <w:widowControl w:val="0"/>
              <w:spacing w:before="120" w:after="120" w:line="240" w:lineRule="atLeast"/>
              <w:jc w:val="both"/>
              <w:rPr>
                <w:rFonts w:ascii="Arial" w:hAnsi="Arial"/>
                <w:b/>
                <w:sz w:val="20"/>
                <w:szCs w:val="20"/>
              </w:rPr>
            </w:pPr>
            <w:r>
              <w:rPr>
                <w:rFonts w:ascii="Arial" w:hAnsi="Arial"/>
                <w:b/>
                <w:sz w:val="20"/>
                <w:szCs w:val="20"/>
              </w:rPr>
              <w:t>Wij kunnen hiermee akkoord gaan.</w:t>
            </w:r>
          </w:p>
        </w:tc>
        <w:tc>
          <w:tcPr>
            <w:tcW w:w="851" w:type="dxa"/>
            <w:shd w:val="clear" w:color="auto" w:fill="FFFFFF" w:themeFill="background1"/>
          </w:tcPr>
          <w:p w14:paraId="24ECF740" w14:textId="5A2B2005" w:rsidR="00117837" w:rsidRDefault="00117837" w:rsidP="00117837">
            <w:pPr>
              <w:widowControl w:val="0"/>
              <w:spacing w:before="120" w:after="120" w:line="240" w:lineRule="atLeast"/>
              <w:jc w:val="center"/>
              <w:rPr>
                <w:rFonts w:ascii="Arial" w:hAnsi="Arial"/>
                <w:b/>
                <w:sz w:val="20"/>
                <w:szCs w:val="20"/>
              </w:rPr>
            </w:pPr>
            <w:r>
              <w:rPr>
                <w:rFonts w:ascii="Arial" w:hAnsi="Arial"/>
                <w:b/>
                <w:sz w:val="20"/>
                <w:szCs w:val="20"/>
              </w:rPr>
              <w:t>1</w:t>
            </w:r>
          </w:p>
        </w:tc>
      </w:tr>
      <w:tr w:rsidR="00117837" w:rsidRPr="000C3165" w14:paraId="4DAF532D" w14:textId="77777777" w:rsidTr="00A95997">
        <w:trPr>
          <w:tblHeader/>
        </w:trPr>
        <w:tc>
          <w:tcPr>
            <w:tcW w:w="1178" w:type="dxa"/>
            <w:shd w:val="clear" w:color="auto" w:fill="FFFFFF" w:themeFill="background1"/>
          </w:tcPr>
          <w:p w14:paraId="7C1F73FF" w14:textId="00B8ECCC" w:rsidR="00117837" w:rsidRDefault="00117837" w:rsidP="00117837">
            <w:pPr>
              <w:widowControl w:val="0"/>
              <w:spacing w:before="120" w:after="120" w:line="240" w:lineRule="atLeast"/>
              <w:rPr>
                <w:rFonts w:ascii="Arial" w:hAnsi="Arial"/>
                <w:b/>
                <w:sz w:val="20"/>
                <w:szCs w:val="20"/>
              </w:rPr>
            </w:pPr>
          </w:p>
        </w:tc>
        <w:tc>
          <w:tcPr>
            <w:tcW w:w="708" w:type="dxa"/>
            <w:shd w:val="clear" w:color="auto" w:fill="FFFFFF" w:themeFill="background1"/>
          </w:tcPr>
          <w:p w14:paraId="5DB20209" w14:textId="230DA8EE" w:rsidR="00117837" w:rsidRDefault="00117837" w:rsidP="00117837">
            <w:pPr>
              <w:widowControl w:val="0"/>
              <w:spacing w:before="120" w:after="120" w:line="240" w:lineRule="atLeast"/>
              <w:jc w:val="center"/>
              <w:rPr>
                <w:rFonts w:ascii="Arial" w:hAnsi="Arial"/>
                <w:b/>
                <w:sz w:val="20"/>
                <w:szCs w:val="20"/>
              </w:rPr>
            </w:pPr>
            <w:r>
              <w:rPr>
                <w:rFonts w:ascii="Arial" w:hAnsi="Arial"/>
                <w:b/>
                <w:sz w:val="20"/>
                <w:szCs w:val="20"/>
              </w:rPr>
              <w:t>11</w:t>
            </w:r>
          </w:p>
        </w:tc>
        <w:tc>
          <w:tcPr>
            <w:tcW w:w="4016" w:type="dxa"/>
            <w:shd w:val="clear" w:color="auto" w:fill="FFFFFF" w:themeFill="background1"/>
          </w:tcPr>
          <w:p w14:paraId="1104EB9D" w14:textId="4178528F" w:rsidR="00117837" w:rsidRPr="00117837" w:rsidRDefault="00117837" w:rsidP="00117837">
            <w:pPr>
              <w:widowControl w:val="0"/>
              <w:spacing w:before="120" w:after="120" w:line="240" w:lineRule="atLeast"/>
              <w:jc w:val="both"/>
              <w:rPr>
                <w:rFonts w:ascii="Arial" w:hAnsi="Arial"/>
                <w:b/>
                <w:sz w:val="20"/>
                <w:szCs w:val="20"/>
              </w:rPr>
            </w:pPr>
            <w:r w:rsidRPr="00117837">
              <w:rPr>
                <w:rFonts w:ascii="Arial" w:hAnsi="Arial"/>
                <w:b/>
                <w:sz w:val="20"/>
                <w:szCs w:val="20"/>
              </w:rPr>
              <w:t>De BIG is inmiddels vervangen door de BIO. Daarin staat expliciet dat de BIO niet integraal aan leveranciers doorgelegd dient te worden, gezien hierin ook maatregelen staan die specifiek voor opdrachtgever zelf bedoeld zijn. Bij de BIO is in de kolom "Verantwoordelijke" aangegeven welke maatregelen ook voor dienstenleveranciers kunnen gelden. Wij verzoeken u daarom artikel 26.1 aan te passen zodat deze beter aansluit bij de huidige situatie: "Leverancier dient te voldoen aan alle in de Baseline Informatiebeveiliging Overheden (BIO) genoemde maatregelen welke (gedeeltelijk) voor dienstenleveranciers gelden."</w:t>
            </w:r>
          </w:p>
        </w:tc>
        <w:tc>
          <w:tcPr>
            <w:tcW w:w="4016" w:type="dxa"/>
            <w:shd w:val="clear" w:color="auto" w:fill="FFFFFF" w:themeFill="background1"/>
          </w:tcPr>
          <w:p w14:paraId="04CF9F6F" w14:textId="280E6423" w:rsidR="00117837" w:rsidRPr="00117837" w:rsidRDefault="00C836B6" w:rsidP="00117837">
            <w:pPr>
              <w:widowControl w:val="0"/>
              <w:spacing w:before="120" w:after="120" w:line="240" w:lineRule="atLeast"/>
              <w:jc w:val="both"/>
              <w:rPr>
                <w:rFonts w:ascii="Arial" w:hAnsi="Arial"/>
                <w:b/>
                <w:sz w:val="20"/>
                <w:szCs w:val="20"/>
              </w:rPr>
            </w:pPr>
            <w:r w:rsidRPr="00C836B6">
              <w:rPr>
                <w:rFonts w:ascii="Arial" w:hAnsi="Arial"/>
                <w:b/>
                <w:sz w:val="20"/>
                <w:szCs w:val="20"/>
              </w:rPr>
              <w:t>In afwijking op artikel 26.1 geldt: "Leverancier dient te voldoen aan alle in de Baseline Informatiebeveiliging Overheden (BIO) genoemde maatregelen welke (gedeeltelijk) voor dienstenleveranciers gelden."</w:t>
            </w:r>
          </w:p>
        </w:tc>
        <w:tc>
          <w:tcPr>
            <w:tcW w:w="4017" w:type="dxa"/>
            <w:shd w:val="clear" w:color="auto" w:fill="FFFFFF" w:themeFill="background1"/>
          </w:tcPr>
          <w:p w14:paraId="2C241E0C" w14:textId="1CCE5DD8" w:rsidR="00117837" w:rsidRDefault="00C836B6" w:rsidP="00117837">
            <w:pPr>
              <w:widowControl w:val="0"/>
              <w:spacing w:before="120" w:after="120" w:line="240" w:lineRule="atLeast"/>
              <w:jc w:val="both"/>
              <w:rPr>
                <w:rFonts w:ascii="Arial" w:hAnsi="Arial"/>
                <w:b/>
                <w:sz w:val="20"/>
                <w:szCs w:val="20"/>
              </w:rPr>
            </w:pPr>
            <w:r>
              <w:rPr>
                <w:rFonts w:ascii="Arial" w:hAnsi="Arial"/>
                <w:b/>
                <w:sz w:val="20"/>
                <w:szCs w:val="20"/>
              </w:rPr>
              <w:t>Wij kunnen hiermee akkoord gaan.</w:t>
            </w:r>
          </w:p>
        </w:tc>
        <w:tc>
          <w:tcPr>
            <w:tcW w:w="851" w:type="dxa"/>
            <w:shd w:val="clear" w:color="auto" w:fill="FFFFFF" w:themeFill="background1"/>
          </w:tcPr>
          <w:p w14:paraId="00A17919" w14:textId="33F2D7B9" w:rsidR="00117837" w:rsidRDefault="00C836B6" w:rsidP="00117837">
            <w:pPr>
              <w:widowControl w:val="0"/>
              <w:spacing w:before="120" w:after="120" w:line="240" w:lineRule="atLeast"/>
              <w:jc w:val="center"/>
              <w:rPr>
                <w:rFonts w:ascii="Arial" w:hAnsi="Arial"/>
                <w:b/>
                <w:sz w:val="20"/>
                <w:szCs w:val="20"/>
              </w:rPr>
            </w:pPr>
            <w:r>
              <w:rPr>
                <w:rFonts w:ascii="Arial" w:hAnsi="Arial"/>
                <w:b/>
                <w:sz w:val="20"/>
                <w:szCs w:val="20"/>
              </w:rPr>
              <w:t>1</w:t>
            </w:r>
          </w:p>
        </w:tc>
      </w:tr>
    </w:tbl>
    <w:p w14:paraId="65A3A7F4" w14:textId="3DCA393D" w:rsidR="006F1056" w:rsidRDefault="006F1056" w:rsidP="00117837">
      <w:pPr>
        <w:widowControl w:val="0"/>
        <w:spacing w:before="120" w:after="120" w:line="240" w:lineRule="atLeast"/>
        <w:rPr>
          <w:rFonts w:ascii="Arial" w:hAnsi="Arial"/>
          <w:i/>
          <w:iCs/>
          <w:sz w:val="22"/>
          <w:szCs w:val="22"/>
        </w:rPr>
      </w:pPr>
    </w:p>
    <w:sectPr w:rsidR="006F1056" w:rsidSect="00BC472B">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11107" w14:textId="77777777" w:rsidR="008A2010" w:rsidRDefault="008A2010" w:rsidP="00386656">
      <w:r>
        <w:separator/>
      </w:r>
    </w:p>
  </w:endnote>
  <w:endnote w:type="continuationSeparator" w:id="0">
    <w:p w14:paraId="786572BB" w14:textId="77777777" w:rsidR="008A2010" w:rsidRDefault="008A2010" w:rsidP="0038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B06BA" w14:textId="57427C1E" w:rsidR="008E7152" w:rsidRPr="008E7152" w:rsidRDefault="008E7152" w:rsidP="008E7152">
    <w:pPr>
      <w:spacing w:before="120" w:after="120" w:line="240" w:lineRule="atLeast"/>
      <w:jc w:val="both"/>
      <w:rPr>
        <w:sz w:val="18"/>
        <w:szCs w:val="18"/>
      </w:rPr>
    </w:pPr>
    <w:proofErr w:type="spellStart"/>
    <w:r w:rsidRPr="008E7152">
      <w:rPr>
        <w:sz w:val="18"/>
        <w:szCs w:val="18"/>
      </w:rPr>
      <w:t>NvI</w:t>
    </w:r>
    <w:proofErr w:type="spellEnd"/>
    <w:r w:rsidRPr="008E7152">
      <w:rPr>
        <w:sz w:val="18"/>
        <w:szCs w:val="18"/>
      </w:rPr>
      <w:t xml:space="preserve"> RIS versie</w:t>
    </w:r>
    <w:r w:rsidR="00A95997">
      <w:rPr>
        <w:sz w:val="18"/>
        <w:szCs w:val="18"/>
      </w:rPr>
      <w:t xml:space="preserve"> </w:t>
    </w:r>
    <w:proofErr w:type="spellStart"/>
    <w:r w:rsidR="00A95997">
      <w:rPr>
        <w:sz w:val="18"/>
        <w:szCs w:val="18"/>
      </w:rPr>
      <w:t>Gibit</w:t>
    </w:r>
    <w:proofErr w:type="spellEnd"/>
    <w:r w:rsidR="00A95997">
      <w:rPr>
        <w:sz w:val="18"/>
        <w:szCs w:val="18"/>
      </w:rPr>
      <w:t xml:space="preserve"> 0.1</w:t>
    </w:r>
    <w:r w:rsidRPr="008E7152">
      <w:rPr>
        <w:sz w:val="18"/>
        <w:szCs w:val="18"/>
      </w:rPr>
      <w:tab/>
    </w:r>
    <w:r w:rsidRPr="008E7152">
      <w:rPr>
        <w:sz w:val="18"/>
        <w:szCs w:val="18"/>
      </w:rPr>
      <w:tab/>
    </w:r>
    <w:r w:rsidRPr="008E7152">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E7152">
      <w:rPr>
        <w:sz w:val="18"/>
        <w:szCs w:val="18"/>
      </w:rPr>
      <w:t xml:space="preserve">pagina </w:t>
    </w:r>
    <w:r w:rsidRPr="008E7152">
      <w:rPr>
        <w:sz w:val="18"/>
        <w:szCs w:val="18"/>
      </w:rPr>
      <w:fldChar w:fldCharType="begin"/>
    </w:r>
    <w:r w:rsidRPr="008E7152">
      <w:rPr>
        <w:sz w:val="18"/>
        <w:szCs w:val="18"/>
      </w:rPr>
      <w:instrText>PAGE   \* MERGEFORMAT</w:instrText>
    </w:r>
    <w:r w:rsidRPr="008E7152">
      <w:rPr>
        <w:sz w:val="18"/>
        <w:szCs w:val="18"/>
      </w:rPr>
      <w:fldChar w:fldCharType="separate"/>
    </w:r>
    <w:r w:rsidRPr="008E7152">
      <w:rPr>
        <w:sz w:val="18"/>
        <w:szCs w:val="18"/>
      </w:rPr>
      <w:t>1</w:t>
    </w:r>
    <w:r w:rsidRPr="008E7152">
      <w:rPr>
        <w:sz w:val="18"/>
        <w:szCs w:val="18"/>
      </w:rPr>
      <w:fldChar w:fldCharType="end"/>
    </w:r>
    <w:r w:rsidRPr="008E7152">
      <w:rPr>
        <w:sz w:val="18"/>
        <w:szCs w:val="18"/>
      </w:rPr>
      <w:tab/>
    </w:r>
    <w:r w:rsidRPr="008E7152">
      <w:rPr>
        <w:sz w:val="18"/>
        <w:szCs w:val="18"/>
      </w:rPr>
      <w:tab/>
    </w:r>
    <w:r w:rsidRPr="008E7152">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7B80F" w14:textId="77777777" w:rsidR="008A2010" w:rsidRDefault="008A2010" w:rsidP="00386656">
      <w:r>
        <w:separator/>
      </w:r>
    </w:p>
  </w:footnote>
  <w:footnote w:type="continuationSeparator" w:id="0">
    <w:p w14:paraId="5DDDE7A4" w14:textId="77777777" w:rsidR="008A2010" w:rsidRDefault="008A2010" w:rsidP="0038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4E08A" w14:textId="77777777" w:rsidR="00D7022B" w:rsidRDefault="00B86297">
    <w:pPr>
      <w:pStyle w:val="Koptekst"/>
    </w:pPr>
    <w:r>
      <w:rPr>
        <w:noProof/>
      </w:rPr>
      <w:drawing>
        <wp:anchor distT="0" distB="0" distL="114300" distR="114300" simplePos="0" relativeHeight="251658240" behindDoc="1" locked="0" layoutInCell="1" allowOverlap="1" wp14:anchorId="7DBD5FD9" wp14:editId="6512F227">
          <wp:simplePos x="0" y="0"/>
          <wp:positionH relativeFrom="column">
            <wp:posOffset>7815580</wp:posOffset>
          </wp:positionH>
          <wp:positionV relativeFrom="paragraph">
            <wp:posOffset>-211455</wp:posOffset>
          </wp:positionV>
          <wp:extent cx="1146175" cy="4572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457200"/>
                  </a:xfrm>
                  <a:prstGeom prst="rect">
                    <a:avLst/>
                  </a:prstGeom>
                  <a:noFill/>
                </pic:spPr>
              </pic:pic>
            </a:graphicData>
          </a:graphic>
        </wp:anchor>
      </w:drawing>
    </w:r>
  </w:p>
  <w:p w14:paraId="7286BA56" w14:textId="77777777" w:rsidR="00D7022B" w:rsidRDefault="00D702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C4C2D"/>
    <w:multiLevelType w:val="hybridMultilevel"/>
    <w:tmpl w:val="9C6EB6C8"/>
    <w:lvl w:ilvl="0" w:tplc="F21478D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074240"/>
    <w:multiLevelType w:val="hybridMultilevel"/>
    <w:tmpl w:val="0F0A507E"/>
    <w:lvl w:ilvl="0" w:tplc="3C5E748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351369"/>
    <w:multiLevelType w:val="hybridMultilevel"/>
    <w:tmpl w:val="B4522A8C"/>
    <w:lvl w:ilvl="0" w:tplc="C3A40BCA">
      <w:start w:val="1"/>
      <w:numFmt w:val="decimal"/>
      <w:lvlText w:val="%1."/>
      <w:lvlJc w:val="left"/>
      <w:pPr>
        <w:ind w:left="720" w:hanging="360"/>
      </w:pPr>
      <w:rPr>
        <w:rFonts w:hint="default"/>
        <w:b/>
        <w:bCs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1454F0A"/>
    <w:multiLevelType w:val="hybridMultilevel"/>
    <w:tmpl w:val="8A64A152"/>
    <w:lvl w:ilvl="0" w:tplc="B9DA691A">
      <w:numFmt w:val="bullet"/>
      <w:lvlText w:val="-"/>
      <w:lvlJc w:val="left"/>
      <w:pPr>
        <w:tabs>
          <w:tab w:val="num" w:pos="720"/>
        </w:tabs>
        <w:ind w:left="720" w:hanging="360"/>
      </w:pPr>
      <w:rPr>
        <w:rFonts w:ascii="Tahoma" w:eastAsia="Times New Roman" w:hAnsi="Tahoma" w:cs="Tahom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drawingGridHorizontalSpacing w:val="12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656"/>
    <w:rsid w:val="000009EE"/>
    <w:rsid w:val="00005090"/>
    <w:rsid w:val="00013E00"/>
    <w:rsid w:val="000508B8"/>
    <w:rsid w:val="000534AE"/>
    <w:rsid w:val="000738A2"/>
    <w:rsid w:val="00082146"/>
    <w:rsid w:val="000A2864"/>
    <w:rsid w:val="000B0A06"/>
    <w:rsid w:val="000C3165"/>
    <w:rsid w:val="000D0C0A"/>
    <w:rsid w:val="000E0E1D"/>
    <w:rsid w:val="000E118C"/>
    <w:rsid w:val="00110182"/>
    <w:rsid w:val="00111682"/>
    <w:rsid w:val="00117837"/>
    <w:rsid w:val="00143ECB"/>
    <w:rsid w:val="001564D6"/>
    <w:rsid w:val="001714AB"/>
    <w:rsid w:val="00193D92"/>
    <w:rsid w:val="00196283"/>
    <w:rsid w:val="001A06C1"/>
    <w:rsid w:val="001A40CF"/>
    <w:rsid w:val="001B0B60"/>
    <w:rsid w:val="001B521B"/>
    <w:rsid w:val="001D3F1F"/>
    <w:rsid w:val="001E1E10"/>
    <w:rsid w:val="00200464"/>
    <w:rsid w:val="002070B5"/>
    <w:rsid w:val="0022212A"/>
    <w:rsid w:val="00224B9B"/>
    <w:rsid w:val="00277E67"/>
    <w:rsid w:val="00291CE5"/>
    <w:rsid w:val="002A0A96"/>
    <w:rsid w:val="002B58B4"/>
    <w:rsid w:val="002B7121"/>
    <w:rsid w:val="00306FC5"/>
    <w:rsid w:val="003513C4"/>
    <w:rsid w:val="00353E55"/>
    <w:rsid w:val="0037189A"/>
    <w:rsid w:val="00376914"/>
    <w:rsid w:val="003825EB"/>
    <w:rsid w:val="00386656"/>
    <w:rsid w:val="003D7BA9"/>
    <w:rsid w:val="004159EF"/>
    <w:rsid w:val="0042488A"/>
    <w:rsid w:val="004569B7"/>
    <w:rsid w:val="00490204"/>
    <w:rsid w:val="004A389E"/>
    <w:rsid w:val="004D12B3"/>
    <w:rsid w:val="004F6183"/>
    <w:rsid w:val="00530083"/>
    <w:rsid w:val="00577645"/>
    <w:rsid w:val="005B204F"/>
    <w:rsid w:val="0065576B"/>
    <w:rsid w:val="00681B66"/>
    <w:rsid w:val="006A240E"/>
    <w:rsid w:val="006D0C00"/>
    <w:rsid w:val="006E418C"/>
    <w:rsid w:val="006F1056"/>
    <w:rsid w:val="00715E7C"/>
    <w:rsid w:val="00733CEA"/>
    <w:rsid w:val="007343D3"/>
    <w:rsid w:val="00756332"/>
    <w:rsid w:val="00767617"/>
    <w:rsid w:val="007A44FF"/>
    <w:rsid w:val="007B223A"/>
    <w:rsid w:val="0085649B"/>
    <w:rsid w:val="008754BF"/>
    <w:rsid w:val="00881662"/>
    <w:rsid w:val="008908C1"/>
    <w:rsid w:val="008A2010"/>
    <w:rsid w:val="008B2002"/>
    <w:rsid w:val="008E7152"/>
    <w:rsid w:val="008F2AD4"/>
    <w:rsid w:val="00900618"/>
    <w:rsid w:val="00920E8A"/>
    <w:rsid w:val="0098658B"/>
    <w:rsid w:val="009B1352"/>
    <w:rsid w:val="009B77A3"/>
    <w:rsid w:val="00A153DF"/>
    <w:rsid w:val="00A16A13"/>
    <w:rsid w:val="00A419D1"/>
    <w:rsid w:val="00A87C51"/>
    <w:rsid w:val="00A94750"/>
    <w:rsid w:val="00A94C97"/>
    <w:rsid w:val="00A95997"/>
    <w:rsid w:val="00A975D8"/>
    <w:rsid w:val="00AA0A1F"/>
    <w:rsid w:val="00AB78FD"/>
    <w:rsid w:val="00AD0E2D"/>
    <w:rsid w:val="00B05EFD"/>
    <w:rsid w:val="00B10B2C"/>
    <w:rsid w:val="00B14E91"/>
    <w:rsid w:val="00B173A9"/>
    <w:rsid w:val="00B222DB"/>
    <w:rsid w:val="00B471FF"/>
    <w:rsid w:val="00B51383"/>
    <w:rsid w:val="00B86297"/>
    <w:rsid w:val="00B870EA"/>
    <w:rsid w:val="00BB0975"/>
    <w:rsid w:val="00BC3A21"/>
    <w:rsid w:val="00BC472B"/>
    <w:rsid w:val="00BE7CAA"/>
    <w:rsid w:val="00C03A6A"/>
    <w:rsid w:val="00C33AF8"/>
    <w:rsid w:val="00C836B6"/>
    <w:rsid w:val="00CC1C04"/>
    <w:rsid w:val="00CE4C1D"/>
    <w:rsid w:val="00CF7DBD"/>
    <w:rsid w:val="00D3233F"/>
    <w:rsid w:val="00D41E58"/>
    <w:rsid w:val="00D7022B"/>
    <w:rsid w:val="00D7179E"/>
    <w:rsid w:val="00DA642A"/>
    <w:rsid w:val="00DD79DA"/>
    <w:rsid w:val="00DE1F47"/>
    <w:rsid w:val="00DF2EFC"/>
    <w:rsid w:val="00DF48E2"/>
    <w:rsid w:val="00E0771E"/>
    <w:rsid w:val="00E11308"/>
    <w:rsid w:val="00E37624"/>
    <w:rsid w:val="00E746EE"/>
    <w:rsid w:val="00E80C73"/>
    <w:rsid w:val="00EA5BA4"/>
    <w:rsid w:val="00EC33FD"/>
    <w:rsid w:val="00EC7C31"/>
    <w:rsid w:val="00F240B5"/>
    <w:rsid w:val="00F422BF"/>
    <w:rsid w:val="00F635E5"/>
    <w:rsid w:val="00F654C2"/>
    <w:rsid w:val="00F866BB"/>
    <w:rsid w:val="00FA244D"/>
    <w:rsid w:val="00FF07EC"/>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21D98BD"/>
  <w15:docId w15:val="{60330422-F7F4-409A-BA4E-9E0B28F0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6656"/>
    <w:pPr>
      <w:spacing w:after="0" w:line="240" w:lineRule="auto"/>
    </w:pPr>
    <w:rPr>
      <w:rFonts w:ascii="Verdana" w:eastAsia="Times New Roman" w:hAnsi="Verdana" w:cs="Arial"/>
      <w:sz w:val="24"/>
      <w:szCs w:val="24"/>
      <w:lang w:eastAsia="nl-NL"/>
    </w:rPr>
  </w:style>
  <w:style w:type="paragraph" w:styleId="Kop1">
    <w:name w:val="heading 1"/>
    <w:basedOn w:val="Standaard"/>
    <w:next w:val="Standaard"/>
    <w:link w:val="Kop1Char"/>
    <w:uiPriority w:val="9"/>
    <w:qFormat/>
    <w:rsid w:val="00FF47F9"/>
    <w:pPr>
      <w:keepNext/>
      <w:keepLines/>
      <w:spacing w:before="240" w:after="60" w:line="72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paragraph" w:styleId="Koptekst">
    <w:name w:val="header"/>
    <w:basedOn w:val="Standaard"/>
    <w:link w:val="KoptekstChar"/>
    <w:uiPriority w:val="99"/>
    <w:unhideWhenUsed/>
    <w:rsid w:val="00386656"/>
    <w:pPr>
      <w:tabs>
        <w:tab w:val="center" w:pos="4536"/>
        <w:tab w:val="right" w:pos="9072"/>
      </w:tabs>
    </w:pPr>
  </w:style>
  <w:style w:type="character" w:customStyle="1" w:styleId="KoptekstChar">
    <w:name w:val="Koptekst Char"/>
    <w:basedOn w:val="Standaardalinea-lettertype"/>
    <w:link w:val="Koptekst"/>
    <w:uiPriority w:val="99"/>
    <w:rsid w:val="00386656"/>
    <w:rPr>
      <w:rFonts w:ascii="Verdana" w:eastAsia="Times New Roman" w:hAnsi="Verdana" w:cs="Arial"/>
      <w:sz w:val="24"/>
      <w:szCs w:val="24"/>
      <w:lang w:eastAsia="nl-NL"/>
    </w:rPr>
  </w:style>
  <w:style w:type="paragraph" w:styleId="Voettekst">
    <w:name w:val="footer"/>
    <w:basedOn w:val="Standaard"/>
    <w:link w:val="VoettekstChar"/>
    <w:uiPriority w:val="99"/>
    <w:unhideWhenUsed/>
    <w:rsid w:val="00386656"/>
    <w:pPr>
      <w:tabs>
        <w:tab w:val="center" w:pos="4536"/>
        <w:tab w:val="right" w:pos="9072"/>
      </w:tabs>
    </w:pPr>
  </w:style>
  <w:style w:type="character" w:customStyle="1" w:styleId="VoettekstChar">
    <w:name w:val="Voettekst Char"/>
    <w:basedOn w:val="Standaardalinea-lettertype"/>
    <w:link w:val="Voettekst"/>
    <w:uiPriority w:val="99"/>
    <w:rsid w:val="00386656"/>
    <w:rPr>
      <w:rFonts w:ascii="Verdana" w:eastAsia="Times New Roman" w:hAnsi="Verdana" w:cs="Arial"/>
      <w:sz w:val="24"/>
      <w:szCs w:val="24"/>
      <w:lang w:eastAsia="nl-NL"/>
    </w:rPr>
  </w:style>
  <w:style w:type="paragraph" w:styleId="Ballontekst">
    <w:name w:val="Balloon Text"/>
    <w:basedOn w:val="Standaard"/>
    <w:link w:val="BallontekstChar"/>
    <w:uiPriority w:val="99"/>
    <w:semiHidden/>
    <w:unhideWhenUsed/>
    <w:rsid w:val="00386656"/>
    <w:rPr>
      <w:rFonts w:ascii="Tahoma" w:hAnsi="Tahoma" w:cs="Tahoma"/>
      <w:sz w:val="16"/>
      <w:szCs w:val="16"/>
    </w:rPr>
  </w:style>
  <w:style w:type="character" w:customStyle="1" w:styleId="BallontekstChar">
    <w:name w:val="Ballontekst Char"/>
    <w:basedOn w:val="Standaardalinea-lettertype"/>
    <w:link w:val="Ballontekst"/>
    <w:uiPriority w:val="99"/>
    <w:semiHidden/>
    <w:rsid w:val="00386656"/>
    <w:rPr>
      <w:rFonts w:ascii="Tahoma" w:eastAsia="Times New Roman" w:hAnsi="Tahoma" w:cs="Tahoma"/>
      <w:sz w:val="16"/>
      <w:szCs w:val="16"/>
      <w:lang w:eastAsia="nl-NL"/>
    </w:rPr>
  </w:style>
  <w:style w:type="paragraph" w:styleId="Normaalweb">
    <w:name w:val="Normal (Web)"/>
    <w:basedOn w:val="Standaard"/>
    <w:uiPriority w:val="99"/>
    <w:unhideWhenUsed/>
    <w:rsid w:val="00BC472B"/>
    <w:pPr>
      <w:spacing w:before="100" w:beforeAutospacing="1" w:after="100" w:afterAutospacing="1"/>
    </w:pPr>
    <w:rPr>
      <w:rFonts w:ascii="Times New Roman" w:eastAsia="Calibri" w:hAnsi="Times New Roman" w:cs="Times New Roman"/>
    </w:rPr>
  </w:style>
  <w:style w:type="paragraph" w:styleId="Lijstalinea">
    <w:name w:val="List Paragraph"/>
    <w:basedOn w:val="Standaard"/>
    <w:uiPriority w:val="34"/>
    <w:qFormat/>
    <w:rsid w:val="00BC472B"/>
    <w:pPr>
      <w:spacing w:after="200"/>
      <w:ind w:left="720"/>
      <w:contextualSpacing/>
    </w:pPr>
    <w:rPr>
      <w:rFonts w:ascii="Calibri" w:eastAsia="Calibri" w:hAnsi="Calibri" w:cs="Times New Roman"/>
      <w:sz w:val="22"/>
      <w:szCs w:val="22"/>
      <w:lang w:eastAsia="en-US"/>
    </w:rPr>
  </w:style>
  <w:style w:type="paragraph" w:styleId="Eindnoottekst">
    <w:name w:val="endnote text"/>
    <w:basedOn w:val="Standaard"/>
    <w:link w:val="EindnoottekstChar"/>
    <w:uiPriority w:val="99"/>
    <w:semiHidden/>
    <w:unhideWhenUsed/>
    <w:rsid w:val="00A95997"/>
    <w:rPr>
      <w:sz w:val="20"/>
      <w:szCs w:val="20"/>
    </w:rPr>
  </w:style>
  <w:style w:type="character" w:customStyle="1" w:styleId="EindnoottekstChar">
    <w:name w:val="Eindnoottekst Char"/>
    <w:basedOn w:val="Standaardalinea-lettertype"/>
    <w:link w:val="Eindnoottekst"/>
    <w:uiPriority w:val="99"/>
    <w:semiHidden/>
    <w:rsid w:val="00A95997"/>
    <w:rPr>
      <w:rFonts w:ascii="Verdana" w:eastAsia="Times New Roman" w:hAnsi="Verdana" w:cs="Arial"/>
      <w:szCs w:val="20"/>
      <w:lang w:eastAsia="nl-NL"/>
    </w:rPr>
  </w:style>
  <w:style w:type="character" w:styleId="Eindnootmarkering">
    <w:name w:val="endnote reference"/>
    <w:basedOn w:val="Standaardalinea-lettertype"/>
    <w:uiPriority w:val="99"/>
    <w:semiHidden/>
    <w:unhideWhenUsed/>
    <w:rsid w:val="00A95997"/>
    <w:rPr>
      <w:vertAlign w:val="superscript"/>
    </w:rPr>
  </w:style>
  <w:style w:type="table" w:styleId="Tabelraster">
    <w:name w:val="Table Grid"/>
    <w:basedOn w:val="Standaardtabel"/>
    <w:uiPriority w:val="59"/>
    <w:rsid w:val="00A959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3F5F6-6C1B-4EE0-AE83-258AC062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1215</Words>
  <Characters>6687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Caljouw, R (Rob)</cp:lastModifiedBy>
  <cp:revision>3</cp:revision>
  <cp:lastPrinted>2021-09-15T07:34:00Z</cp:lastPrinted>
  <dcterms:created xsi:type="dcterms:W3CDTF">2021-09-23T19:21:00Z</dcterms:created>
  <dcterms:modified xsi:type="dcterms:W3CDTF">2021-10-18T15:37:00Z</dcterms:modified>
</cp:coreProperties>
</file>