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C1340FA" w14:textId="77777777" w:rsidR="002336EA" w:rsidRPr="002336EA" w:rsidRDefault="002336EA" w:rsidP="002336EA">
      <w:pPr>
        <w:keepNext/>
        <w:spacing w:before="240" w:after="60" w:line="240" w:lineRule="atLeast"/>
        <w:outlineLvl w:val="3"/>
        <w:rPr>
          <w:rFonts w:ascii="Verdana" w:eastAsia="Times New Roman" w:hAnsi="Verdana" w:cs="Times New Roman"/>
          <w:b/>
          <w:bCs/>
          <w:sz w:val="18"/>
          <w:szCs w:val="18"/>
          <w:lang w:val="en-US" w:eastAsia="en-GB"/>
        </w:rPr>
      </w:pPr>
      <w:bookmarkStart w:id="0" w:name="_GoBack"/>
      <w:bookmarkEnd w:id="0"/>
      <w:r w:rsidRPr="002336EA">
        <w:rPr>
          <w:rFonts w:ascii="Verdana" w:eastAsia="Times New Roman" w:hAnsi="Verdana" w:cs="Times New Roman"/>
          <w:b/>
          <w:bCs/>
          <w:sz w:val="18"/>
          <w:szCs w:val="18"/>
          <w:lang w:val="en-US" w:eastAsia="en-GB"/>
        </w:rPr>
        <w:t>Annex 6</w:t>
      </w:r>
      <w:r w:rsidRPr="002336EA">
        <w:rPr>
          <w:rFonts w:ascii="Verdana" w:eastAsia="Times New Roman" w:hAnsi="Verdana" w:cs="Times New Roman"/>
          <w:b/>
          <w:bCs/>
          <w:sz w:val="18"/>
          <w:szCs w:val="18"/>
          <w:lang w:val="en-US" w:eastAsia="en-GB"/>
        </w:rPr>
        <w:tab/>
        <w:t xml:space="preserve"> Background information</w:t>
      </w:r>
    </w:p>
    <w:p w14:paraId="29B073AA" w14:textId="77777777" w:rsidR="002336EA" w:rsidRPr="002336EA" w:rsidRDefault="002336EA" w:rsidP="002336EA">
      <w:pPr>
        <w:spacing w:after="0" w:line="240" w:lineRule="atLeast"/>
        <w:rPr>
          <w:rFonts w:ascii="Verdana" w:eastAsia="Calibri" w:hAnsi="Verdana" w:cs="Calibri"/>
          <w:b/>
          <w:bCs/>
          <w:i/>
          <w:iCs/>
          <w:sz w:val="18"/>
          <w:szCs w:val="18"/>
          <w:lang w:val="en-GB" w:eastAsia="en-GB"/>
        </w:rPr>
      </w:pPr>
      <w:r w:rsidRPr="002336EA">
        <w:rPr>
          <w:rFonts w:ascii="Verdana" w:eastAsia="Calibri" w:hAnsi="Verdana" w:cs="Calibri"/>
          <w:b/>
          <w:bCs/>
          <w:i/>
          <w:iCs/>
          <w:sz w:val="18"/>
          <w:szCs w:val="18"/>
          <w:lang w:val="en-GB" w:eastAsia="en-GB"/>
        </w:rPr>
        <w:t>The water bodies in southern Benin and their use</w:t>
      </w:r>
    </w:p>
    <w:p w14:paraId="7152071D" w14:textId="77777777" w:rsidR="002336EA" w:rsidRPr="002336EA" w:rsidRDefault="002336EA" w:rsidP="002336EA">
      <w:pPr>
        <w:spacing w:after="0" w:line="240" w:lineRule="atLeast"/>
        <w:rPr>
          <w:rFonts w:ascii="Verdana" w:eastAsia="Calibri" w:hAnsi="Verdana" w:cs="Calibri"/>
          <w:sz w:val="18"/>
          <w:szCs w:val="18"/>
          <w:lang w:val="en-GB" w:eastAsia="en-GB"/>
        </w:rPr>
      </w:pPr>
    </w:p>
    <w:p w14:paraId="72E7D2E0" w14:textId="77777777" w:rsidR="002336EA" w:rsidRPr="002336EA" w:rsidRDefault="002336EA" w:rsidP="002336EA">
      <w:pPr>
        <w:spacing w:after="0" w:line="240" w:lineRule="atLeast"/>
        <w:rPr>
          <w:rFonts w:ascii="Verdana" w:eastAsia="Calibri" w:hAnsi="Verdana" w:cs="Calibri"/>
          <w:sz w:val="18"/>
          <w:szCs w:val="18"/>
          <w:lang w:val="en-GB" w:eastAsia="en-GB"/>
        </w:rPr>
      </w:pPr>
      <w:r w:rsidRPr="002336EA">
        <w:rPr>
          <w:rFonts w:ascii="Verdana" w:eastAsia="Calibri" w:hAnsi="Verdana" w:cs="Calibri"/>
          <w:sz w:val="18"/>
          <w:szCs w:val="18"/>
          <w:lang w:val="en-GB" w:eastAsia="en-GB"/>
        </w:rPr>
        <w:t xml:space="preserve">Benin, unlike many other African countries, is naturally endowed with enormous hydrological potential, namely: rivers, lakes, lagoons, rivers, shoals, artesian wells. It is a country located on the edge of the Atlantic Ocean which has a sea front of about 125 km that offers an opening to the sea. These water resources traditionally offer riparian communities the opportunity to engage in income-generating activities, including </w:t>
      </w:r>
      <w:r w:rsidRPr="002336EA">
        <w:rPr>
          <w:rFonts w:ascii="Verdana" w:eastAsia="Calibri" w:hAnsi="Verdana" w:cs="Calibri"/>
          <w:sz w:val="18"/>
          <w:szCs w:val="18"/>
          <w:highlight w:val="yellow"/>
          <w:lang w:val="en-GB" w:eastAsia="en-GB"/>
        </w:rPr>
        <w:t>fishing, aquaculture, agriculture and a variety of other commercial activities</w:t>
      </w:r>
      <w:r w:rsidRPr="002336EA">
        <w:rPr>
          <w:rFonts w:ascii="Verdana" w:eastAsia="Calibri" w:hAnsi="Verdana" w:cs="Calibri"/>
          <w:sz w:val="18"/>
          <w:szCs w:val="18"/>
          <w:lang w:val="en-GB" w:eastAsia="en-GB"/>
        </w:rPr>
        <w:t>, as these river-lagunal environments are rich because of the mix between continental freshwaters brought by rivers and seawaters that enter through the tides.</w:t>
      </w:r>
    </w:p>
    <w:p w14:paraId="4291D895" w14:textId="77777777" w:rsidR="002336EA" w:rsidRPr="002336EA" w:rsidRDefault="002336EA" w:rsidP="002336EA">
      <w:pPr>
        <w:spacing w:after="0" w:line="240" w:lineRule="atLeast"/>
        <w:rPr>
          <w:rFonts w:ascii="Verdana" w:eastAsia="Calibri" w:hAnsi="Verdana" w:cs="Calibri"/>
          <w:sz w:val="18"/>
          <w:szCs w:val="18"/>
          <w:lang w:val="en-GB" w:eastAsia="en-GB"/>
        </w:rPr>
      </w:pPr>
      <w:r w:rsidRPr="002336EA">
        <w:rPr>
          <w:rFonts w:ascii="Verdana" w:eastAsia="Calibri" w:hAnsi="Verdana" w:cs="Calibri"/>
          <w:sz w:val="18"/>
          <w:szCs w:val="18"/>
          <w:lang w:val="en-GB" w:eastAsia="en-GB"/>
        </w:rPr>
        <w:t xml:space="preserve"> </w:t>
      </w:r>
    </w:p>
    <w:p w14:paraId="702E93AF" w14:textId="77777777" w:rsidR="002336EA" w:rsidRPr="002336EA" w:rsidRDefault="002336EA" w:rsidP="002336EA">
      <w:pPr>
        <w:spacing w:after="0" w:line="240" w:lineRule="atLeast"/>
        <w:rPr>
          <w:rFonts w:ascii="Verdana" w:eastAsia="Calibri" w:hAnsi="Verdana" w:cs="Calibri"/>
          <w:sz w:val="18"/>
          <w:szCs w:val="18"/>
          <w:lang w:val="en-GB" w:eastAsia="en-GB"/>
        </w:rPr>
      </w:pPr>
      <w:r w:rsidRPr="002336EA">
        <w:rPr>
          <w:rFonts w:ascii="Verdana" w:eastAsia="Calibri" w:hAnsi="Verdana" w:cs="Calibri"/>
          <w:sz w:val="18"/>
          <w:szCs w:val="18"/>
          <w:lang w:val="en-GB" w:eastAsia="en-GB"/>
        </w:rPr>
        <w:t xml:space="preserve">Lake Nokoué, the lagoon of Porto-Novo and the rivers Sô  and Ouémé form, with their delta, a complex called ''Complexe Est''  (site RAMSAR 1018). Lake Nokoué and the Porto-Novo Lagoon deserve special attention given their contribution </w:t>
      </w:r>
      <w:r w:rsidRPr="002336EA">
        <w:rPr>
          <w:rFonts w:ascii="Verdana" w:eastAsia="Calibri" w:hAnsi="Verdana" w:cs="Calibri"/>
          <w:sz w:val="18"/>
          <w:szCs w:val="18"/>
          <w:highlight w:val="yellow"/>
          <w:lang w:val="en-GB" w:eastAsia="en-GB"/>
        </w:rPr>
        <w:t>to national fisheries and aquacuture production as well as a variety of other commercial activities such as water transport and tourism</w:t>
      </w:r>
      <w:r w:rsidRPr="002336EA">
        <w:rPr>
          <w:rFonts w:ascii="Verdana" w:eastAsia="Calibri" w:hAnsi="Verdana" w:cs="Calibri"/>
          <w:sz w:val="18"/>
          <w:szCs w:val="18"/>
          <w:lang w:val="en-GB" w:eastAsia="en-GB"/>
        </w:rPr>
        <w:t xml:space="preserve">. These bodies of water have evolved over time. Indeed, before 1885, the waters of Lake Nokoué were not salty (Bourgoignie, 1972, Baglo, 1980, 1994, Dadjo, 1981). A trench 1.50 m wide and 1 m deep was constructed on September 21, 1885, connecting the lake with the sea. Subsequently, this trench expanded </w:t>
      </w:r>
      <w:r w:rsidRPr="002336EA">
        <w:rPr>
          <w:rFonts w:ascii="Verdana" w:eastAsia="Calibri" w:hAnsi="Verdana" w:cs="Calibri"/>
          <w:sz w:val="18"/>
          <w:szCs w:val="18"/>
          <w:highlight w:val="yellow"/>
          <w:lang w:val="en-GB" w:eastAsia="en-GB"/>
        </w:rPr>
        <w:t>to over</w:t>
      </w:r>
      <w:r w:rsidRPr="002336EA">
        <w:rPr>
          <w:rFonts w:ascii="Verdana" w:eastAsia="Calibri" w:hAnsi="Verdana" w:cs="Calibri"/>
          <w:sz w:val="18"/>
          <w:szCs w:val="18"/>
          <w:lang w:val="en-GB" w:eastAsia="en-GB"/>
        </w:rPr>
        <w:t xml:space="preserve"> 200 m in a few hours and exceeded 500 m after a few days. </w:t>
      </w:r>
    </w:p>
    <w:p w14:paraId="45E48C52" w14:textId="77777777" w:rsidR="002336EA" w:rsidRPr="002336EA" w:rsidRDefault="002336EA" w:rsidP="002336EA">
      <w:pPr>
        <w:spacing w:after="0" w:line="240" w:lineRule="atLeast"/>
        <w:rPr>
          <w:rFonts w:ascii="Verdana" w:eastAsia="Calibri" w:hAnsi="Verdana" w:cs="Calibri"/>
          <w:sz w:val="18"/>
          <w:szCs w:val="18"/>
          <w:lang w:val="en-GB" w:eastAsia="en-GB"/>
        </w:rPr>
      </w:pPr>
    </w:p>
    <w:p w14:paraId="6BE8076B" w14:textId="77777777" w:rsidR="002336EA" w:rsidRPr="002336EA" w:rsidRDefault="002336EA" w:rsidP="002336EA">
      <w:pPr>
        <w:spacing w:after="0" w:line="240" w:lineRule="atLeast"/>
        <w:rPr>
          <w:rFonts w:ascii="Verdana" w:eastAsia="Calibri" w:hAnsi="Verdana" w:cs="Calibri"/>
          <w:sz w:val="18"/>
          <w:szCs w:val="18"/>
          <w:lang w:val="en-GB" w:eastAsia="en-GB"/>
        </w:rPr>
      </w:pPr>
      <w:r w:rsidRPr="002336EA">
        <w:rPr>
          <w:rFonts w:ascii="Verdana" w:eastAsia="Calibri" w:hAnsi="Verdana" w:cs="Calibri"/>
          <w:sz w:val="18"/>
          <w:szCs w:val="18"/>
          <w:lang w:val="en-GB" w:eastAsia="en-GB"/>
        </w:rPr>
        <w:t xml:space="preserve">From that point on, there were periodic closures and openings of the channel due to coastal currents that deposited a large sandbank at the mouth of the channel and under the effect of the exceptional floods of the Ouémé and Sô Rivers. From the development of the port of Cotonou </w:t>
      </w:r>
      <w:r w:rsidRPr="002336EA">
        <w:rPr>
          <w:rFonts w:ascii="Verdana" w:eastAsia="Calibri" w:hAnsi="Verdana" w:cs="Calibri"/>
          <w:sz w:val="18"/>
          <w:szCs w:val="18"/>
          <w:highlight w:val="yellow"/>
          <w:lang w:val="en-GB" w:eastAsia="en-GB"/>
        </w:rPr>
        <w:t>to the construction of a weir</w:t>
      </w:r>
      <w:r w:rsidRPr="002336EA">
        <w:rPr>
          <w:rFonts w:ascii="Verdana" w:eastAsia="Calibri" w:hAnsi="Verdana" w:cs="Calibri"/>
          <w:sz w:val="18"/>
          <w:szCs w:val="18"/>
          <w:lang w:val="en-GB" w:eastAsia="en-GB"/>
        </w:rPr>
        <w:t xml:space="preserve"> in the channel, the Lake Nokoué complex has undergone many modifications. Thus, from 1959 to 1965, the development of the port of Cotonou caused the permanent opening of the channel due to the new orientation of currents and swells. A dam </w:t>
      </w:r>
      <w:r w:rsidRPr="002336EA">
        <w:rPr>
          <w:rFonts w:ascii="Verdana" w:eastAsia="Calibri" w:hAnsi="Verdana" w:cs="Calibri"/>
          <w:sz w:val="18"/>
          <w:szCs w:val="18"/>
          <w:highlight w:val="yellow"/>
          <w:lang w:val="en-GB" w:eastAsia="en-GB"/>
        </w:rPr>
        <w:t>consisting of a 420 m long rock filled dam</w:t>
      </w:r>
      <w:r w:rsidRPr="002336EA">
        <w:rPr>
          <w:rFonts w:ascii="Verdana" w:eastAsia="Calibri" w:hAnsi="Verdana" w:cs="Calibri"/>
          <w:sz w:val="18"/>
          <w:szCs w:val="18"/>
          <w:lang w:val="en-GB" w:eastAsia="en-GB"/>
        </w:rPr>
        <w:t xml:space="preserve"> interspersed with 6 valves of 4.5 m each was erected, in 1976-1977, to curb the speed of the current and regulate the exchange between the sea and the lagoon. </w:t>
      </w:r>
    </w:p>
    <w:p w14:paraId="3F7187B6" w14:textId="77777777" w:rsidR="002336EA" w:rsidRPr="002336EA" w:rsidRDefault="002336EA" w:rsidP="002336EA">
      <w:pPr>
        <w:spacing w:after="0" w:line="240" w:lineRule="atLeast"/>
        <w:rPr>
          <w:rFonts w:ascii="Verdana" w:eastAsia="Calibri" w:hAnsi="Verdana" w:cs="Calibri"/>
          <w:sz w:val="18"/>
          <w:szCs w:val="18"/>
          <w:lang w:val="en-GB" w:eastAsia="en-GB"/>
        </w:rPr>
      </w:pPr>
    </w:p>
    <w:p w14:paraId="01702411" w14:textId="77777777" w:rsidR="002336EA" w:rsidRPr="002336EA" w:rsidRDefault="002336EA" w:rsidP="002336EA">
      <w:pPr>
        <w:spacing w:after="0" w:line="240" w:lineRule="atLeast"/>
        <w:rPr>
          <w:rFonts w:ascii="Verdana" w:eastAsia="Calibri" w:hAnsi="Verdana" w:cs="Calibri"/>
          <w:sz w:val="18"/>
          <w:szCs w:val="18"/>
          <w:lang w:val="en-GB" w:eastAsia="en-GB"/>
        </w:rPr>
      </w:pPr>
      <w:r w:rsidRPr="002336EA">
        <w:rPr>
          <w:rFonts w:ascii="Verdana" w:eastAsia="Calibri" w:hAnsi="Verdana" w:cs="Calibri"/>
          <w:sz w:val="18"/>
          <w:szCs w:val="18"/>
          <w:lang w:val="en-GB" w:eastAsia="en-GB"/>
        </w:rPr>
        <w:t xml:space="preserve">These actions led to the appearance of a coastal isthmus of sand behind the dam, due to the significant reduction </w:t>
      </w:r>
      <w:r w:rsidRPr="002336EA">
        <w:rPr>
          <w:rFonts w:ascii="Verdana" w:eastAsia="Calibri" w:hAnsi="Verdana" w:cs="Calibri"/>
          <w:sz w:val="18"/>
          <w:szCs w:val="18"/>
          <w:highlight w:val="yellow"/>
          <w:lang w:val="en-GB" w:eastAsia="en-GB"/>
        </w:rPr>
        <w:t>of the lagoon channel current</w:t>
      </w:r>
      <w:r w:rsidRPr="002336EA">
        <w:rPr>
          <w:rFonts w:ascii="Verdana" w:eastAsia="Calibri" w:hAnsi="Verdana" w:cs="Calibri"/>
          <w:sz w:val="18"/>
          <w:szCs w:val="18"/>
          <w:lang w:val="en-GB" w:eastAsia="en-GB"/>
        </w:rPr>
        <w:t>, before the completion of the dam. According to Baglo (1981), this sand isthmus gradually increased in height as a result of the gradual and total closure of the channel in 1978 with more catastrophic biological consequences than before.</w:t>
      </w:r>
    </w:p>
    <w:p w14:paraId="46245693" w14:textId="77777777" w:rsidR="002336EA" w:rsidRPr="002336EA" w:rsidRDefault="002336EA" w:rsidP="002336EA">
      <w:pPr>
        <w:spacing w:after="0" w:line="240" w:lineRule="atLeast"/>
        <w:rPr>
          <w:rFonts w:ascii="Verdana" w:eastAsia="Calibri" w:hAnsi="Verdana" w:cs="Calibri"/>
          <w:sz w:val="18"/>
          <w:szCs w:val="18"/>
          <w:lang w:val="en-GB" w:eastAsia="en-GB"/>
        </w:rPr>
      </w:pPr>
    </w:p>
    <w:p w14:paraId="7B1A1A4B" w14:textId="77777777" w:rsidR="002336EA" w:rsidRPr="002336EA" w:rsidRDefault="002336EA" w:rsidP="002336EA">
      <w:pPr>
        <w:spacing w:after="0" w:line="240" w:lineRule="atLeast"/>
        <w:rPr>
          <w:rFonts w:ascii="Verdana" w:eastAsia="Calibri" w:hAnsi="Verdana" w:cs="Calibri"/>
          <w:sz w:val="18"/>
          <w:szCs w:val="18"/>
          <w:lang w:val="en-GB" w:eastAsia="en-GB"/>
        </w:rPr>
      </w:pPr>
      <w:r w:rsidRPr="002336EA">
        <w:rPr>
          <w:rFonts w:ascii="Verdana" w:eastAsia="Calibri" w:hAnsi="Verdana" w:cs="Calibri"/>
          <w:sz w:val="18"/>
          <w:szCs w:val="18"/>
          <w:lang w:val="en-GB" w:eastAsia="en-GB"/>
        </w:rPr>
        <w:t xml:space="preserve">In addition, population growth in the Lake Nokoué and Porto-Novo lagoon area, </w:t>
      </w:r>
      <w:r w:rsidRPr="002336EA">
        <w:rPr>
          <w:rFonts w:ascii="Verdana" w:eastAsia="Calibri" w:hAnsi="Verdana" w:cs="Calibri"/>
          <w:sz w:val="18"/>
          <w:szCs w:val="18"/>
          <w:highlight w:val="yellow"/>
          <w:lang w:val="en-GB" w:eastAsia="en-GB"/>
        </w:rPr>
        <w:t>market and water transport</w:t>
      </w:r>
      <w:r w:rsidRPr="002336EA">
        <w:rPr>
          <w:rFonts w:ascii="Verdana" w:eastAsia="Calibri" w:hAnsi="Verdana" w:cs="Calibri"/>
          <w:sz w:val="18"/>
          <w:szCs w:val="18"/>
          <w:lang w:val="en-GB" w:eastAsia="en-GB"/>
        </w:rPr>
        <w:t xml:space="preserve"> development, urbanization, shoreline erosion and problematic waste management, to name a few, lead to the degradation of aquatic environments and the </w:t>
      </w:r>
      <w:r w:rsidRPr="002336EA">
        <w:rPr>
          <w:rFonts w:ascii="Verdana" w:eastAsia="Calibri" w:hAnsi="Verdana" w:cs="Calibri"/>
          <w:sz w:val="18"/>
          <w:szCs w:val="18"/>
          <w:highlight w:val="yellow"/>
          <w:lang w:val="en-GB" w:eastAsia="en-GB"/>
        </w:rPr>
        <w:t>reduction of aquatic resources</w:t>
      </w:r>
      <w:r w:rsidRPr="002336EA">
        <w:rPr>
          <w:rFonts w:ascii="Verdana" w:eastAsia="Calibri" w:hAnsi="Verdana" w:cs="Calibri"/>
          <w:sz w:val="18"/>
          <w:szCs w:val="18"/>
          <w:lang w:val="en-GB" w:eastAsia="en-GB"/>
        </w:rPr>
        <w:t xml:space="preserve">. Adding to that, the environmental degradation due to the pollution of the banks of these water bodies that have become garbage dumps, latrines, </w:t>
      </w:r>
      <w:r w:rsidRPr="002336EA">
        <w:rPr>
          <w:rFonts w:ascii="Verdana" w:eastAsia="Calibri" w:hAnsi="Verdana" w:cs="Calibri"/>
          <w:sz w:val="18"/>
          <w:szCs w:val="18"/>
          <w:highlight w:val="yellow"/>
          <w:lang w:val="en-GB" w:eastAsia="en-GB"/>
        </w:rPr>
        <w:t>discharge</w:t>
      </w:r>
      <w:r w:rsidRPr="002336EA">
        <w:rPr>
          <w:rFonts w:ascii="Verdana" w:eastAsia="Calibri" w:hAnsi="Verdana" w:cs="Calibri"/>
          <w:sz w:val="18"/>
          <w:szCs w:val="18"/>
          <w:lang w:val="en-GB" w:eastAsia="en-GB"/>
        </w:rPr>
        <w:t xml:space="preserve"> of chemicals of various kinds, etc. All this compromises the </w:t>
      </w:r>
      <w:r w:rsidRPr="002336EA">
        <w:rPr>
          <w:rFonts w:ascii="Verdana" w:eastAsia="Calibri" w:hAnsi="Verdana" w:cs="Calibri"/>
          <w:sz w:val="18"/>
          <w:szCs w:val="18"/>
          <w:highlight w:val="yellow"/>
          <w:lang w:val="en-GB" w:eastAsia="en-GB"/>
        </w:rPr>
        <w:t>quality of fish and aquaculture products</w:t>
      </w:r>
      <w:r w:rsidRPr="002336EA">
        <w:rPr>
          <w:rFonts w:ascii="Verdana" w:eastAsia="Calibri" w:hAnsi="Verdana" w:cs="Calibri"/>
          <w:sz w:val="18"/>
          <w:szCs w:val="18"/>
          <w:lang w:val="en-GB" w:eastAsia="en-GB"/>
        </w:rPr>
        <w:t xml:space="preserve"> and tends to make them unfit for human consumption. All of </w:t>
      </w:r>
      <w:r w:rsidRPr="002336EA">
        <w:rPr>
          <w:rFonts w:ascii="Verdana" w:eastAsia="Calibri" w:hAnsi="Verdana" w:cs="Calibri"/>
          <w:sz w:val="18"/>
          <w:szCs w:val="18"/>
          <w:highlight w:val="yellow"/>
          <w:lang w:val="en-GB" w:eastAsia="en-GB"/>
        </w:rPr>
        <w:t>these developments and impacts</w:t>
      </w:r>
      <w:r w:rsidRPr="002336EA">
        <w:rPr>
          <w:rFonts w:ascii="Verdana" w:eastAsia="Calibri" w:hAnsi="Verdana" w:cs="Calibri"/>
          <w:sz w:val="18"/>
          <w:szCs w:val="18"/>
          <w:lang w:val="en-GB" w:eastAsia="en-GB"/>
        </w:rPr>
        <w:t xml:space="preserve"> can be grouped into four (4) broad categories:</w:t>
      </w:r>
    </w:p>
    <w:p w14:paraId="336FB332" w14:textId="77777777" w:rsidR="002336EA" w:rsidRPr="002336EA" w:rsidRDefault="002336EA" w:rsidP="002336EA">
      <w:pPr>
        <w:spacing w:after="0" w:line="240" w:lineRule="atLeast"/>
        <w:rPr>
          <w:rFonts w:ascii="Verdana" w:eastAsia="Calibri" w:hAnsi="Verdana" w:cs="Calibri"/>
          <w:sz w:val="18"/>
          <w:szCs w:val="18"/>
          <w:lang w:val="en-GB" w:eastAsia="en-GB"/>
        </w:rPr>
      </w:pPr>
    </w:p>
    <w:p w14:paraId="5F3A5A0E" w14:textId="77777777" w:rsidR="002336EA" w:rsidRPr="002336EA" w:rsidRDefault="002336EA" w:rsidP="002336EA">
      <w:pPr>
        <w:numPr>
          <w:ilvl w:val="0"/>
          <w:numId w:val="1"/>
        </w:numPr>
        <w:spacing w:after="0" w:line="240" w:lineRule="atLeast"/>
        <w:ind w:left="426" w:hanging="426"/>
        <w:contextualSpacing/>
        <w:rPr>
          <w:rFonts w:ascii="Verdana" w:eastAsia="Times New Roman" w:hAnsi="Verdana" w:cs="Calibri"/>
          <w:sz w:val="18"/>
          <w:szCs w:val="18"/>
          <w:lang w:val="en-GB" w:eastAsia="en-GB"/>
        </w:rPr>
      </w:pPr>
      <w:r w:rsidRPr="002336EA">
        <w:rPr>
          <w:rFonts w:ascii="Verdana" w:eastAsia="Times New Roman" w:hAnsi="Verdana" w:cs="Calibri"/>
          <w:sz w:val="18"/>
          <w:szCs w:val="18"/>
          <w:highlight w:val="yellow"/>
          <w:lang w:val="en-GB" w:eastAsia="en-GB"/>
        </w:rPr>
        <w:t>Siltation/sedimentation</w:t>
      </w:r>
      <w:r w:rsidRPr="002336EA">
        <w:rPr>
          <w:rFonts w:ascii="Verdana" w:eastAsia="Times New Roman" w:hAnsi="Verdana" w:cs="Calibri"/>
          <w:sz w:val="18"/>
          <w:szCs w:val="18"/>
          <w:lang w:val="en-GB" w:eastAsia="en-GB"/>
        </w:rPr>
        <w:t xml:space="preserve"> of water bodies due in particular to (i) deforestation of banks and watersheds resulting in erosion, (ii) the installation of acadjas (traps to catch and raise fish) and the proliferation of aquatic plants slowing water velocity and increasing sedimentation, (iii) the construction of roads and structures, (iv) urbanization,</w:t>
      </w:r>
    </w:p>
    <w:p w14:paraId="5C9DC392" w14:textId="77777777" w:rsidR="002336EA" w:rsidRPr="002336EA" w:rsidRDefault="002336EA" w:rsidP="002336EA">
      <w:pPr>
        <w:numPr>
          <w:ilvl w:val="0"/>
          <w:numId w:val="1"/>
        </w:numPr>
        <w:spacing w:after="0" w:line="240" w:lineRule="atLeast"/>
        <w:ind w:left="426" w:hanging="426"/>
        <w:contextualSpacing/>
        <w:rPr>
          <w:rFonts w:ascii="Verdana" w:eastAsia="Times New Roman" w:hAnsi="Verdana" w:cs="Calibri"/>
          <w:sz w:val="18"/>
          <w:szCs w:val="18"/>
          <w:lang w:val="en-GB" w:eastAsia="en-GB"/>
        </w:rPr>
      </w:pPr>
      <w:r w:rsidRPr="002336EA">
        <w:rPr>
          <w:rFonts w:ascii="Verdana" w:eastAsia="Times New Roman" w:hAnsi="Verdana" w:cs="Calibri"/>
          <w:sz w:val="18"/>
          <w:szCs w:val="18"/>
          <w:lang w:val="en-GB" w:eastAsia="en-GB"/>
        </w:rPr>
        <w:t>Decline in fish production due to (i) irregularity of rains and floods due to climate change; (ii) the high strain on the resource; (iii) widespread use of prohibited and/or destructive fishing gear; (iv) chemical pollution of water; (v) invasion of water bodies by aquatic plants; (vi) the intensification of fisheries;</w:t>
      </w:r>
    </w:p>
    <w:p w14:paraId="2B6494E0" w14:textId="77777777" w:rsidR="002336EA" w:rsidRPr="002336EA" w:rsidRDefault="002336EA" w:rsidP="002336EA">
      <w:pPr>
        <w:numPr>
          <w:ilvl w:val="0"/>
          <w:numId w:val="1"/>
        </w:numPr>
        <w:spacing w:after="0" w:line="240" w:lineRule="atLeast"/>
        <w:ind w:left="426" w:hanging="426"/>
        <w:contextualSpacing/>
        <w:rPr>
          <w:rFonts w:ascii="Verdana" w:eastAsia="Times New Roman" w:hAnsi="Verdana" w:cs="Calibri"/>
          <w:sz w:val="18"/>
          <w:szCs w:val="18"/>
          <w:lang w:val="en-GB" w:eastAsia="en-GB"/>
        </w:rPr>
      </w:pPr>
      <w:r w:rsidRPr="002336EA">
        <w:rPr>
          <w:rFonts w:ascii="Verdana" w:eastAsia="Times New Roman" w:hAnsi="Verdana" w:cs="Calibri"/>
          <w:sz w:val="18"/>
          <w:szCs w:val="18"/>
          <w:lang w:val="en-GB" w:eastAsia="en-GB"/>
        </w:rPr>
        <w:t>Insecurity due to cyclical flooding in the area of Lake Nokoué and the Porto-Novo lagoon;</w:t>
      </w:r>
    </w:p>
    <w:p w14:paraId="4CB0313D" w14:textId="77777777" w:rsidR="002336EA" w:rsidRPr="002336EA" w:rsidRDefault="002336EA" w:rsidP="002336EA">
      <w:pPr>
        <w:numPr>
          <w:ilvl w:val="0"/>
          <w:numId w:val="1"/>
        </w:numPr>
        <w:spacing w:after="0" w:line="240" w:lineRule="atLeast"/>
        <w:ind w:left="426" w:hanging="426"/>
        <w:contextualSpacing/>
        <w:rPr>
          <w:rFonts w:ascii="Verdana" w:eastAsia="Times New Roman" w:hAnsi="Verdana" w:cs="Calibri"/>
          <w:sz w:val="18"/>
          <w:szCs w:val="18"/>
          <w:lang w:val="en-GB" w:eastAsia="en-GB"/>
        </w:rPr>
      </w:pPr>
      <w:r w:rsidRPr="002336EA">
        <w:rPr>
          <w:rFonts w:ascii="Verdana" w:eastAsia="Times New Roman" w:hAnsi="Verdana" w:cs="Calibri"/>
          <w:sz w:val="18"/>
          <w:szCs w:val="18"/>
          <w:lang w:val="en-GB" w:eastAsia="en-GB"/>
        </w:rPr>
        <w:t>The potential of tourism is now very lowly valued;</w:t>
      </w:r>
    </w:p>
    <w:p w14:paraId="1E5DBF2A" w14:textId="77777777" w:rsidR="002336EA" w:rsidRPr="002336EA" w:rsidRDefault="002336EA" w:rsidP="002336EA">
      <w:pPr>
        <w:numPr>
          <w:ilvl w:val="0"/>
          <w:numId w:val="1"/>
        </w:numPr>
        <w:spacing w:after="0" w:line="240" w:lineRule="atLeast"/>
        <w:ind w:left="426" w:hanging="426"/>
        <w:contextualSpacing/>
        <w:rPr>
          <w:rFonts w:ascii="Verdana" w:eastAsia="Times New Roman" w:hAnsi="Verdana" w:cs="Calibri"/>
          <w:sz w:val="18"/>
          <w:szCs w:val="18"/>
          <w:lang w:val="en-GB" w:eastAsia="en-GB"/>
        </w:rPr>
      </w:pPr>
      <w:r w:rsidRPr="002336EA">
        <w:rPr>
          <w:rFonts w:ascii="Verdana" w:eastAsia="Times New Roman" w:hAnsi="Verdana" w:cs="Calibri"/>
          <w:sz w:val="18"/>
          <w:szCs w:val="18"/>
          <w:lang w:val="en-GB" w:eastAsia="en-GB"/>
        </w:rPr>
        <w:t xml:space="preserve">Finally, the development and modernization of transport on the lake should, by offering an alternative mode of transport to the riverside populations, accompany the intercommunality </w:t>
      </w:r>
      <w:r w:rsidRPr="002336EA">
        <w:rPr>
          <w:rFonts w:ascii="Verdana" w:eastAsia="Times New Roman" w:hAnsi="Verdana" w:cs="Calibri"/>
          <w:sz w:val="18"/>
          <w:szCs w:val="18"/>
          <w:lang w:val="en-GB" w:eastAsia="en-GB"/>
        </w:rPr>
        <w:lastRenderedPageBreak/>
        <w:t>and the development of economic activities between the municipalities concerned with a view to the realization of the development at the base.</w:t>
      </w:r>
    </w:p>
    <w:p w14:paraId="0D7B651C" w14:textId="77777777" w:rsidR="002336EA" w:rsidRPr="002336EA" w:rsidRDefault="002336EA" w:rsidP="002336EA">
      <w:pPr>
        <w:spacing w:after="0" w:line="240" w:lineRule="atLeast"/>
        <w:ind w:left="426" w:hanging="426"/>
        <w:rPr>
          <w:rFonts w:ascii="Verdana" w:eastAsia="Calibri" w:hAnsi="Verdana" w:cs="Calibri"/>
          <w:sz w:val="18"/>
          <w:szCs w:val="18"/>
          <w:lang w:val="en-GB" w:eastAsia="en-GB"/>
        </w:rPr>
      </w:pPr>
    </w:p>
    <w:p w14:paraId="51E29526" w14:textId="77777777" w:rsidR="002336EA" w:rsidRPr="002336EA" w:rsidRDefault="002336EA" w:rsidP="002336EA">
      <w:pPr>
        <w:spacing w:after="0" w:line="240" w:lineRule="atLeast"/>
        <w:rPr>
          <w:rFonts w:ascii="Verdana" w:eastAsia="Calibri" w:hAnsi="Verdana" w:cs="Calibri"/>
          <w:sz w:val="18"/>
          <w:szCs w:val="18"/>
          <w:lang w:val="en-GB" w:eastAsia="en-GB"/>
        </w:rPr>
      </w:pPr>
      <w:r w:rsidRPr="002336EA">
        <w:rPr>
          <w:rFonts w:ascii="Verdana" w:eastAsia="Calibri" w:hAnsi="Verdana" w:cs="Calibri"/>
          <w:sz w:val="18"/>
          <w:szCs w:val="18"/>
          <w:lang w:val="en-GB" w:eastAsia="en-GB"/>
        </w:rPr>
        <w:t xml:space="preserve">In view of the above and, in order </w:t>
      </w:r>
      <w:r w:rsidRPr="002336EA">
        <w:rPr>
          <w:rFonts w:ascii="Verdana" w:eastAsia="Calibri" w:hAnsi="Verdana" w:cs="Calibri"/>
          <w:sz w:val="18"/>
          <w:szCs w:val="18"/>
          <w:highlight w:val="yellow"/>
          <w:lang w:val="en-GB" w:eastAsia="en-GB"/>
        </w:rPr>
        <w:t>to reverse these trends and preserve the heritage</w:t>
      </w:r>
      <w:r w:rsidRPr="002336EA">
        <w:rPr>
          <w:rFonts w:ascii="Verdana" w:eastAsia="Calibri" w:hAnsi="Verdana" w:cs="Calibri"/>
          <w:sz w:val="18"/>
          <w:szCs w:val="18"/>
          <w:lang w:val="en-GB" w:eastAsia="en-GB"/>
        </w:rPr>
        <w:t xml:space="preserve"> </w:t>
      </w:r>
      <w:r w:rsidRPr="002336EA">
        <w:rPr>
          <w:rFonts w:ascii="Verdana" w:eastAsia="Calibri" w:hAnsi="Verdana" w:cs="Calibri"/>
          <w:sz w:val="18"/>
          <w:szCs w:val="18"/>
          <w:highlight w:val="yellow"/>
          <w:lang w:val="en-GB" w:eastAsia="en-GB"/>
        </w:rPr>
        <w:t>of these in principle very productive water bodies and to guarantee sustainable fish and other aquatic resources production as well as improve the overall quality and productivity of what is known as the “Grand Nokoué Region”,</w:t>
      </w:r>
      <w:r w:rsidRPr="002336EA">
        <w:rPr>
          <w:rFonts w:ascii="Verdana" w:eastAsia="Calibri" w:hAnsi="Verdana" w:cs="Calibri"/>
          <w:sz w:val="18"/>
          <w:szCs w:val="18"/>
          <w:lang w:val="en-GB" w:eastAsia="en-GB"/>
        </w:rPr>
        <w:t xml:space="preserve"> the Government of Benin, with the </w:t>
      </w:r>
      <w:r w:rsidRPr="002336EA">
        <w:rPr>
          <w:rFonts w:ascii="Verdana" w:eastAsia="Calibri" w:hAnsi="Verdana" w:cs="Calibri"/>
          <w:sz w:val="18"/>
          <w:szCs w:val="18"/>
          <w:highlight w:val="yellow"/>
          <w:lang w:val="en-GB" w:eastAsia="en-GB"/>
        </w:rPr>
        <w:t>support of their Dutch Partners</w:t>
      </w:r>
      <w:r w:rsidRPr="002336EA">
        <w:rPr>
          <w:rFonts w:ascii="Verdana" w:eastAsia="Calibri" w:hAnsi="Verdana" w:cs="Calibri"/>
          <w:sz w:val="18"/>
          <w:szCs w:val="18"/>
          <w:lang w:val="en-GB" w:eastAsia="en-GB"/>
        </w:rPr>
        <w:t>, has initiated the "Nokoué Lake and Porto-Novo Lagoon Development and Rehabilitation Project", under the "Develop2Build" (D2B) funding instrument.</w:t>
      </w:r>
    </w:p>
    <w:p w14:paraId="7C80B28F" w14:textId="77777777" w:rsidR="002336EA" w:rsidRPr="002336EA" w:rsidRDefault="002336EA" w:rsidP="002336EA">
      <w:pPr>
        <w:spacing w:after="0" w:line="240" w:lineRule="atLeast"/>
        <w:rPr>
          <w:rFonts w:ascii="Verdana" w:eastAsia="Calibri" w:hAnsi="Verdana" w:cs="Calibri"/>
          <w:sz w:val="18"/>
          <w:szCs w:val="18"/>
          <w:lang w:val="en-GB" w:eastAsia="en-GB"/>
        </w:rPr>
      </w:pPr>
    </w:p>
    <w:p w14:paraId="704F1D65" w14:textId="77777777" w:rsidR="002336EA" w:rsidRPr="002336EA" w:rsidRDefault="002336EA" w:rsidP="002336EA">
      <w:pPr>
        <w:spacing w:after="0" w:line="240" w:lineRule="atLeast"/>
        <w:rPr>
          <w:rFonts w:ascii="Verdana" w:eastAsia="Calibri" w:hAnsi="Verdana" w:cs="Calibri"/>
          <w:sz w:val="18"/>
          <w:szCs w:val="18"/>
          <w:lang w:val="en-GB" w:eastAsia="en-GB"/>
        </w:rPr>
      </w:pPr>
      <w:r w:rsidRPr="002336EA">
        <w:rPr>
          <w:rFonts w:ascii="Verdana" w:eastAsia="Calibri" w:hAnsi="Verdana" w:cs="Calibri"/>
          <w:sz w:val="18"/>
          <w:szCs w:val="18"/>
          <w:lang w:val="en-GB" w:eastAsia="en-GB"/>
        </w:rPr>
        <w:t xml:space="preserve">For this purpose, the Government has decided to use the services </w:t>
      </w:r>
      <w:r w:rsidRPr="002336EA">
        <w:rPr>
          <w:rFonts w:ascii="Verdana" w:eastAsia="Calibri" w:hAnsi="Verdana" w:cs="Calibri"/>
          <w:sz w:val="18"/>
          <w:szCs w:val="18"/>
          <w:highlight w:val="yellow"/>
          <w:lang w:val="en-GB" w:eastAsia="en-GB"/>
        </w:rPr>
        <w:t>of an Contractor firm and design office</w:t>
      </w:r>
      <w:r w:rsidRPr="002336EA">
        <w:rPr>
          <w:rFonts w:ascii="Verdana" w:eastAsia="Calibri" w:hAnsi="Verdana" w:cs="Calibri"/>
          <w:sz w:val="18"/>
          <w:szCs w:val="18"/>
          <w:lang w:val="en-GB" w:eastAsia="en-GB"/>
        </w:rPr>
        <w:t xml:space="preserve">, which will work with National Laboratories and Experts, </w:t>
      </w:r>
      <w:r w:rsidRPr="002336EA">
        <w:rPr>
          <w:rFonts w:ascii="Verdana" w:eastAsia="Calibri" w:hAnsi="Verdana" w:cs="Calibri"/>
          <w:sz w:val="18"/>
          <w:szCs w:val="18"/>
          <w:highlight w:val="yellow"/>
          <w:lang w:val="en-GB" w:eastAsia="en-GB"/>
        </w:rPr>
        <w:t>to design and implement, in a coherent manner, comprehensive studies on technical, socio-economic and financial feasibility, including an analysis of environmental and social impacts, and to research activities required to contribute  to a portfolio of investments aimed at the improvement of the public infrastructure and water system management measures for the region.</w:t>
      </w:r>
      <w:r w:rsidRPr="002336EA">
        <w:rPr>
          <w:rFonts w:ascii="Verdana" w:eastAsia="Calibri" w:hAnsi="Verdana" w:cs="Calibri"/>
          <w:sz w:val="18"/>
          <w:szCs w:val="18"/>
          <w:lang w:val="en-GB" w:eastAsia="en-GB"/>
        </w:rPr>
        <w:t xml:space="preserve">  </w:t>
      </w:r>
    </w:p>
    <w:p w14:paraId="262798DD" w14:textId="77777777" w:rsidR="002336EA" w:rsidRPr="002336EA" w:rsidRDefault="002336EA" w:rsidP="002336EA">
      <w:pPr>
        <w:spacing w:after="0" w:line="240" w:lineRule="atLeast"/>
        <w:ind w:left="426" w:hanging="426"/>
        <w:rPr>
          <w:rFonts w:ascii="Verdana" w:eastAsia="Calibri" w:hAnsi="Verdana" w:cs="Calibri"/>
          <w:sz w:val="18"/>
          <w:szCs w:val="18"/>
          <w:lang w:val="en-GB" w:eastAsia="en-GB"/>
        </w:rPr>
      </w:pPr>
    </w:p>
    <w:p w14:paraId="582022C9" w14:textId="77777777" w:rsidR="002336EA" w:rsidRPr="002336EA" w:rsidRDefault="002336EA" w:rsidP="002336EA">
      <w:pPr>
        <w:autoSpaceDE w:val="0"/>
        <w:autoSpaceDN w:val="0"/>
        <w:adjustRightInd w:val="0"/>
        <w:spacing w:before="120" w:after="0" w:line="276" w:lineRule="auto"/>
        <w:jc w:val="both"/>
        <w:rPr>
          <w:rFonts w:ascii="Verdana" w:eastAsia="Calibri" w:hAnsi="Verdana" w:cs="Calibri"/>
          <w:b/>
          <w:bCs/>
          <w:i/>
          <w:iCs/>
          <w:sz w:val="18"/>
          <w:szCs w:val="18"/>
          <w:lang w:val="en-GB" w:eastAsia="en-GB"/>
        </w:rPr>
      </w:pPr>
      <w:r w:rsidRPr="002336EA">
        <w:rPr>
          <w:rFonts w:ascii="Verdana" w:eastAsia="Calibri" w:hAnsi="Verdana" w:cs="Calibri"/>
          <w:b/>
          <w:bCs/>
          <w:i/>
          <w:iCs/>
          <w:sz w:val="18"/>
          <w:szCs w:val="18"/>
          <w:lang w:val="en-GB" w:eastAsia="en-GB"/>
        </w:rPr>
        <w:t>Develop2Build</w:t>
      </w:r>
    </w:p>
    <w:p w14:paraId="63E36451" w14:textId="77777777" w:rsidR="002336EA" w:rsidRPr="002336EA" w:rsidRDefault="002336EA" w:rsidP="002336EA">
      <w:pPr>
        <w:autoSpaceDE w:val="0"/>
        <w:autoSpaceDN w:val="0"/>
        <w:adjustRightInd w:val="0"/>
        <w:spacing w:before="120" w:after="0" w:line="276" w:lineRule="auto"/>
        <w:rPr>
          <w:rFonts w:ascii="Verdana" w:eastAsia="Calibri" w:hAnsi="Verdana" w:cs="Calibri"/>
          <w:sz w:val="18"/>
          <w:szCs w:val="18"/>
          <w:lang w:val="en-GB" w:eastAsia="en-GB"/>
        </w:rPr>
      </w:pPr>
      <w:r w:rsidRPr="002336EA">
        <w:rPr>
          <w:rFonts w:ascii="Verdana" w:eastAsia="Calibri" w:hAnsi="Verdana" w:cs="Calibri"/>
          <w:sz w:val="18"/>
          <w:szCs w:val="18"/>
          <w:lang w:val="en-GB" w:eastAsia="en-GB"/>
        </w:rPr>
        <w:t>The Develop2Build programme is run by the Department of International Development of the Netherlands Enterprise Agency, called RVO in Dutch. Through Develop2Build, the Ministry of Foreign Affairs is helping national and regional authorities in developing countries  to develop and finance large public infrastructure projects that have positive effects on people, the environment and society.</w:t>
      </w:r>
    </w:p>
    <w:p w14:paraId="258C5576" w14:textId="77777777" w:rsidR="002336EA" w:rsidRPr="002336EA" w:rsidRDefault="002336EA" w:rsidP="002336EA">
      <w:pPr>
        <w:autoSpaceDE w:val="0"/>
        <w:autoSpaceDN w:val="0"/>
        <w:adjustRightInd w:val="0"/>
        <w:spacing w:before="120" w:after="0" w:line="276" w:lineRule="auto"/>
        <w:rPr>
          <w:rFonts w:ascii="Verdana" w:eastAsia="Calibri" w:hAnsi="Verdana" w:cs="Calibri"/>
          <w:sz w:val="18"/>
          <w:szCs w:val="18"/>
          <w:lang w:val="en-GB" w:eastAsia="en-GB"/>
        </w:rPr>
      </w:pPr>
      <w:r w:rsidRPr="002336EA">
        <w:rPr>
          <w:rFonts w:ascii="Verdana" w:eastAsia="Calibri" w:hAnsi="Verdana" w:cs="Calibri"/>
          <w:sz w:val="18"/>
          <w:szCs w:val="18"/>
          <w:lang w:val="en-GB" w:eastAsia="en-GB"/>
        </w:rPr>
        <w:t xml:space="preserve">D2B provides direct support to government authorities in low-income partner countries to convert promising ideas into public infrastructure into viable high-impact projects. This support takes the form of grants for studies that need to be completed before an infrastructure project can be launched. Projects must contribute to the development of the private sector, improving people's ability to support themselves. The D2B program aims to convert promising public infrastructure ideas into viable, high-impact projects. For more information about D2B and the eligible countries on the list, visit </w:t>
      </w:r>
      <w:hyperlink r:id="rId5" w:history="1">
        <w:r w:rsidRPr="002336EA">
          <w:rPr>
            <w:rFonts w:ascii="Verdana" w:eastAsia="Calibri" w:hAnsi="Verdana" w:cs="Calibri"/>
            <w:color w:val="0000FF"/>
            <w:sz w:val="18"/>
            <w:szCs w:val="18"/>
            <w:u w:val="single"/>
            <w:lang w:val="en-GB" w:eastAsia="en-GB"/>
          </w:rPr>
          <w:t>http://english.rvo.nl/subsidies-programmes/develop2build-d2b</w:t>
        </w:r>
      </w:hyperlink>
    </w:p>
    <w:p w14:paraId="13B76823" w14:textId="77777777" w:rsidR="002336EA" w:rsidRPr="002336EA" w:rsidRDefault="002336EA" w:rsidP="002336EA">
      <w:pPr>
        <w:spacing w:after="0" w:line="240" w:lineRule="atLeast"/>
        <w:rPr>
          <w:rFonts w:ascii="Verdana" w:eastAsia="Calibri" w:hAnsi="Verdana" w:cs="Calibri"/>
          <w:sz w:val="18"/>
          <w:szCs w:val="18"/>
          <w:lang w:val="en-GB" w:eastAsia="en-GB"/>
        </w:rPr>
      </w:pPr>
    </w:p>
    <w:p w14:paraId="7E22B923" w14:textId="77777777" w:rsidR="002336EA" w:rsidRPr="002336EA" w:rsidRDefault="002336EA" w:rsidP="002336EA">
      <w:pPr>
        <w:spacing w:after="0" w:line="240" w:lineRule="atLeast"/>
        <w:rPr>
          <w:rFonts w:ascii="Verdana" w:eastAsia="Calibri" w:hAnsi="Verdana" w:cs="Calibri"/>
          <w:sz w:val="18"/>
          <w:szCs w:val="18"/>
          <w:lang w:val="en-GB" w:eastAsia="en-GB"/>
        </w:rPr>
      </w:pPr>
      <w:r w:rsidRPr="002336EA">
        <w:rPr>
          <w:rFonts w:ascii="Verdana" w:eastAsia="Calibri" w:hAnsi="Verdana" w:cs="Calibri"/>
          <w:sz w:val="18"/>
          <w:szCs w:val="18"/>
          <w:lang w:val="en-GB" w:eastAsia="en-GB"/>
        </w:rPr>
        <w:t>The Dutch Enterprise Agency (RVO.nl, RVO) is an agency of the Netherlands Ministry of Economic Affairs. RVO works in the Netherlands and abroad with governments, knowledge centres, entrepreneurs, international organizations and countless other partners</w:t>
      </w:r>
    </w:p>
    <w:p w14:paraId="15257D49" w14:textId="77777777" w:rsidR="002336EA" w:rsidRPr="002336EA" w:rsidRDefault="002336EA" w:rsidP="002336EA">
      <w:pPr>
        <w:autoSpaceDE w:val="0"/>
        <w:autoSpaceDN w:val="0"/>
        <w:adjustRightInd w:val="0"/>
        <w:spacing w:before="120" w:after="0" w:line="276" w:lineRule="auto"/>
        <w:rPr>
          <w:rFonts w:ascii="Verdana" w:eastAsia="Calibri" w:hAnsi="Verdana" w:cs="Calibri"/>
          <w:sz w:val="18"/>
          <w:szCs w:val="18"/>
          <w:lang w:val="en-GB" w:eastAsia="en-GB"/>
        </w:rPr>
      </w:pPr>
      <w:r w:rsidRPr="002336EA">
        <w:rPr>
          <w:rFonts w:ascii="Verdana" w:eastAsia="Calibri" w:hAnsi="Verdana" w:cs="Calibri"/>
          <w:sz w:val="18"/>
          <w:szCs w:val="18"/>
          <w:lang w:val="en-GB" w:eastAsia="en-GB"/>
        </w:rPr>
        <w:t>Develop2Build (D2B) consists of three phases: the identification phase, the formulation phase and the development phase. Each D2B project follows these steps individually. The actual implementation (construction) of the infrastructure project is not part of D2B.</w:t>
      </w:r>
    </w:p>
    <w:p w14:paraId="5A441FE0" w14:textId="77777777" w:rsidR="002336EA" w:rsidRPr="002336EA" w:rsidRDefault="002336EA" w:rsidP="002336EA">
      <w:pPr>
        <w:autoSpaceDE w:val="0"/>
        <w:autoSpaceDN w:val="0"/>
        <w:adjustRightInd w:val="0"/>
        <w:spacing w:before="120" w:after="0" w:line="276" w:lineRule="auto"/>
        <w:rPr>
          <w:rFonts w:ascii="Verdana" w:eastAsia="Calibri" w:hAnsi="Verdana" w:cs="Calibri"/>
          <w:sz w:val="18"/>
          <w:szCs w:val="18"/>
          <w:lang w:val="en-GB" w:eastAsia="en-GB"/>
        </w:rPr>
      </w:pPr>
      <w:r w:rsidRPr="002336EA">
        <w:rPr>
          <w:rFonts w:ascii="Verdana" w:eastAsia="Calibri" w:hAnsi="Verdana" w:cs="Calibri"/>
          <w:sz w:val="18"/>
          <w:szCs w:val="18"/>
          <w:lang w:val="en-GB" w:eastAsia="en-GB"/>
        </w:rPr>
        <w:t>During the formulation phase, the framework and terms of reference for the studies that will be carried out in the development phase will be defined. The mandate provides detailed activities to be carried out by a consultant/consortium. The consultant/consortium is selected through a tender funded by RVO.NL under the Develop2Build program. The tender is (in the case of the D2B18BN01 project) organized by RVO, responsible for the project in close collaboration with the Government of Benin (Ministry of the Living Environment and Sustainable Development).</w:t>
      </w:r>
    </w:p>
    <w:p w14:paraId="0287C3B9" w14:textId="77777777" w:rsidR="002336EA" w:rsidRPr="002336EA" w:rsidRDefault="002336EA" w:rsidP="002336EA">
      <w:pPr>
        <w:autoSpaceDE w:val="0"/>
        <w:autoSpaceDN w:val="0"/>
        <w:adjustRightInd w:val="0"/>
        <w:spacing w:before="120" w:after="0" w:line="276" w:lineRule="auto"/>
        <w:jc w:val="both"/>
        <w:rPr>
          <w:rFonts w:ascii="Verdana" w:eastAsia="Calibri" w:hAnsi="Verdana" w:cs="Calibri"/>
          <w:sz w:val="18"/>
          <w:szCs w:val="18"/>
          <w:lang w:val="en-GB" w:eastAsia="en-GB"/>
        </w:rPr>
      </w:pPr>
    </w:p>
    <w:tbl>
      <w:tblPr>
        <w:tblW w:w="9576" w:type="dxa"/>
        <w:tblLook w:val="04A0" w:firstRow="1" w:lastRow="0" w:firstColumn="1" w:lastColumn="0" w:noHBand="0" w:noVBand="1"/>
      </w:tblPr>
      <w:tblGrid>
        <w:gridCol w:w="4810"/>
        <w:gridCol w:w="4766"/>
      </w:tblGrid>
      <w:tr w:rsidR="002336EA" w:rsidRPr="002336EA" w14:paraId="40D19BDF" w14:textId="77777777" w:rsidTr="00454053">
        <w:trPr>
          <w:trHeight w:val="3256"/>
        </w:trPr>
        <w:tc>
          <w:tcPr>
            <w:tcW w:w="4810" w:type="dxa"/>
            <w:shd w:val="clear" w:color="auto" w:fill="auto"/>
          </w:tcPr>
          <w:p w14:paraId="2D6C408A" w14:textId="77777777" w:rsidR="002336EA" w:rsidRPr="002336EA" w:rsidRDefault="002336EA" w:rsidP="002336EA">
            <w:pPr>
              <w:spacing w:after="0" w:line="240" w:lineRule="auto"/>
              <w:jc w:val="both"/>
              <w:rPr>
                <w:rFonts w:ascii="Calibri" w:eastAsia="Calibri" w:hAnsi="Calibri" w:cs="Calibri"/>
                <w:color w:val="0D0D0D"/>
                <w:sz w:val="20"/>
                <w:szCs w:val="20"/>
                <w:lang w:val="en-GB" w:eastAsia="fr-FR"/>
              </w:rPr>
            </w:pPr>
          </w:p>
        </w:tc>
        <w:tc>
          <w:tcPr>
            <w:tcW w:w="4766" w:type="dxa"/>
            <w:shd w:val="clear" w:color="auto" w:fill="auto"/>
          </w:tcPr>
          <w:p w14:paraId="2CF4A7AE" w14:textId="77777777" w:rsidR="002336EA" w:rsidRPr="002336EA" w:rsidRDefault="002336EA" w:rsidP="002336EA">
            <w:pPr>
              <w:spacing w:after="0" w:line="240" w:lineRule="auto"/>
              <w:jc w:val="both"/>
              <w:rPr>
                <w:rFonts w:ascii="Calibri" w:eastAsia="Calibri" w:hAnsi="Calibri" w:cs="Calibri"/>
                <w:color w:val="0D0D0D"/>
                <w:sz w:val="20"/>
                <w:szCs w:val="20"/>
                <w:lang w:val="en-GB" w:eastAsia="fr-FR"/>
              </w:rPr>
            </w:pPr>
          </w:p>
        </w:tc>
      </w:tr>
      <w:tr w:rsidR="002336EA" w:rsidRPr="002336EA" w14:paraId="2260A082" w14:textId="77777777" w:rsidTr="00454053">
        <w:trPr>
          <w:trHeight w:val="79"/>
        </w:trPr>
        <w:tc>
          <w:tcPr>
            <w:tcW w:w="9576" w:type="dxa"/>
            <w:gridSpan w:val="2"/>
            <w:shd w:val="clear" w:color="auto" w:fill="auto"/>
          </w:tcPr>
          <w:p w14:paraId="445595CD" w14:textId="77777777" w:rsidR="002336EA" w:rsidRPr="002336EA" w:rsidRDefault="002336EA" w:rsidP="002336EA">
            <w:pPr>
              <w:spacing w:before="120" w:after="0" w:line="276" w:lineRule="auto"/>
              <w:jc w:val="center"/>
              <w:rPr>
                <w:rFonts w:ascii="Calibri" w:eastAsia="Calibri" w:hAnsi="Calibri" w:cs="Calibri"/>
                <w:color w:val="0D0D0D"/>
                <w:sz w:val="20"/>
                <w:szCs w:val="20"/>
                <w:lang w:val="en-GB" w:eastAsia="fr-FR"/>
              </w:rPr>
            </w:pPr>
            <w:r w:rsidRPr="002336EA">
              <w:rPr>
                <w:rFonts w:ascii="Calibri" w:eastAsia="Times New Roman" w:hAnsi="Calibri" w:cs="Calibri"/>
                <w:b/>
                <w:bCs/>
                <w:color w:val="0D0D0D"/>
                <w:sz w:val="20"/>
                <w:szCs w:val="20"/>
                <w:lang w:val="en-GB" w:eastAsia="fr-FR"/>
              </w:rPr>
              <w:t>Pollution of the banks of the Cotonou Channel by household waste in Gbogbanou and Dantokpa</w:t>
            </w:r>
          </w:p>
        </w:tc>
      </w:tr>
      <w:tr w:rsidR="002336EA" w:rsidRPr="002336EA" w14:paraId="5D44996B" w14:textId="77777777" w:rsidTr="00454053">
        <w:trPr>
          <w:trHeight w:val="3509"/>
        </w:trPr>
        <w:tc>
          <w:tcPr>
            <w:tcW w:w="4810" w:type="dxa"/>
            <w:shd w:val="clear" w:color="auto" w:fill="auto"/>
          </w:tcPr>
          <w:p w14:paraId="6FFA5631" w14:textId="77777777" w:rsidR="002336EA" w:rsidRPr="002336EA" w:rsidRDefault="002336EA" w:rsidP="002336EA">
            <w:pPr>
              <w:spacing w:after="0" w:line="240" w:lineRule="auto"/>
              <w:jc w:val="both"/>
              <w:rPr>
                <w:rFonts w:ascii="Calibri" w:eastAsia="Calibri" w:hAnsi="Calibri" w:cs="Calibri"/>
                <w:color w:val="0D0D0D"/>
                <w:sz w:val="20"/>
                <w:szCs w:val="20"/>
                <w:lang w:val="en-GB" w:eastAsia="fr-FR"/>
              </w:rPr>
            </w:pPr>
          </w:p>
        </w:tc>
        <w:tc>
          <w:tcPr>
            <w:tcW w:w="4766" w:type="dxa"/>
            <w:shd w:val="clear" w:color="auto" w:fill="auto"/>
          </w:tcPr>
          <w:p w14:paraId="71C99421" w14:textId="77777777" w:rsidR="002336EA" w:rsidRPr="002336EA" w:rsidRDefault="002336EA" w:rsidP="002336EA">
            <w:pPr>
              <w:spacing w:after="0" w:line="240" w:lineRule="auto"/>
              <w:jc w:val="both"/>
              <w:rPr>
                <w:rFonts w:ascii="Calibri" w:eastAsia="Calibri" w:hAnsi="Calibri" w:cs="Calibri"/>
                <w:color w:val="0D0D0D"/>
                <w:sz w:val="20"/>
                <w:szCs w:val="20"/>
                <w:lang w:val="en-GB" w:eastAsia="fr-FR"/>
              </w:rPr>
            </w:pPr>
          </w:p>
        </w:tc>
      </w:tr>
      <w:tr w:rsidR="002336EA" w:rsidRPr="002336EA" w14:paraId="490C2E96" w14:textId="77777777" w:rsidTr="00454053">
        <w:trPr>
          <w:trHeight w:val="285"/>
        </w:trPr>
        <w:tc>
          <w:tcPr>
            <w:tcW w:w="9576" w:type="dxa"/>
            <w:gridSpan w:val="2"/>
            <w:shd w:val="clear" w:color="auto" w:fill="auto"/>
          </w:tcPr>
          <w:p w14:paraId="2BBE7936" w14:textId="77777777" w:rsidR="002336EA" w:rsidRPr="002336EA" w:rsidRDefault="002336EA" w:rsidP="002336EA">
            <w:pPr>
              <w:spacing w:after="0" w:line="240" w:lineRule="auto"/>
              <w:jc w:val="center"/>
              <w:rPr>
                <w:rFonts w:ascii="Calibri" w:eastAsia="Calibri" w:hAnsi="Calibri" w:cs="Calibri"/>
                <w:color w:val="0D0D0D"/>
                <w:sz w:val="20"/>
                <w:szCs w:val="20"/>
                <w:lang w:val="en-GB" w:eastAsia="fr-FR"/>
              </w:rPr>
            </w:pPr>
          </w:p>
          <w:p w14:paraId="453CD034" w14:textId="77777777" w:rsidR="002336EA" w:rsidRPr="002336EA" w:rsidRDefault="002336EA" w:rsidP="002336EA">
            <w:pPr>
              <w:spacing w:after="0" w:line="240" w:lineRule="auto"/>
              <w:jc w:val="center"/>
              <w:rPr>
                <w:rFonts w:ascii="Calibri" w:eastAsia="Calibri" w:hAnsi="Calibri" w:cs="Calibri"/>
                <w:color w:val="0D0D0D"/>
                <w:sz w:val="20"/>
                <w:szCs w:val="20"/>
                <w:lang w:val="en-GB" w:eastAsia="fr-FR"/>
              </w:rPr>
            </w:pPr>
            <w:r w:rsidRPr="002336EA">
              <w:rPr>
                <w:rFonts w:ascii="Calibri" w:eastAsia="Times New Roman" w:hAnsi="Calibri" w:cs="Calibri"/>
                <w:b/>
                <w:bCs/>
                <w:color w:val="0D0D0D"/>
                <w:sz w:val="20"/>
                <w:szCs w:val="20"/>
                <w:lang w:val="en-GB" w:eastAsia="fr-FR"/>
              </w:rPr>
              <w:t>Occupation of the banks by populations (case and latrines)</w:t>
            </w:r>
          </w:p>
        </w:tc>
      </w:tr>
      <w:tr w:rsidR="002336EA" w:rsidRPr="002336EA" w14:paraId="784BAAB3" w14:textId="77777777" w:rsidTr="00454053">
        <w:trPr>
          <w:trHeight w:val="3661"/>
        </w:trPr>
        <w:tc>
          <w:tcPr>
            <w:tcW w:w="9576" w:type="dxa"/>
            <w:gridSpan w:val="2"/>
            <w:shd w:val="clear" w:color="auto" w:fill="auto"/>
          </w:tcPr>
          <w:p w14:paraId="73640635" w14:textId="77777777" w:rsidR="002336EA" w:rsidRPr="002336EA" w:rsidRDefault="002336EA" w:rsidP="002336EA">
            <w:pPr>
              <w:spacing w:after="0" w:line="240" w:lineRule="auto"/>
              <w:jc w:val="both"/>
              <w:rPr>
                <w:rFonts w:ascii="Calibri" w:eastAsia="Calibri" w:hAnsi="Calibri" w:cs="Calibri"/>
                <w:color w:val="0D0D0D"/>
                <w:sz w:val="20"/>
                <w:szCs w:val="20"/>
                <w:lang w:val="en-GB" w:eastAsia="fr-FR"/>
              </w:rPr>
            </w:pPr>
          </w:p>
          <w:p w14:paraId="5F4F17A9" w14:textId="77777777" w:rsidR="002336EA" w:rsidRPr="002336EA" w:rsidRDefault="002336EA" w:rsidP="002336EA">
            <w:pPr>
              <w:spacing w:after="0" w:line="240" w:lineRule="auto"/>
              <w:jc w:val="both"/>
              <w:rPr>
                <w:rFonts w:ascii="Calibri" w:eastAsia="Calibri" w:hAnsi="Calibri" w:cs="Calibri"/>
                <w:color w:val="0D0D0D"/>
                <w:sz w:val="20"/>
                <w:szCs w:val="20"/>
                <w:lang w:val="en-GB" w:eastAsia="fr-FR"/>
              </w:rPr>
            </w:pPr>
            <w:r w:rsidRPr="002336EA">
              <w:rPr>
                <w:rFonts w:ascii="Calibri" w:eastAsia="Times New Roman" w:hAnsi="Calibri" w:cs="Calibri"/>
                <w:b/>
                <w:bCs/>
                <w:color w:val="0D0D0D"/>
                <w:sz w:val="20"/>
                <w:szCs w:val="20"/>
                <w:lang w:val="en-GB" w:eastAsia="fr-FR"/>
              </w:rPr>
              <w:t>Chemical pollution due to accidental spillage of fuel during transport and situation of the water body covered with fresh water hyacinth making navigation difficult</w:t>
            </w:r>
          </w:p>
        </w:tc>
      </w:tr>
    </w:tbl>
    <w:p w14:paraId="09E07BFC" w14:textId="77777777" w:rsidR="002336EA" w:rsidRPr="002336EA" w:rsidRDefault="002336EA" w:rsidP="002336EA">
      <w:pPr>
        <w:spacing w:after="0" w:line="240" w:lineRule="atLeast"/>
        <w:rPr>
          <w:rFonts w:ascii="Calibri" w:eastAsia="Calibri" w:hAnsi="Calibri" w:cs="Calibri"/>
          <w:sz w:val="20"/>
          <w:szCs w:val="20"/>
          <w:lang w:val="en-GB" w:eastAsia="en-GB"/>
        </w:rPr>
      </w:pPr>
    </w:p>
    <w:p w14:paraId="040115D8" w14:textId="77777777" w:rsidR="002336EA" w:rsidRPr="002336EA" w:rsidRDefault="002336EA" w:rsidP="002336EA">
      <w:pPr>
        <w:spacing w:after="0" w:line="240" w:lineRule="atLeast"/>
        <w:rPr>
          <w:rFonts w:ascii="Calibri" w:eastAsia="Calibri" w:hAnsi="Calibri" w:cs="Calibri"/>
          <w:sz w:val="20"/>
          <w:szCs w:val="20"/>
          <w:lang w:val="en-GB" w:eastAsia="en-GB"/>
        </w:rPr>
      </w:pPr>
      <w:r w:rsidRPr="002336EA">
        <w:rPr>
          <w:rFonts w:ascii="Calibri" w:eastAsia="Calibri" w:hAnsi="Calibri" w:cs="Calibri"/>
          <w:sz w:val="20"/>
          <w:szCs w:val="20"/>
          <w:lang w:val="en-GB" w:eastAsia="en-GB"/>
        </w:rPr>
        <w:t>This document describes the terms of reference (TOR) including all necessary elements of the mandate of this D2B project. As a result, the TOR provides a description of:</w:t>
      </w:r>
    </w:p>
    <w:p w14:paraId="38AFA1C9" w14:textId="77777777" w:rsidR="002336EA" w:rsidRPr="002336EA" w:rsidRDefault="002336EA" w:rsidP="002336EA">
      <w:pPr>
        <w:spacing w:after="0" w:line="240" w:lineRule="atLeast"/>
        <w:rPr>
          <w:rFonts w:ascii="Calibri" w:eastAsia="Calibri" w:hAnsi="Calibri" w:cs="Calibri"/>
          <w:sz w:val="20"/>
          <w:szCs w:val="20"/>
          <w:lang w:val="en-GB" w:eastAsia="en-GB"/>
        </w:rPr>
      </w:pPr>
    </w:p>
    <w:p w14:paraId="44DE7D34" w14:textId="77777777" w:rsidR="002336EA" w:rsidRPr="002336EA" w:rsidRDefault="002336EA" w:rsidP="002336EA">
      <w:pPr>
        <w:numPr>
          <w:ilvl w:val="0"/>
          <w:numId w:val="2"/>
        </w:numPr>
        <w:spacing w:before="120" w:after="120" w:line="240" w:lineRule="atLeast"/>
        <w:ind w:left="714" w:hanging="357"/>
        <w:contextualSpacing/>
        <w:rPr>
          <w:rFonts w:ascii="Verdana" w:eastAsia="Times New Roman" w:hAnsi="Verdana" w:cs="Calibri"/>
          <w:sz w:val="20"/>
          <w:szCs w:val="20"/>
          <w:lang w:val="en-GB" w:eastAsia="en-GB"/>
        </w:rPr>
      </w:pPr>
      <w:r w:rsidRPr="002336EA">
        <w:rPr>
          <w:rFonts w:ascii="Verdana" w:eastAsia="Times New Roman" w:hAnsi="Verdana" w:cs="Calibri"/>
          <w:sz w:val="20"/>
          <w:szCs w:val="20"/>
          <w:lang w:val="en-GB" w:eastAsia="en-GB"/>
        </w:rPr>
        <w:t xml:space="preserve">The reason why a mission or study is undertaken;  </w:t>
      </w:r>
    </w:p>
    <w:p w14:paraId="2675FDEC" w14:textId="77777777" w:rsidR="002336EA" w:rsidRPr="002336EA" w:rsidRDefault="002336EA" w:rsidP="002336EA">
      <w:pPr>
        <w:numPr>
          <w:ilvl w:val="0"/>
          <w:numId w:val="2"/>
        </w:numPr>
        <w:spacing w:before="120" w:after="120" w:line="240" w:lineRule="atLeast"/>
        <w:ind w:left="714" w:hanging="357"/>
        <w:contextualSpacing/>
        <w:rPr>
          <w:rFonts w:ascii="Verdana" w:eastAsia="Times New Roman" w:hAnsi="Verdana" w:cs="Calibri"/>
          <w:sz w:val="20"/>
          <w:szCs w:val="20"/>
          <w:lang w:val="en-GB" w:eastAsia="en-GB"/>
        </w:rPr>
      </w:pPr>
      <w:r w:rsidRPr="002336EA">
        <w:rPr>
          <w:rFonts w:ascii="Verdana" w:eastAsia="Times New Roman" w:hAnsi="Verdana" w:cs="Calibri"/>
          <w:sz w:val="20"/>
          <w:szCs w:val="20"/>
          <w:lang w:val="en-GB" w:eastAsia="en-GB"/>
        </w:rPr>
        <w:t>The expected methodology and work plan (activities), including their timing and duration;</w:t>
      </w:r>
    </w:p>
    <w:p w14:paraId="179B0BE5" w14:textId="77777777" w:rsidR="002336EA" w:rsidRPr="002336EA" w:rsidRDefault="002336EA" w:rsidP="002336EA">
      <w:pPr>
        <w:numPr>
          <w:ilvl w:val="0"/>
          <w:numId w:val="2"/>
        </w:numPr>
        <w:spacing w:before="120" w:after="120" w:line="240" w:lineRule="atLeast"/>
        <w:ind w:left="714" w:hanging="357"/>
        <w:contextualSpacing/>
        <w:rPr>
          <w:rFonts w:ascii="Verdana" w:eastAsia="Times New Roman" w:hAnsi="Verdana" w:cs="Calibri"/>
          <w:sz w:val="20"/>
          <w:szCs w:val="20"/>
          <w:lang w:val="en-GB" w:eastAsia="en-GB"/>
        </w:rPr>
      </w:pPr>
      <w:r w:rsidRPr="002336EA">
        <w:rPr>
          <w:rFonts w:ascii="Verdana" w:eastAsia="Times New Roman" w:hAnsi="Verdana" w:cs="Calibri"/>
          <w:sz w:val="20"/>
          <w:szCs w:val="20"/>
          <w:lang w:val="en-GB" w:eastAsia="en-GB"/>
        </w:rPr>
        <w:t>The expected need for resources, particularly in terms of personnel; and</w:t>
      </w:r>
    </w:p>
    <w:p w14:paraId="32241CC5" w14:textId="77777777" w:rsidR="002336EA" w:rsidRPr="002336EA" w:rsidRDefault="002336EA" w:rsidP="002336EA">
      <w:pPr>
        <w:numPr>
          <w:ilvl w:val="0"/>
          <w:numId w:val="2"/>
        </w:numPr>
        <w:spacing w:before="120" w:after="120" w:line="240" w:lineRule="atLeast"/>
        <w:ind w:left="714" w:hanging="357"/>
        <w:contextualSpacing/>
        <w:rPr>
          <w:rFonts w:ascii="Verdana" w:eastAsia="Times New Roman" w:hAnsi="Verdana" w:cs="Calibri"/>
          <w:sz w:val="20"/>
          <w:szCs w:val="20"/>
          <w:lang w:val="en-GB" w:eastAsia="en-GB"/>
        </w:rPr>
      </w:pPr>
      <w:r w:rsidRPr="002336EA">
        <w:rPr>
          <w:rFonts w:ascii="Verdana" w:eastAsia="Times New Roman" w:hAnsi="Verdana" w:cs="Calibri"/>
          <w:sz w:val="20"/>
          <w:szCs w:val="20"/>
          <w:lang w:val="en-GB" w:eastAsia="en-GB"/>
        </w:rPr>
        <w:t>Reporting requirements.</w:t>
      </w:r>
    </w:p>
    <w:p w14:paraId="2E707D78" w14:textId="77777777" w:rsidR="002336EA" w:rsidRPr="002336EA" w:rsidRDefault="002336EA" w:rsidP="002336EA">
      <w:pPr>
        <w:spacing w:after="0" w:line="240" w:lineRule="atLeast"/>
        <w:rPr>
          <w:rFonts w:ascii="Calibri" w:eastAsia="Calibri" w:hAnsi="Calibri" w:cs="Calibri"/>
          <w:sz w:val="20"/>
          <w:szCs w:val="20"/>
          <w:lang w:val="en-GB" w:eastAsia="en-GB"/>
        </w:rPr>
      </w:pPr>
    </w:p>
    <w:p w14:paraId="2C8A3E82" w14:textId="77777777" w:rsidR="002336EA" w:rsidRPr="002336EA" w:rsidRDefault="002336EA" w:rsidP="002336EA">
      <w:pPr>
        <w:spacing w:after="0" w:line="240" w:lineRule="atLeast"/>
        <w:rPr>
          <w:rFonts w:ascii="Calibri" w:eastAsia="Calibri" w:hAnsi="Calibri" w:cs="Calibri"/>
          <w:bCs/>
          <w:sz w:val="20"/>
          <w:szCs w:val="20"/>
          <w:lang w:val="en-GB" w:eastAsia="en-GB"/>
        </w:rPr>
      </w:pPr>
      <w:r w:rsidRPr="002336EA">
        <w:rPr>
          <w:rFonts w:ascii="Calibri" w:eastAsia="Calibri" w:hAnsi="Calibri" w:cs="Calibri"/>
          <w:sz w:val="20"/>
          <w:szCs w:val="20"/>
          <w:lang w:val="en-GB" w:eastAsia="en-GB"/>
        </w:rPr>
        <w:lastRenderedPageBreak/>
        <w:t>The ToR is a key contract document to assess the performance of contractors, consultants and/or other stakeholders.</w:t>
      </w:r>
    </w:p>
    <w:p w14:paraId="4E8CD9DE" w14:textId="77777777" w:rsidR="002336EA" w:rsidRPr="002336EA" w:rsidRDefault="002336EA" w:rsidP="002336EA">
      <w:pPr>
        <w:spacing w:after="0" w:line="280" w:lineRule="atLeast"/>
        <w:rPr>
          <w:rFonts w:ascii="Calibri" w:eastAsia="Times New Roman" w:hAnsi="Calibri" w:cs="Calibri"/>
          <w:sz w:val="20"/>
          <w:szCs w:val="20"/>
          <w:lang w:val="en-GB" w:eastAsia="nl-NL"/>
        </w:rPr>
      </w:pPr>
    </w:p>
    <w:p w14:paraId="0C8EEEEC" w14:textId="77777777" w:rsidR="002336EA" w:rsidRPr="002336EA" w:rsidRDefault="002336EA" w:rsidP="002336EA">
      <w:pPr>
        <w:spacing w:after="0" w:line="240" w:lineRule="atLeast"/>
        <w:rPr>
          <w:rFonts w:ascii="Calibri" w:eastAsia="Calibri" w:hAnsi="Calibri" w:cs="Calibri"/>
          <w:sz w:val="20"/>
          <w:szCs w:val="20"/>
          <w:lang w:val="en-GB" w:eastAsia="en-GB"/>
        </w:rPr>
      </w:pPr>
      <w:r w:rsidRPr="002336EA">
        <w:rPr>
          <w:rFonts w:ascii="Calibri" w:eastAsia="Calibri" w:hAnsi="Calibri" w:cs="Calibri"/>
          <w:sz w:val="20"/>
          <w:szCs w:val="20"/>
          <w:lang w:val="en-GB" w:eastAsia="en-GB"/>
        </w:rPr>
        <w:t>The current document marks the effective beginning of cooperation between the Netherlands Enterprise Agency (RVO.nl) and the Ministry of the Living Environment and Sustainable Development of the Republic of Benin (MCVDD) on how to manage the current degradation of water quality in the Ouémé and So River Delta, to improve socio-economic potential (fishing, tourism, lagoon transport, other  functions of the water system, etc.) and to increase the resilience of residents to seasonal flooding. The document, signed by both parties, reflects the intentions and activities proposed by the two partners for the implementation of the preparatory studies for the implementation of the project "Development and rehabilitation of Lake Nokoué and the Lagoon of Porto-Novo". The documents are attached to the Grant Agreement signed by RVO.nl and the Ministry of Economy and Finance of the Republic of Benin, under the D2B Programme. This agreement allows the full financing of the studies of the development phase, taking into account the processes in progress as well as the elements already available on the problem of Lake Nokoué and the Porto-Novo Lagoon.</w:t>
      </w:r>
    </w:p>
    <w:p w14:paraId="62707BF8" w14:textId="77777777" w:rsidR="002336EA" w:rsidRPr="002336EA" w:rsidRDefault="002336EA" w:rsidP="002336EA">
      <w:pPr>
        <w:spacing w:after="0" w:line="240" w:lineRule="atLeast"/>
        <w:rPr>
          <w:rFonts w:ascii="Calibri" w:eastAsia="Calibri" w:hAnsi="Calibri" w:cs="Calibri"/>
          <w:sz w:val="20"/>
          <w:szCs w:val="20"/>
          <w:lang w:val="en-GB" w:eastAsia="en-GB"/>
        </w:rPr>
      </w:pPr>
    </w:p>
    <w:p w14:paraId="1050C7B1" w14:textId="77777777" w:rsidR="002336EA" w:rsidRPr="002336EA" w:rsidRDefault="002336EA" w:rsidP="002336EA">
      <w:pPr>
        <w:spacing w:after="0" w:line="240" w:lineRule="atLeast"/>
        <w:rPr>
          <w:rFonts w:ascii="Calibri" w:eastAsia="Calibri" w:hAnsi="Calibri" w:cs="Calibri"/>
          <w:sz w:val="20"/>
          <w:szCs w:val="20"/>
          <w:lang w:val="en-GB" w:eastAsia="en-GB"/>
        </w:rPr>
      </w:pPr>
    </w:p>
    <w:p w14:paraId="060988AD" w14:textId="77777777" w:rsidR="002336EA" w:rsidRPr="002336EA" w:rsidRDefault="002336EA" w:rsidP="002336EA">
      <w:pPr>
        <w:spacing w:after="0" w:line="240" w:lineRule="atLeast"/>
        <w:rPr>
          <w:rFonts w:ascii="Calibri" w:eastAsia="Calibri" w:hAnsi="Calibri" w:cs="Calibri"/>
          <w:sz w:val="20"/>
          <w:szCs w:val="20"/>
          <w:lang w:val="en-GB" w:eastAsia="en-GB"/>
        </w:rPr>
      </w:pPr>
    </w:p>
    <w:p w14:paraId="36CD113E" w14:textId="77777777" w:rsidR="002336EA" w:rsidRPr="002336EA" w:rsidRDefault="002336EA" w:rsidP="002336EA">
      <w:pPr>
        <w:spacing w:after="0" w:line="240" w:lineRule="atLeast"/>
        <w:ind w:left="720"/>
        <w:contextualSpacing/>
        <w:rPr>
          <w:rFonts w:ascii="Verdana" w:eastAsia="Times New Roman" w:hAnsi="Verdana" w:cs="Times New Roman"/>
          <w:sz w:val="18"/>
          <w:szCs w:val="24"/>
          <w:lang w:val="en-GB" w:eastAsia="en-GB"/>
        </w:rPr>
      </w:pPr>
      <w:bookmarkStart w:id="1" w:name="_Toc45109388"/>
      <w:r w:rsidRPr="002336EA">
        <w:rPr>
          <w:rFonts w:ascii="Verdana" w:eastAsia="Times New Roman" w:hAnsi="Verdana" w:cs="Times New Roman"/>
          <w:sz w:val="18"/>
          <w:szCs w:val="24"/>
          <w:lang w:val="en-GB" w:eastAsia="en-GB"/>
        </w:rPr>
        <w:t>Background Information</w:t>
      </w:r>
      <w:bookmarkEnd w:id="1"/>
    </w:p>
    <w:p w14:paraId="741B3A6E" w14:textId="77777777" w:rsidR="002336EA" w:rsidRPr="002336EA" w:rsidRDefault="002336EA" w:rsidP="002336EA">
      <w:pPr>
        <w:spacing w:after="0" w:line="240" w:lineRule="atLeast"/>
        <w:ind w:left="720"/>
        <w:contextualSpacing/>
        <w:rPr>
          <w:rFonts w:ascii="Verdana" w:eastAsia="Times New Roman" w:hAnsi="Verdana" w:cs="Calibri"/>
          <w:sz w:val="18"/>
          <w:szCs w:val="24"/>
          <w:lang w:val="en-GB" w:eastAsia="en-GB"/>
        </w:rPr>
      </w:pPr>
      <w:r w:rsidRPr="002336EA">
        <w:rPr>
          <w:rFonts w:ascii="Verdana" w:eastAsia="Times New Roman" w:hAnsi="Verdana" w:cs="Calibri"/>
          <w:sz w:val="18"/>
          <w:szCs w:val="24"/>
          <w:lang w:val="en-GB" w:eastAsia="en-GB"/>
        </w:rPr>
        <w:br/>
      </w:r>
    </w:p>
    <w:p w14:paraId="539D9608" w14:textId="77777777" w:rsidR="002336EA" w:rsidRPr="002336EA" w:rsidRDefault="002336EA" w:rsidP="002336EA">
      <w:pPr>
        <w:spacing w:after="0" w:line="240" w:lineRule="atLeast"/>
        <w:ind w:left="720"/>
        <w:contextualSpacing/>
        <w:rPr>
          <w:rFonts w:ascii="Verdana" w:eastAsia="Times New Roman" w:hAnsi="Verdana" w:cs="Times New Roman"/>
          <w:sz w:val="18"/>
          <w:szCs w:val="24"/>
          <w:lang w:val="en-US" w:eastAsia="en-GB"/>
        </w:rPr>
      </w:pPr>
      <w:bookmarkStart w:id="2" w:name="_Toc45109389"/>
      <w:r w:rsidRPr="002336EA">
        <w:rPr>
          <w:rFonts w:ascii="Verdana" w:eastAsia="Times New Roman" w:hAnsi="Verdana" w:cs="Times New Roman"/>
          <w:sz w:val="18"/>
          <w:szCs w:val="24"/>
          <w:lang w:val="en-US" w:eastAsia="en-GB"/>
        </w:rPr>
        <w:t>Role and function of partner countries in the framework of the convention</w:t>
      </w:r>
      <w:bookmarkEnd w:id="2"/>
    </w:p>
    <w:p w14:paraId="5F918559" w14:textId="77777777" w:rsidR="002336EA" w:rsidRPr="002336EA" w:rsidRDefault="002336EA" w:rsidP="002336EA">
      <w:pPr>
        <w:spacing w:after="0" w:line="240" w:lineRule="atLeast"/>
        <w:ind w:left="720"/>
        <w:contextualSpacing/>
        <w:rPr>
          <w:rFonts w:ascii="Verdana" w:eastAsia="Times New Roman" w:hAnsi="Verdana" w:cs="Calibri"/>
          <w:sz w:val="18"/>
          <w:szCs w:val="24"/>
          <w:lang w:val="en-GB" w:eastAsia="en-GB"/>
        </w:rPr>
      </w:pPr>
      <w:r w:rsidRPr="002336EA">
        <w:rPr>
          <w:rFonts w:ascii="Verdana" w:eastAsia="Times New Roman" w:hAnsi="Verdana" w:cs="Calibri"/>
          <w:iCs/>
          <w:sz w:val="18"/>
          <w:szCs w:val="24"/>
          <w:lang w:val="en-GB" w:eastAsia="en-GB"/>
        </w:rPr>
        <w:t xml:space="preserve">       Granting country</w:t>
      </w:r>
    </w:p>
    <w:p w14:paraId="6CB59C5E" w14:textId="77777777" w:rsidR="002336EA" w:rsidRPr="002336EA" w:rsidRDefault="002336EA" w:rsidP="002336EA">
      <w:pPr>
        <w:spacing w:after="0" w:line="240" w:lineRule="atLeast"/>
        <w:ind w:left="720"/>
        <w:contextualSpacing/>
        <w:rPr>
          <w:rFonts w:ascii="Verdana" w:eastAsia="Times New Roman" w:hAnsi="Verdana" w:cs="Calibri"/>
          <w:sz w:val="18"/>
          <w:szCs w:val="24"/>
          <w:lang w:val="en-GB" w:eastAsia="en-GB"/>
        </w:rPr>
      </w:pPr>
      <w:r w:rsidRPr="002336EA">
        <w:rPr>
          <w:rFonts w:ascii="Verdana" w:eastAsia="Times New Roman" w:hAnsi="Verdana" w:cs="Calibri"/>
          <w:iCs/>
          <w:sz w:val="18"/>
          <w:szCs w:val="24"/>
          <w:lang w:val="en-GB" w:eastAsia="en-GB"/>
        </w:rPr>
        <w:t xml:space="preserve">       </w:t>
      </w:r>
      <w:r w:rsidRPr="002336EA">
        <w:rPr>
          <w:rFonts w:ascii="Verdana" w:eastAsia="Times New Roman" w:hAnsi="Verdana" w:cs="Calibri"/>
          <w:sz w:val="18"/>
          <w:szCs w:val="24"/>
          <w:lang w:val="en-GB" w:eastAsia="en-GB"/>
        </w:rPr>
        <w:t>The Netherlands</w:t>
      </w:r>
    </w:p>
    <w:p w14:paraId="0E3CB7B7" w14:textId="77777777" w:rsidR="002336EA" w:rsidRPr="002336EA" w:rsidRDefault="002336EA" w:rsidP="002336EA">
      <w:pPr>
        <w:spacing w:after="0" w:line="240" w:lineRule="atLeast"/>
        <w:ind w:left="720"/>
        <w:contextualSpacing/>
        <w:rPr>
          <w:rFonts w:ascii="Verdana" w:eastAsia="Times New Roman" w:hAnsi="Verdana" w:cs="Calibri"/>
          <w:sz w:val="18"/>
          <w:szCs w:val="24"/>
          <w:lang w:val="en-GB" w:eastAsia="en-GB"/>
        </w:rPr>
      </w:pPr>
      <w:r w:rsidRPr="002336EA">
        <w:rPr>
          <w:rFonts w:ascii="Verdana" w:eastAsia="Times New Roman" w:hAnsi="Verdana" w:cs="Calibri"/>
          <w:iCs/>
          <w:sz w:val="18"/>
          <w:szCs w:val="24"/>
          <w:lang w:val="en-GB" w:eastAsia="en-GB"/>
        </w:rPr>
        <w:t xml:space="preserve">       Beneficiary country</w:t>
      </w:r>
    </w:p>
    <w:p w14:paraId="4A609ACE" w14:textId="77777777" w:rsidR="002336EA" w:rsidRPr="002336EA" w:rsidRDefault="002336EA" w:rsidP="002336EA">
      <w:pPr>
        <w:spacing w:after="0" w:line="240" w:lineRule="atLeast"/>
        <w:ind w:left="720"/>
        <w:contextualSpacing/>
        <w:rPr>
          <w:rFonts w:ascii="Verdana" w:eastAsia="Times New Roman" w:hAnsi="Verdana" w:cs="Calibri"/>
          <w:sz w:val="18"/>
          <w:szCs w:val="24"/>
          <w:lang w:val="en-GB" w:eastAsia="en-GB"/>
        </w:rPr>
      </w:pPr>
      <w:r w:rsidRPr="002336EA">
        <w:rPr>
          <w:rFonts w:ascii="Verdana" w:eastAsia="Times New Roman" w:hAnsi="Verdana" w:cs="Calibri"/>
          <w:sz w:val="18"/>
          <w:szCs w:val="24"/>
          <w:lang w:val="en-GB" w:eastAsia="en-GB"/>
        </w:rPr>
        <w:t xml:space="preserve">       Benin</w:t>
      </w:r>
    </w:p>
    <w:p w14:paraId="771FBAEE" w14:textId="77777777" w:rsidR="002336EA" w:rsidRPr="002336EA" w:rsidRDefault="002336EA" w:rsidP="002336EA">
      <w:pPr>
        <w:spacing w:after="0" w:line="240" w:lineRule="atLeast"/>
        <w:ind w:left="720"/>
        <w:contextualSpacing/>
        <w:rPr>
          <w:rFonts w:ascii="Verdana" w:eastAsia="Times New Roman" w:hAnsi="Verdana" w:cs="Calibri"/>
          <w:sz w:val="18"/>
          <w:szCs w:val="24"/>
          <w:lang w:val="en-GB" w:eastAsia="en-GB"/>
        </w:rPr>
      </w:pPr>
    </w:p>
    <w:p w14:paraId="17534475" w14:textId="77777777" w:rsidR="002336EA" w:rsidRPr="002336EA" w:rsidRDefault="002336EA" w:rsidP="002336EA">
      <w:pPr>
        <w:spacing w:after="0" w:line="240" w:lineRule="atLeast"/>
        <w:ind w:left="720"/>
        <w:contextualSpacing/>
        <w:rPr>
          <w:rFonts w:ascii="Verdana" w:eastAsia="Times New Roman" w:hAnsi="Verdana" w:cs="Times New Roman"/>
          <w:sz w:val="18"/>
          <w:szCs w:val="24"/>
          <w:lang w:val="en-US" w:eastAsia="en-GB"/>
        </w:rPr>
      </w:pPr>
      <w:bookmarkStart w:id="3" w:name="_Toc45109390"/>
      <w:r w:rsidRPr="002336EA">
        <w:rPr>
          <w:rFonts w:ascii="Verdana" w:eastAsia="Times New Roman" w:hAnsi="Verdana" w:cs="Times New Roman"/>
          <w:sz w:val="18"/>
          <w:szCs w:val="24"/>
          <w:lang w:val="en-US" w:eastAsia="en-GB"/>
        </w:rPr>
        <w:t>Contracting authority</w:t>
      </w:r>
      <w:bookmarkEnd w:id="3"/>
    </w:p>
    <w:p w14:paraId="70760A0D" w14:textId="77777777" w:rsidR="002336EA" w:rsidRPr="002336EA" w:rsidRDefault="002336EA" w:rsidP="002336EA">
      <w:pPr>
        <w:spacing w:after="0" w:line="240" w:lineRule="atLeast"/>
        <w:ind w:left="720"/>
        <w:contextualSpacing/>
        <w:rPr>
          <w:rFonts w:ascii="Verdana" w:eastAsia="Times New Roman" w:hAnsi="Verdana" w:cs="Calibri"/>
          <w:sz w:val="18"/>
          <w:szCs w:val="24"/>
          <w:lang w:val="en-GB" w:eastAsia="en-GB"/>
        </w:rPr>
      </w:pPr>
      <w:r w:rsidRPr="002336EA">
        <w:rPr>
          <w:rFonts w:ascii="Verdana" w:eastAsia="Times New Roman" w:hAnsi="Verdana" w:cs="Calibri"/>
          <w:sz w:val="18"/>
          <w:szCs w:val="24"/>
          <w:lang w:val="en-GB" w:eastAsia="en-GB"/>
        </w:rPr>
        <w:t>The Netherlands Ministry of Foreign Trade and Development Cooperation, through the director of the Dutch Enterprise Agency (RVO)</w:t>
      </w:r>
    </w:p>
    <w:p w14:paraId="7B6C94D9" w14:textId="77777777" w:rsidR="002336EA" w:rsidRPr="002336EA" w:rsidRDefault="002336EA" w:rsidP="002336EA">
      <w:pPr>
        <w:spacing w:after="0" w:line="240" w:lineRule="atLeast"/>
        <w:ind w:left="720"/>
        <w:contextualSpacing/>
        <w:rPr>
          <w:rFonts w:ascii="Verdana" w:eastAsia="Times New Roman" w:hAnsi="Verdana" w:cs="Calibri"/>
          <w:sz w:val="18"/>
          <w:szCs w:val="24"/>
          <w:lang w:val="en-GB" w:eastAsia="en-GB"/>
        </w:rPr>
      </w:pPr>
      <w:r w:rsidRPr="002336EA">
        <w:rPr>
          <w:rFonts w:ascii="Verdana" w:eastAsia="Times New Roman" w:hAnsi="Verdana" w:cs="Calibri"/>
          <w:sz w:val="18"/>
          <w:szCs w:val="24"/>
          <w:lang w:val="en-GB" w:eastAsia="en-GB"/>
        </w:rPr>
        <w:br/>
        <w:t>and, on the basis of a grant agreement operating in close cooperation with the Ministry of the Living Environment and Sustainable Development (MCVDD) through the General Directorate of Environment and Climate (DGEC) and the Agency for the Integrated Development of the Economic Zone of Lake Ahémé and its Channels (ADELAC)</w:t>
      </w:r>
    </w:p>
    <w:p w14:paraId="0F973A0D" w14:textId="77777777" w:rsidR="002336EA" w:rsidRPr="002336EA" w:rsidRDefault="002336EA" w:rsidP="002336EA">
      <w:pPr>
        <w:spacing w:after="0" w:line="240" w:lineRule="atLeast"/>
        <w:ind w:left="720"/>
        <w:contextualSpacing/>
        <w:rPr>
          <w:rFonts w:ascii="Verdana" w:eastAsia="Times New Roman" w:hAnsi="Verdana" w:cs="Calibri"/>
          <w:sz w:val="18"/>
          <w:szCs w:val="24"/>
          <w:lang w:val="en-GB" w:eastAsia="en-GB"/>
        </w:rPr>
      </w:pPr>
    </w:p>
    <w:p w14:paraId="379AC9E2" w14:textId="77777777" w:rsidR="002336EA" w:rsidRPr="002336EA" w:rsidRDefault="002336EA" w:rsidP="002336EA">
      <w:pPr>
        <w:spacing w:after="0" w:line="240" w:lineRule="atLeast"/>
        <w:ind w:left="720"/>
        <w:contextualSpacing/>
        <w:rPr>
          <w:rFonts w:ascii="Verdana" w:eastAsia="Times New Roman" w:hAnsi="Verdana" w:cs="Times New Roman"/>
          <w:sz w:val="18"/>
          <w:szCs w:val="24"/>
          <w:lang w:val="en-US" w:eastAsia="en-GB"/>
        </w:rPr>
      </w:pPr>
      <w:bookmarkStart w:id="4" w:name="_Toc45109391"/>
      <w:r w:rsidRPr="002336EA">
        <w:rPr>
          <w:rFonts w:ascii="Verdana" w:eastAsia="Times New Roman" w:hAnsi="Verdana" w:cs="Times New Roman"/>
          <w:sz w:val="18"/>
          <w:szCs w:val="24"/>
          <w:lang w:val="en-US" w:eastAsia="en-GB"/>
        </w:rPr>
        <w:t>General context of the project</w:t>
      </w:r>
      <w:bookmarkEnd w:id="4"/>
    </w:p>
    <w:p w14:paraId="483FAFAE" w14:textId="77777777" w:rsidR="002336EA" w:rsidRPr="002336EA" w:rsidRDefault="002336EA" w:rsidP="002336EA">
      <w:pPr>
        <w:spacing w:after="0" w:line="240" w:lineRule="atLeast"/>
        <w:ind w:left="720"/>
        <w:contextualSpacing/>
        <w:rPr>
          <w:rFonts w:ascii="Verdana" w:eastAsia="Times New Roman" w:hAnsi="Verdana" w:cs="Calibri"/>
          <w:sz w:val="18"/>
          <w:szCs w:val="24"/>
          <w:lang w:val="en-GB" w:eastAsia="en-GB"/>
        </w:rPr>
      </w:pPr>
      <w:r w:rsidRPr="002336EA">
        <w:rPr>
          <w:rFonts w:ascii="Verdana" w:eastAsia="Times New Roman" w:hAnsi="Verdana" w:cs="Calibri"/>
          <w:sz w:val="18"/>
          <w:szCs w:val="24"/>
          <w:lang w:val="en-GB" w:eastAsia="en-GB"/>
        </w:rPr>
        <w:t>The project provides answers to the serious degradation of Lake Nokoué and the Porto-Novo Lagoon, a Ramsar 1018 site located in the middle of the most densely urbanized area in the country. The project's area of influence is located in the region of the Ouémé and So rivers delta and covers the municipalities of Cotonou, So-Ava, Abomey-Calavi, Porto-Novo, Sèmè-Podji and Aguégués. It is served by Lake Nokoué (150 km2), the Porto-Novo Lagoon (35 km2) and the Cotonou channel. It is home to an estimated population of three million and contributes nearly 60% to the GDP of the urban setting in Benin. This urban area therefore constitutes the economic center of Benin. The sustainability of this region is essential for the socio-economic development of the country. The population living in the perimeter of Lake Nokoué and its surroundings and who earn their living more or less directly from the exploitation of this lake is estimated at more than 100,000 inhabitants.</w:t>
      </w:r>
    </w:p>
    <w:p w14:paraId="4E43721D" w14:textId="77777777" w:rsidR="002336EA" w:rsidRPr="002336EA" w:rsidRDefault="002336EA" w:rsidP="002336EA">
      <w:pPr>
        <w:spacing w:after="0" w:line="240" w:lineRule="atLeast"/>
        <w:ind w:left="720"/>
        <w:contextualSpacing/>
        <w:rPr>
          <w:rFonts w:ascii="Verdana" w:eastAsia="Times New Roman" w:hAnsi="Verdana" w:cs="Calibri"/>
          <w:sz w:val="18"/>
          <w:szCs w:val="24"/>
          <w:lang w:val="en-GB" w:eastAsia="en-GB"/>
        </w:rPr>
      </w:pPr>
    </w:p>
    <w:p w14:paraId="0C7D9C74" w14:textId="77777777" w:rsidR="002336EA" w:rsidRPr="002336EA" w:rsidRDefault="002336EA" w:rsidP="002336EA">
      <w:pPr>
        <w:spacing w:after="0" w:line="240" w:lineRule="atLeast"/>
        <w:ind w:left="720"/>
        <w:contextualSpacing/>
        <w:rPr>
          <w:rFonts w:ascii="Verdana" w:eastAsia="Times New Roman" w:hAnsi="Verdana" w:cs="Calibri"/>
          <w:sz w:val="18"/>
          <w:szCs w:val="24"/>
          <w:lang w:val="en-GB" w:eastAsia="en-GB"/>
        </w:rPr>
      </w:pPr>
      <w:r w:rsidRPr="002336EA">
        <w:rPr>
          <w:rFonts w:ascii="Verdana" w:eastAsia="Times New Roman" w:hAnsi="Verdana" w:cs="Calibri"/>
          <w:sz w:val="18"/>
          <w:szCs w:val="24"/>
          <w:lang w:val="en-GB" w:eastAsia="en-GB"/>
        </w:rPr>
        <w:t xml:space="preserve">The agglomeration's lagoon network is developed on a complex made up of Lake Nokoué, the Cotonou Channel and the Porto-Novo Lagoon. With a depth of between 0.4 and 3.4 meters, Lake Nokoué, which extends over an average length of 20 km in its east-west direction and a width of 11 km in its north-south direction, is linked to the Atlantic Ocean by the 4.5 km long Cotonou channel with a width of around 300 meters. As for the Porto-Novo Lagoon, it communicates to the West with Lake Nokoué via the Totchè canal, 5 km long and about 200 to 300 meters wide and to the East with the Lagoon of Lagos (Nigeria) by a natural canal almost 100 km long and 20 to 50 meters wide. This channel serves as a </w:t>
      </w:r>
      <w:r w:rsidRPr="002336EA">
        <w:rPr>
          <w:rFonts w:ascii="Verdana" w:eastAsia="Times New Roman" w:hAnsi="Verdana" w:cs="Calibri"/>
          <w:sz w:val="18"/>
          <w:szCs w:val="24"/>
          <w:lang w:val="en-GB" w:eastAsia="en-GB"/>
        </w:rPr>
        <w:lastRenderedPageBreak/>
        <w:t>connection link over water between several Nigerian and Beninese markets, particularly in terms of cross-border smuggling of petroleum and miscellaneous products.</w:t>
      </w:r>
    </w:p>
    <w:p w14:paraId="49E7C06B" w14:textId="77777777" w:rsidR="002336EA" w:rsidRPr="002336EA" w:rsidRDefault="002336EA" w:rsidP="002336EA">
      <w:pPr>
        <w:spacing w:after="0" w:line="240" w:lineRule="atLeast"/>
        <w:ind w:left="720"/>
        <w:contextualSpacing/>
        <w:rPr>
          <w:rFonts w:ascii="Verdana" w:eastAsia="Times New Roman" w:hAnsi="Verdana" w:cs="Calibri"/>
          <w:sz w:val="18"/>
          <w:szCs w:val="24"/>
          <w:lang w:val="en-GB" w:eastAsia="en-GB"/>
        </w:rPr>
      </w:pPr>
    </w:p>
    <w:p w14:paraId="5ACD9E23" w14:textId="77777777" w:rsidR="002336EA" w:rsidRPr="002336EA" w:rsidRDefault="002336EA" w:rsidP="002336EA">
      <w:pPr>
        <w:spacing w:after="0" w:line="240" w:lineRule="atLeast"/>
        <w:ind w:left="720"/>
        <w:contextualSpacing/>
        <w:rPr>
          <w:rFonts w:ascii="Verdana" w:eastAsia="Times New Roman" w:hAnsi="Verdana" w:cs="Calibri"/>
          <w:sz w:val="18"/>
          <w:szCs w:val="24"/>
          <w:lang w:val="en-GB" w:eastAsia="en-GB"/>
        </w:rPr>
      </w:pPr>
      <w:r w:rsidRPr="002336EA">
        <w:rPr>
          <w:rFonts w:ascii="Verdana" w:eastAsia="Times New Roman" w:hAnsi="Verdana" w:cs="Calibri"/>
          <w:sz w:val="18"/>
          <w:szCs w:val="24"/>
          <w:lang w:val="en-GB" w:eastAsia="en-GB"/>
        </w:rPr>
        <w:t>Historically, people living around the lagoon (farmers, fishermen, sand operators, traders, etc.) have always used inland waterways to move and commercialize their products. This tradition, which continues to this day, allows people in the wetlands to move and sell their food and fishing products to markets located in urban centres, using canoes and motorized or human-powered boats. Fishing activities and the harvesting of other natural resources, in particular crabs, oysters, reeds and mangroves, freshwater hyacinth and other products whose good production depends on the balance of the ecosystem, constitute one of the main sources of life for the inhabitants of the lagoon. At the same time, floods north of the lake during the rainy season, cause seasonal migration of the populations of Sô-Ava and Aguégués to Cotonou. These floods make fishing and farming temporarily impossible, and in order to generate sufficient income, people are displaced during this period. These issues naturally pose considerable challenges in terms of spatial planning, housing and employment.</w:t>
      </w:r>
    </w:p>
    <w:p w14:paraId="1D3899AE" w14:textId="77777777" w:rsidR="002336EA" w:rsidRPr="002336EA" w:rsidRDefault="002336EA" w:rsidP="002336EA">
      <w:pPr>
        <w:spacing w:after="0" w:line="240" w:lineRule="atLeast"/>
        <w:ind w:left="720"/>
        <w:contextualSpacing/>
        <w:rPr>
          <w:rFonts w:ascii="Verdana" w:eastAsia="Times New Roman" w:hAnsi="Verdana" w:cs="Calibri"/>
          <w:sz w:val="18"/>
          <w:szCs w:val="24"/>
          <w:lang w:val="en-GB" w:eastAsia="en-GB"/>
        </w:rPr>
      </w:pPr>
      <w:r w:rsidRPr="002336EA">
        <w:rPr>
          <w:rFonts w:ascii="Verdana" w:eastAsia="Times New Roman" w:hAnsi="Verdana" w:cs="Calibri"/>
          <w:sz w:val="18"/>
          <w:szCs w:val="24"/>
          <w:lang w:val="en-GB" w:eastAsia="en-GB"/>
        </w:rPr>
        <w:t>Administrative map of the project area (IGN 2014)</w:t>
      </w:r>
    </w:p>
    <w:p w14:paraId="1F6C7072" w14:textId="77777777" w:rsidR="002336EA" w:rsidRPr="002336EA" w:rsidRDefault="002336EA" w:rsidP="002336EA">
      <w:pPr>
        <w:spacing w:after="0" w:line="240" w:lineRule="atLeast"/>
        <w:ind w:left="720"/>
        <w:contextualSpacing/>
        <w:rPr>
          <w:rFonts w:ascii="Verdana" w:eastAsia="Times New Roman" w:hAnsi="Verdana" w:cs="Calibri"/>
          <w:sz w:val="18"/>
          <w:szCs w:val="24"/>
          <w:lang w:val="en-GB" w:eastAsia="en-GB"/>
        </w:rPr>
      </w:pPr>
    </w:p>
    <w:p w14:paraId="1E227CCA" w14:textId="77777777" w:rsidR="002336EA" w:rsidRPr="002336EA" w:rsidRDefault="002336EA" w:rsidP="002336EA">
      <w:pPr>
        <w:spacing w:after="0" w:line="240" w:lineRule="atLeast"/>
        <w:ind w:left="720"/>
        <w:contextualSpacing/>
        <w:rPr>
          <w:rFonts w:ascii="Verdana" w:eastAsia="Times New Roman" w:hAnsi="Verdana" w:cs="Calibri"/>
          <w:sz w:val="18"/>
          <w:szCs w:val="24"/>
          <w:lang w:val="en-GB" w:eastAsia="en-GB"/>
        </w:rPr>
      </w:pPr>
      <w:r w:rsidRPr="002336EA">
        <w:rPr>
          <w:rFonts w:ascii="Verdana" w:eastAsia="Times New Roman" w:hAnsi="Verdana" w:cs="Calibri"/>
          <w:sz w:val="18"/>
          <w:szCs w:val="24"/>
          <w:lang w:val="en-GB" w:eastAsia="en-GB"/>
        </w:rPr>
        <w:t xml:space="preserve">Urban infrastructure, in a situation of rapid growth around the lagoon, with the port of Cotonou as the main driver of its economy, suffers from significant and continuous road congestion (very low connection capacity between the port and the inland infrastructure), poor equipment and capacity to collect and process solid waste and faecal sludge (no existing sewer system); an insufficient rainwater drainage system clogged with solid waste in places, which causes serious drainage problems during the flooding season. In addition, </w:t>
      </w:r>
      <w:r w:rsidRPr="002336EA">
        <w:rPr>
          <w:rFonts w:ascii="Verdana" w:eastAsia="Times New Roman" w:hAnsi="Verdana" w:cs="Calibri"/>
          <w:sz w:val="18"/>
          <w:szCs w:val="24"/>
          <w:highlight w:val="yellow"/>
          <w:lang w:val="en-GB" w:eastAsia="en-GB"/>
        </w:rPr>
        <w:t>the international airport is located</w:t>
      </w:r>
      <w:r w:rsidRPr="002336EA">
        <w:rPr>
          <w:rFonts w:ascii="Verdana" w:eastAsia="Times New Roman" w:hAnsi="Verdana" w:cs="Calibri"/>
          <w:sz w:val="18"/>
          <w:szCs w:val="24"/>
          <w:lang w:val="en-GB" w:eastAsia="en-GB"/>
        </w:rPr>
        <w:t xml:space="preserve"> right next to downtown Cotonou which exacerbates congestion problems.</w:t>
      </w:r>
    </w:p>
    <w:p w14:paraId="2C1A0DC7" w14:textId="77777777" w:rsidR="002336EA" w:rsidRPr="002336EA" w:rsidRDefault="002336EA" w:rsidP="002336EA">
      <w:pPr>
        <w:spacing w:after="0" w:line="240" w:lineRule="atLeast"/>
        <w:ind w:left="720"/>
        <w:contextualSpacing/>
        <w:rPr>
          <w:rFonts w:ascii="Verdana" w:eastAsia="Times New Roman" w:hAnsi="Verdana" w:cs="Calibri"/>
          <w:sz w:val="18"/>
          <w:szCs w:val="24"/>
          <w:lang w:val="en-GB" w:eastAsia="en-GB"/>
        </w:rPr>
      </w:pPr>
      <w:r w:rsidRPr="002336EA">
        <w:rPr>
          <w:rFonts w:ascii="Verdana" w:eastAsia="Times New Roman" w:hAnsi="Verdana" w:cs="Calibri"/>
          <w:sz w:val="18"/>
          <w:szCs w:val="24"/>
          <w:lang w:val="en-GB" w:eastAsia="en-GB"/>
        </w:rPr>
        <w:br/>
      </w:r>
    </w:p>
    <w:p w14:paraId="7E8F4E33" w14:textId="77777777" w:rsidR="002336EA" w:rsidRPr="002336EA" w:rsidRDefault="002336EA" w:rsidP="002336EA">
      <w:pPr>
        <w:spacing w:after="0" w:line="240" w:lineRule="atLeast"/>
        <w:ind w:left="720"/>
        <w:contextualSpacing/>
        <w:rPr>
          <w:rFonts w:ascii="Verdana" w:eastAsia="Times New Roman" w:hAnsi="Verdana" w:cs="Calibri"/>
          <w:sz w:val="18"/>
          <w:szCs w:val="24"/>
          <w:lang w:val="en-GB" w:eastAsia="en-GB"/>
        </w:rPr>
      </w:pPr>
      <w:r w:rsidRPr="002336EA">
        <w:rPr>
          <w:rFonts w:ascii="Verdana" w:eastAsia="Times New Roman" w:hAnsi="Verdana" w:cs="Calibri"/>
          <w:sz w:val="18"/>
          <w:szCs w:val="24"/>
          <w:lang w:val="en-GB" w:eastAsia="en-GB"/>
        </w:rPr>
        <w:t>As part of the PAG (Government Action Program under “Bénin Révélé”; the national development strategy of Benin) several initiatives are initiated to meet these challenges, among others: a waste management program in the Grand Nokoué region (Cotonou , Abomey-Calavi, Ouidah, Seme Podji, Porto-Novo); a rainwater purification / drainage program for the city of Cotonou; the construction of two sewage faecal sludge treatment stations (Abomey-Calavi and Seme Podji); the construction of the northern bypass of the Lagos-Abidjan road axis and other Cotonou road axes; railway rehabilitation; the construction of a new airport in Glo-Djigbé; etc. In accordance with the PAG policy which foresees a significant contribution from the private sector both for its financing and its implementation, the D2B project aims to create the environmental conditions favourable to the development of the region of Lake Nokoué and the Lagoon of Porto- Novo, known as Grand Nokoué. Emphasis is placed on practical interventions (e.g. dredging, increasing the tidal volume, create stable waterways and landing facilities) which directly contribute to the operational quality of the ecosystem of the lake and the lagoon and the feasibility (cost-benefit analysis) of the whole project.</w:t>
      </w:r>
    </w:p>
    <w:p w14:paraId="5AB80299" w14:textId="77777777" w:rsidR="002336EA" w:rsidRPr="002336EA" w:rsidRDefault="002336EA" w:rsidP="002336EA">
      <w:pPr>
        <w:spacing w:after="0" w:line="240" w:lineRule="atLeast"/>
        <w:ind w:left="720"/>
        <w:contextualSpacing/>
        <w:rPr>
          <w:rFonts w:ascii="Verdana" w:eastAsia="Times New Roman" w:hAnsi="Verdana" w:cs="Calibri"/>
          <w:sz w:val="18"/>
          <w:szCs w:val="24"/>
          <w:lang w:val="en-GB" w:eastAsia="en-GB"/>
        </w:rPr>
      </w:pPr>
    </w:p>
    <w:p w14:paraId="60487C06" w14:textId="77777777" w:rsidR="002336EA" w:rsidRPr="002336EA" w:rsidRDefault="002336EA" w:rsidP="002336EA">
      <w:pPr>
        <w:spacing w:after="0" w:line="240" w:lineRule="atLeast"/>
        <w:ind w:left="720"/>
        <w:contextualSpacing/>
        <w:rPr>
          <w:rFonts w:ascii="Verdana" w:eastAsia="Times New Roman" w:hAnsi="Verdana" w:cs="Times New Roman"/>
          <w:sz w:val="18"/>
          <w:szCs w:val="24"/>
          <w:lang w:val="en-US" w:eastAsia="en-GB"/>
        </w:rPr>
      </w:pPr>
      <w:bookmarkStart w:id="5" w:name="_Toc45109392"/>
      <w:r w:rsidRPr="002336EA">
        <w:rPr>
          <w:rFonts w:ascii="Verdana" w:eastAsia="Times New Roman" w:hAnsi="Verdana" w:cs="Times New Roman"/>
          <w:sz w:val="18"/>
          <w:szCs w:val="24"/>
          <w:lang w:val="en-US" w:eastAsia="en-GB"/>
        </w:rPr>
        <w:t>Aligning the project with the Government Action Program (PAG)</w:t>
      </w:r>
      <w:bookmarkEnd w:id="5"/>
    </w:p>
    <w:p w14:paraId="57CAE737" w14:textId="77777777" w:rsidR="002336EA" w:rsidRPr="002336EA" w:rsidRDefault="002336EA" w:rsidP="002336EA">
      <w:pPr>
        <w:spacing w:after="0" w:line="240" w:lineRule="atLeast"/>
        <w:ind w:left="720"/>
        <w:contextualSpacing/>
        <w:rPr>
          <w:rFonts w:ascii="Verdana" w:eastAsia="Times New Roman" w:hAnsi="Verdana" w:cs="Calibri"/>
          <w:sz w:val="18"/>
          <w:szCs w:val="24"/>
          <w:lang w:val="en-GB" w:eastAsia="en-GB"/>
        </w:rPr>
      </w:pPr>
      <w:r w:rsidRPr="002336EA">
        <w:rPr>
          <w:rFonts w:ascii="Verdana" w:eastAsia="Times New Roman" w:hAnsi="Verdana" w:cs="Calibri"/>
          <w:sz w:val="18"/>
          <w:szCs w:val="24"/>
          <w:lang w:val="en-GB" w:eastAsia="en-GB"/>
        </w:rPr>
        <w:t>Benin in West Africa is bordered by Togo to the west, Nigeria to the east, Burkina Faso and Niger to the north and the Atlantic Ocean to the south. Its population is estimated at around 11 million inhabitants (2016). Benin, a model of political stability in its region, has recently implemented major economic and structural reforms. Indeed, Benin adopted in December 2016, the Government Action Program (PAG 2016-2021) structured around 45 flagship and priority projects. This program, essentially an investment for development portfolio, aims to seize opportunities with the support of the private sector and technical and financial partners to ensure better conditions for financing projects. This PAG pays particular attention to the development of the water bodies, in particular those near Cotonou as well as to the banks of the Porto-Novo lagoon and riverbanks upstream in its "Living Environment" component.</w:t>
      </w:r>
    </w:p>
    <w:p w14:paraId="1E151E8C" w14:textId="77777777" w:rsidR="002336EA" w:rsidRPr="002336EA" w:rsidRDefault="002336EA" w:rsidP="002336EA">
      <w:pPr>
        <w:spacing w:after="0" w:line="240" w:lineRule="atLeast"/>
        <w:ind w:left="720"/>
        <w:contextualSpacing/>
        <w:rPr>
          <w:rFonts w:ascii="Verdana" w:eastAsia="Times New Roman" w:hAnsi="Verdana" w:cs="Calibri"/>
          <w:sz w:val="18"/>
          <w:szCs w:val="24"/>
          <w:lang w:val="en-GB" w:eastAsia="en-GB"/>
        </w:rPr>
      </w:pPr>
    </w:p>
    <w:p w14:paraId="2B41941D" w14:textId="77777777" w:rsidR="002336EA" w:rsidRPr="002336EA" w:rsidRDefault="002336EA" w:rsidP="002336EA">
      <w:pPr>
        <w:spacing w:after="0" w:line="240" w:lineRule="atLeast"/>
        <w:ind w:left="720"/>
        <w:contextualSpacing/>
        <w:rPr>
          <w:rFonts w:ascii="Verdana" w:eastAsia="Times New Roman" w:hAnsi="Verdana" w:cs="Calibri"/>
          <w:sz w:val="18"/>
          <w:szCs w:val="24"/>
          <w:lang w:val="en-GB" w:eastAsia="en-GB"/>
        </w:rPr>
      </w:pPr>
      <w:r w:rsidRPr="002336EA">
        <w:rPr>
          <w:rFonts w:ascii="Verdana" w:eastAsia="Times New Roman" w:hAnsi="Verdana" w:cs="Calibri"/>
          <w:sz w:val="18"/>
          <w:szCs w:val="24"/>
          <w:lang w:val="en-GB" w:eastAsia="en-GB"/>
        </w:rPr>
        <w:t xml:space="preserve">  </w:t>
      </w:r>
    </w:p>
    <w:p w14:paraId="0DDBD94E" w14:textId="77777777" w:rsidR="002336EA" w:rsidRPr="002336EA" w:rsidRDefault="002336EA" w:rsidP="002336EA">
      <w:pPr>
        <w:spacing w:after="0" w:line="240" w:lineRule="atLeast"/>
        <w:ind w:left="720"/>
        <w:contextualSpacing/>
        <w:rPr>
          <w:rFonts w:ascii="Verdana" w:eastAsia="Times New Roman" w:hAnsi="Verdana" w:cs="Calibri"/>
          <w:sz w:val="18"/>
          <w:szCs w:val="24"/>
          <w:lang w:val="en-GB" w:eastAsia="en-GB"/>
        </w:rPr>
      </w:pPr>
    </w:p>
    <w:p w14:paraId="462C44BA" w14:textId="77777777" w:rsidR="002336EA" w:rsidRPr="002336EA" w:rsidRDefault="002336EA" w:rsidP="002336EA">
      <w:pPr>
        <w:spacing w:after="0" w:line="240" w:lineRule="atLeast"/>
        <w:ind w:left="720"/>
        <w:contextualSpacing/>
        <w:rPr>
          <w:rFonts w:ascii="Verdana" w:eastAsia="Times New Roman" w:hAnsi="Verdana" w:cs="Calibri"/>
          <w:sz w:val="18"/>
          <w:szCs w:val="24"/>
          <w:lang w:val="en-GB" w:eastAsia="en-GB"/>
        </w:rPr>
      </w:pPr>
    </w:p>
    <w:p w14:paraId="2B5560AC" w14:textId="77777777" w:rsidR="002336EA" w:rsidRPr="002336EA" w:rsidRDefault="002336EA" w:rsidP="002336EA">
      <w:pPr>
        <w:spacing w:after="0" w:line="240" w:lineRule="atLeast"/>
        <w:ind w:left="720"/>
        <w:contextualSpacing/>
        <w:rPr>
          <w:rFonts w:ascii="Verdana" w:eastAsia="Times New Roman" w:hAnsi="Verdana" w:cs="Calibri"/>
          <w:sz w:val="18"/>
          <w:szCs w:val="24"/>
          <w:lang w:val="en-GB" w:eastAsia="en-GB"/>
        </w:rPr>
      </w:pPr>
      <w:r w:rsidRPr="002336EA">
        <w:rPr>
          <w:rFonts w:ascii="Verdana" w:eastAsia="Times New Roman" w:hAnsi="Verdana" w:cs="Calibri"/>
          <w:sz w:val="18"/>
          <w:szCs w:val="24"/>
          <w:lang w:val="en-GB" w:eastAsia="en-GB"/>
        </w:rPr>
        <w:t>Map of Benin in the West Africa region</w:t>
      </w:r>
    </w:p>
    <w:p w14:paraId="056A7CCE" w14:textId="77777777" w:rsidR="002336EA" w:rsidRPr="002336EA" w:rsidRDefault="002336EA" w:rsidP="002336EA">
      <w:pPr>
        <w:spacing w:after="0" w:line="240" w:lineRule="atLeast"/>
        <w:ind w:left="720"/>
        <w:contextualSpacing/>
        <w:rPr>
          <w:rFonts w:ascii="Verdana" w:eastAsia="Times New Roman" w:hAnsi="Verdana" w:cs="Calibri"/>
          <w:sz w:val="18"/>
          <w:szCs w:val="24"/>
          <w:lang w:val="en-GB" w:eastAsia="en-GB"/>
        </w:rPr>
      </w:pPr>
    </w:p>
    <w:p w14:paraId="6142A7E7" w14:textId="77777777" w:rsidR="002336EA" w:rsidRPr="002336EA" w:rsidRDefault="002336EA" w:rsidP="002336EA">
      <w:pPr>
        <w:spacing w:after="0" w:line="240" w:lineRule="atLeast"/>
        <w:ind w:left="720"/>
        <w:contextualSpacing/>
        <w:rPr>
          <w:rFonts w:ascii="Verdana" w:eastAsia="Times New Roman" w:hAnsi="Verdana" w:cs="Calibri"/>
          <w:sz w:val="18"/>
          <w:szCs w:val="24"/>
          <w:lang w:val="en-GB" w:eastAsia="en-GB"/>
        </w:rPr>
      </w:pPr>
      <w:r w:rsidRPr="002336EA">
        <w:rPr>
          <w:rFonts w:ascii="Verdana" w:eastAsia="Times New Roman" w:hAnsi="Verdana" w:cs="Calibri"/>
          <w:sz w:val="18"/>
          <w:szCs w:val="24"/>
          <w:lang w:val="en-GB" w:eastAsia="en-GB"/>
        </w:rPr>
        <w:t>Benin’s economy is highly dependent on its informal re-export and transit trade to Nigeria, which accounts for about 20% of its Gross Domestic Product (GDP) and agriculture. The tertiary sector as a whole, accounts for 50% of GDP, while agriculture accounts for around 25% of GDP and 45 to 55% of employment. GDP growth was around 5.6% in 2017 and is expected to reach 6.0% in 2018, thus overcoming the weak growth resulting from lower demand in Nigeria.</w:t>
      </w:r>
    </w:p>
    <w:p w14:paraId="5530242E" w14:textId="77777777" w:rsidR="002336EA" w:rsidRPr="002336EA" w:rsidRDefault="002336EA" w:rsidP="002336EA">
      <w:pPr>
        <w:spacing w:after="0" w:line="240" w:lineRule="atLeast"/>
        <w:ind w:left="720"/>
        <w:contextualSpacing/>
        <w:rPr>
          <w:rFonts w:ascii="Verdana" w:eastAsia="Times New Roman" w:hAnsi="Verdana" w:cs="Calibri"/>
          <w:sz w:val="18"/>
          <w:szCs w:val="24"/>
          <w:lang w:val="en-GB" w:eastAsia="en-GB"/>
        </w:rPr>
      </w:pPr>
    </w:p>
    <w:tbl>
      <w:tblPr>
        <w:tblW w:w="0" w:type="auto"/>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98"/>
        <w:gridCol w:w="1843"/>
      </w:tblGrid>
      <w:tr w:rsidR="002336EA" w:rsidRPr="002336EA" w14:paraId="17D56D3F" w14:textId="77777777" w:rsidTr="00454053">
        <w:tc>
          <w:tcPr>
            <w:tcW w:w="5098" w:type="dxa"/>
            <w:shd w:val="clear" w:color="auto" w:fill="auto"/>
          </w:tcPr>
          <w:p w14:paraId="32E8DBB1" w14:textId="77777777" w:rsidR="002336EA" w:rsidRPr="002336EA" w:rsidRDefault="002336EA" w:rsidP="002336EA">
            <w:pPr>
              <w:spacing w:after="0" w:line="240" w:lineRule="atLeast"/>
              <w:ind w:left="720"/>
              <w:contextualSpacing/>
              <w:rPr>
                <w:rFonts w:ascii="Verdana" w:eastAsia="Times New Roman" w:hAnsi="Verdana" w:cs="Calibri"/>
                <w:sz w:val="18"/>
                <w:szCs w:val="24"/>
                <w:lang w:val="en-GB" w:eastAsia="en-GB"/>
              </w:rPr>
            </w:pPr>
            <w:r w:rsidRPr="002336EA">
              <w:rPr>
                <w:rFonts w:ascii="Verdana" w:eastAsia="Times New Roman" w:hAnsi="Verdana" w:cs="Times New Roman"/>
                <w:sz w:val="18"/>
                <w:szCs w:val="24"/>
                <w:lang w:val="en-GB" w:eastAsia="en-GB"/>
              </w:rPr>
              <w:t xml:space="preserve">Variable </w:t>
            </w:r>
          </w:p>
        </w:tc>
        <w:tc>
          <w:tcPr>
            <w:tcW w:w="1843" w:type="dxa"/>
            <w:shd w:val="clear" w:color="auto" w:fill="auto"/>
          </w:tcPr>
          <w:p w14:paraId="2A40ED1E" w14:textId="77777777" w:rsidR="002336EA" w:rsidRPr="002336EA" w:rsidRDefault="002336EA" w:rsidP="002336EA">
            <w:pPr>
              <w:spacing w:after="0" w:line="240" w:lineRule="atLeast"/>
              <w:ind w:left="720"/>
              <w:contextualSpacing/>
              <w:rPr>
                <w:rFonts w:ascii="Verdana" w:eastAsia="Times New Roman" w:hAnsi="Verdana" w:cs="Calibri"/>
                <w:sz w:val="18"/>
                <w:szCs w:val="24"/>
                <w:lang w:val="en-GB" w:eastAsia="en-GB"/>
              </w:rPr>
            </w:pPr>
            <w:r w:rsidRPr="002336EA">
              <w:rPr>
                <w:rFonts w:ascii="Verdana" w:eastAsia="Times New Roman" w:hAnsi="Verdana" w:cs="Times New Roman"/>
                <w:sz w:val="18"/>
                <w:szCs w:val="24"/>
                <w:lang w:val="en-GB" w:eastAsia="en-GB"/>
              </w:rPr>
              <w:t>Value</w:t>
            </w:r>
          </w:p>
        </w:tc>
      </w:tr>
      <w:tr w:rsidR="002336EA" w:rsidRPr="002336EA" w14:paraId="63185033" w14:textId="77777777" w:rsidTr="00454053">
        <w:tc>
          <w:tcPr>
            <w:tcW w:w="5098" w:type="dxa"/>
            <w:shd w:val="clear" w:color="auto" w:fill="auto"/>
          </w:tcPr>
          <w:p w14:paraId="71CCB917" w14:textId="77777777" w:rsidR="002336EA" w:rsidRPr="002336EA" w:rsidRDefault="002336EA" w:rsidP="002336EA">
            <w:pPr>
              <w:spacing w:after="0" w:line="240" w:lineRule="atLeast"/>
              <w:ind w:left="720"/>
              <w:contextualSpacing/>
              <w:rPr>
                <w:rFonts w:ascii="Verdana" w:eastAsia="Times New Roman" w:hAnsi="Verdana" w:cs="Calibri"/>
                <w:sz w:val="18"/>
                <w:szCs w:val="24"/>
                <w:lang w:val="en-GB" w:eastAsia="en-GB"/>
              </w:rPr>
            </w:pPr>
            <w:r w:rsidRPr="002336EA">
              <w:rPr>
                <w:rFonts w:ascii="Verdana" w:eastAsia="Times New Roman" w:hAnsi="Verdana" w:cs="Times New Roman"/>
                <w:sz w:val="18"/>
                <w:szCs w:val="24"/>
                <w:lang w:val="en-GB" w:eastAsia="en-GB"/>
              </w:rPr>
              <w:t xml:space="preserve">GDP growth (2017) </w:t>
            </w:r>
          </w:p>
        </w:tc>
        <w:tc>
          <w:tcPr>
            <w:tcW w:w="1843" w:type="dxa"/>
            <w:shd w:val="clear" w:color="auto" w:fill="auto"/>
          </w:tcPr>
          <w:p w14:paraId="55E591D4" w14:textId="77777777" w:rsidR="002336EA" w:rsidRPr="002336EA" w:rsidRDefault="002336EA" w:rsidP="002336EA">
            <w:pPr>
              <w:spacing w:after="0" w:line="240" w:lineRule="atLeast"/>
              <w:ind w:left="720"/>
              <w:contextualSpacing/>
              <w:rPr>
                <w:rFonts w:ascii="Verdana" w:eastAsia="Times New Roman" w:hAnsi="Verdana" w:cs="Calibri"/>
                <w:sz w:val="18"/>
                <w:szCs w:val="24"/>
                <w:lang w:val="en-GB" w:eastAsia="en-GB"/>
              </w:rPr>
            </w:pPr>
            <w:r w:rsidRPr="002336EA">
              <w:rPr>
                <w:rFonts w:ascii="Verdana" w:eastAsia="Times New Roman" w:hAnsi="Verdana" w:cs="Times New Roman"/>
                <w:sz w:val="18"/>
                <w:szCs w:val="24"/>
                <w:lang w:val="en-GB" w:eastAsia="en-GB"/>
              </w:rPr>
              <w:t>5.6%</w:t>
            </w:r>
          </w:p>
        </w:tc>
      </w:tr>
      <w:tr w:rsidR="002336EA" w:rsidRPr="002336EA" w14:paraId="49B4FAA3" w14:textId="77777777" w:rsidTr="00454053">
        <w:tc>
          <w:tcPr>
            <w:tcW w:w="5098" w:type="dxa"/>
            <w:shd w:val="clear" w:color="auto" w:fill="auto"/>
          </w:tcPr>
          <w:p w14:paraId="36C99ABB" w14:textId="77777777" w:rsidR="002336EA" w:rsidRPr="002336EA" w:rsidRDefault="002336EA" w:rsidP="002336EA">
            <w:pPr>
              <w:spacing w:after="0" w:line="240" w:lineRule="atLeast"/>
              <w:ind w:left="720"/>
              <w:contextualSpacing/>
              <w:rPr>
                <w:rFonts w:ascii="Verdana" w:eastAsia="Times New Roman" w:hAnsi="Verdana" w:cs="Calibri"/>
                <w:sz w:val="18"/>
                <w:szCs w:val="24"/>
                <w:lang w:val="en-GB" w:eastAsia="en-GB"/>
              </w:rPr>
            </w:pPr>
            <w:r w:rsidRPr="002336EA">
              <w:rPr>
                <w:rFonts w:ascii="Verdana" w:eastAsia="Times New Roman" w:hAnsi="Verdana" w:cs="Times New Roman"/>
                <w:sz w:val="18"/>
                <w:szCs w:val="24"/>
                <w:lang w:val="en-GB" w:eastAsia="en-GB"/>
              </w:rPr>
              <w:t xml:space="preserve">GDP growth (2018) </w:t>
            </w:r>
          </w:p>
        </w:tc>
        <w:tc>
          <w:tcPr>
            <w:tcW w:w="1843" w:type="dxa"/>
            <w:shd w:val="clear" w:color="auto" w:fill="auto"/>
          </w:tcPr>
          <w:p w14:paraId="6F41C87B" w14:textId="77777777" w:rsidR="002336EA" w:rsidRPr="002336EA" w:rsidRDefault="002336EA" w:rsidP="002336EA">
            <w:pPr>
              <w:spacing w:after="0" w:line="240" w:lineRule="atLeast"/>
              <w:ind w:left="720"/>
              <w:contextualSpacing/>
              <w:rPr>
                <w:rFonts w:ascii="Verdana" w:eastAsia="Times New Roman" w:hAnsi="Verdana" w:cs="Calibri"/>
                <w:sz w:val="18"/>
                <w:szCs w:val="24"/>
                <w:lang w:val="en-GB" w:eastAsia="en-GB"/>
              </w:rPr>
            </w:pPr>
            <w:r w:rsidRPr="002336EA">
              <w:rPr>
                <w:rFonts w:ascii="Verdana" w:eastAsia="Times New Roman" w:hAnsi="Verdana" w:cs="Times New Roman"/>
                <w:sz w:val="18"/>
                <w:szCs w:val="24"/>
                <w:lang w:val="en-GB" w:eastAsia="en-GB"/>
              </w:rPr>
              <w:t>6.0%</w:t>
            </w:r>
          </w:p>
        </w:tc>
      </w:tr>
      <w:tr w:rsidR="002336EA" w:rsidRPr="002336EA" w14:paraId="42DBBD5F" w14:textId="77777777" w:rsidTr="00454053">
        <w:tc>
          <w:tcPr>
            <w:tcW w:w="5098" w:type="dxa"/>
            <w:shd w:val="clear" w:color="auto" w:fill="auto"/>
          </w:tcPr>
          <w:p w14:paraId="3F00250B" w14:textId="77777777" w:rsidR="002336EA" w:rsidRPr="002336EA" w:rsidRDefault="002336EA" w:rsidP="002336EA">
            <w:pPr>
              <w:spacing w:after="0" w:line="240" w:lineRule="atLeast"/>
              <w:ind w:left="720"/>
              <w:contextualSpacing/>
              <w:rPr>
                <w:rFonts w:ascii="Verdana" w:eastAsia="Times New Roman" w:hAnsi="Verdana" w:cs="Calibri"/>
                <w:sz w:val="18"/>
                <w:szCs w:val="24"/>
                <w:lang w:val="en-GB" w:eastAsia="en-GB"/>
              </w:rPr>
            </w:pPr>
            <w:r w:rsidRPr="002336EA">
              <w:rPr>
                <w:rFonts w:ascii="Verdana" w:eastAsia="Times New Roman" w:hAnsi="Verdana" w:cs="Times New Roman"/>
                <w:sz w:val="18"/>
                <w:szCs w:val="24"/>
                <w:lang w:val="en-GB" w:eastAsia="en-GB"/>
              </w:rPr>
              <w:t>Inflation (2017, 2018</w:t>
            </w:r>
          </w:p>
        </w:tc>
        <w:tc>
          <w:tcPr>
            <w:tcW w:w="1843" w:type="dxa"/>
            <w:shd w:val="clear" w:color="auto" w:fill="auto"/>
          </w:tcPr>
          <w:p w14:paraId="0399EB12" w14:textId="77777777" w:rsidR="002336EA" w:rsidRPr="002336EA" w:rsidRDefault="002336EA" w:rsidP="002336EA">
            <w:pPr>
              <w:spacing w:after="0" w:line="240" w:lineRule="atLeast"/>
              <w:ind w:left="720"/>
              <w:contextualSpacing/>
              <w:rPr>
                <w:rFonts w:ascii="Verdana" w:eastAsia="Times New Roman" w:hAnsi="Verdana" w:cs="Calibri"/>
                <w:sz w:val="18"/>
                <w:szCs w:val="24"/>
                <w:lang w:val="en-GB" w:eastAsia="en-GB"/>
              </w:rPr>
            </w:pPr>
            <w:r w:rsidRPr="002336EA">
              <w:rPr>
                <w:rFonts w:ascii="Verdana" w:eastAsia="Times New Roman" w:hAnsi="Verdana" w:cs="Times New Roman"/>
                <w:sz w:val="18"/>
                <w:szCs w:val="24"/>
                <w:lang w:val="en-GB" w:eastAsia="en-GB"/>
              </w:rPr>
              <w:t>) 0.1%, 2.3%</w:t>
            </w:r>
          </w:p>
        </w:tc>
      </w:tr>
      <w:tr w:rsidR="002336EA" w:rsidRPr="002336EA" w14:paraId="18474000" w14:textId="77777777" w:rsidTr="00454053">
        <w:tc>
          <w:tcPr>
            <w:tcW w:w="5098" w:type="dxa"/>
            <w:shd w:val="clear" w:color="auto" w:fill="auto"/>
          </w:tcPr>
          <w:p w14:paraId="02FCC952" w14:textId="77777777" w:rsidR="002336EA" w:rsidRPr="002336EA" w:rsidRDefault="002336EA" w:rsidP="002336EA">
            <w:pPr>
              <w:spacing w:after="0" w:line="240" w:lineRule="atLeast"/>
              <w:ind w:left="720"/>
              <w:contextualSpacing/>
              <w:rPr>
                <w:rFonts w:ascii="Verdana" w:eastAsia="Times New Roman" w:hAnsi="Verdana" w:cs="Calibri"/>
                <w:sz w:val="18"/>
                <w:szCs w:val="24"/>
                <w:lang w:val="en-GB" w:eastAsia="en-GB"/>
              </w:rPr>
            </w:pPr>
            <w:r w:rsidRPr="002336EA">
              <w:rPr>
                <w:rFonts w:ascii="Verdana" w:eastAsia="Times New Roman" w:hAnsi="Verdana" w:cs="Times New Roman"/>
                <w:sz w:val="18"/>
                <w:szCs w:val="24"/>
                <w:lang w:val="en-GB" w:eastAsia="en-GB"/>
              </w:rPr>
              <w:t xml:space="preserve">Inflation target set by the Economic Union of West African countries </w:t>
            </w:r>
          </w:p>
        </w:tc>
        <w:tc>
          <w:tcPr>
            <w:tcW w:w="1843" w:type="dxa"/>
            <w:shd w:val="clear" w:color="auto" w:fill="auto"/>
          </w:tcPr>
          <w:p w14:paraId="36C4002B" w14:textId="77777777" w:rsidR="002336EA" w:rsidRPr="002336EA" w:rsidRDefault="002336EA" w:rsidP="002336EA">
            <w:pPr>
              <w:spacing w:after="0" w:line="240" w:lineRule="atLeast"/>
              <w:ind w:left="720"/>
              <w:contextualSpacing/>
              <w:rPr>
                <w:rFonts w:ascii="Verdana" w:eastAsia="Times New Roman" w:hAnsi="Verdana" w:cs="Calibri"/>
                <w:sz w:val="18"/>
                <w:szCs w:val="24"/>
                <w:lang w:val="en-GB" w:eastAsia="en-GB"/>
              </w:rPr>
            </w:pPr>
            <w:r w:rsidRPr="002336EA">
              <w:rPr>
                <w:rFonts w:ascii="Verdana" w:eastAsia="Times New Roman" w:hAnsi="Verdana" w:cs="Times New Roman"/>
                <w:sz w:val="18"/>
                <w:szCs w:val="24"/>
                <w:lang w:val="en-GB" w:eastAsia="en-GB"/>
              </w:rPr>
              <w:t>3.0%</w:t>
            </w:r>
          </w:p>
        </w:tc>
      </w:tr>
      <w:tr w:rsidR="002336EA" w:rsidRPr="002336EA" w14:paraId="029CF252" w14:textId="77777777" w:rsidTr="00454053">
        <w:tc>
          <w:tcPr>
            <w:tcW w:w="5098" w:type="dxa"/>
            <w:shd w:val="clear" w:color="auto" w:fill="auto"/>
          </w:tcPr>
          <w:p w14:paraId="006F0A55" w14:textId="77777777" w:rsidR="002336EA" w:rsidRPr="002336EA" w:rsidRDefault="002336EA" w:rsidP="002336EA">
            <w:pPr>
              <w:spacing w:after="0" w:line="240" w:lineRule="atLeast"/>
              <w:ind w:left="720"/>
              <w:contextualSpacing/>
              <w:rPr>
                <w:rFonts w:ascii="Verdana" w:eastAsia="Times New Roman" w:hAnsi="Verdana" w:cs="Calibri"/>
                <w:sz w:val="18"/>
                <w:szCs w:val="24"/>
                <w:lang w:val="en-GB" w:eastAsia="en-GB"/>
              </w:rPr>
            </w:pPr>
            <w:r w:rsidRPr="002336EA">
              <w:rPr>
                <w:rFonts w:ascii="Verdana" w:eastAsia="Times New Roman" w:hAnsi="Verdana" w:cs="Times New Roman"/>
                <w:sz w:val="18"/>
                <w:szCs w:val="24"/>
                <w:lang w:val="en-GB" w:eastAsia="en-GB"/>
              </w:rPr>
              <w:t xml:space="preserve">Informal sector (% of GDP) </w:t>
            </w:r>
          </w:p>
        </w:tc>
        <w:tc>
          <w:tcPr>
            <w:tcW w:w="1843" w:type="dxa"/>
            <w:shd w:val="clear" w:color="auto" w:fill="auto"/>
          </w:tcPr>
          <w:p w14:paraId="3EEC198C" w14:textId="77777777" w:rsidR="002336EA" w:rsidRPr="002336EA" w:rsidRDefault="002336EA" w:rsidP="002336EA">
            <w:pPr>
              <w:spacing w:after="0" w:line="240" w:lineRule="atLeast"/>
              <w:ind w:left="720"/>
              <w:contextualSpacing/>
              <w:rPr>
                <w:rFonts w:ascii="Verdana" w:eastAsia="Times New Roman" w:hAnsi="Verdana" w:cs="Calibri"/>
                <w:sz w:val="18"/>
                <w:szCs w:val="24"/>
                <w:lang w:val="en-GB" w:eastAsia="en-GB"/>
              </w:rPr>
            </w:pPr>
            <w:r w:rsidRPr="002336EA">
              <w:rPr>
                <w:rFonts w:ascii="Verdana" w:eastAsia="Times New Roman" w:hAnsi="Verdana" w:cs="Times New Roman"/>
                <w:sz w:val="18"/>
                <w:szCs w:val="24"/>
                <w:lang w:val="en-GB" w:eastAsia="en-GB"/>
              </w:rPr>
              <w:t>65.0%</w:t>
            </w:r>
          </w:p>
        </w:tc>
      </w:tr>
      <w:tr w:rsidR="002336EA" w:rsidRPr="002336EA" w14:paraId="5FB80BB0" w14:textId="77777777" w:rsidTr="00454053">
        <w:tc>
          <w:tcPr>
            <w:tcW w:w="5098" w:type="dxa"/>
            <w:shd w:val="clear" w:color="auto" w:fill="auto"/>
          </w:tcPr>
          <w:p w14:paraId="5A08E64A" w14:textId="77777777" w:rsidR="002336EA" w:rsidRPr="002336EA" w:rsidRDefault="002336EA" w:rsidP="002336EA">
            <w:pPr>
              <w:spacing w:after="0" w:line="240" w:lineRule="atLeast"/>
              <w:ind w:left="720"/>
              <w:contextualSpacing/>
              <w:rPr>
                <w:rFonts w:ascii="Verdana" w:eastAsia="Times New Roman" w:hAnsi="Verdana" w:cs="Calibri"/>
                <w:sz w:val="18"/>
                <w:szCs w:val="24"/>
                <w:lang w:val="en-GB" w:eastAsia="en-GB"/>
              </w:rPr>
            </w:pPr>
            <w:r w:rsidRPr="002336EA">
              <w:rPr>
                <w:rFonts w:ascii="Verdana" w:eastAsia="Times New Roman" w:hAnsi="Verdana" w:cs="Times New Roman"/>
                <w:sz w:val="18"/>
                <w:szCs w:val="24"/>
                <w:lang w:val="en-GB" w:eastAsia="en-GB"/>
              </w:rPr>
              <w:t xml:space="preserve">Labor force in the informal sector </w:t>
            </w:r>
          </w:p>
        </w:tc>
        <w:tc>
          <w:tcPr>
            <w:tcW w:w="1843" w:type="dxa"/>
            <w:shd w:val="clear" w:color="auto" w:fill="auto"/>
          </w:tcPr>
          <w:p w14:paraId="22778F10" w14:textId="77777777" w:rsidR="002336EA" w:rsidRPr="002336EA" w:rsidRDefault="002336EA" w:rsidP="002336EA">
            <w:pPr>
              <w:spacing w:after="0" w:line="240" w:lineRule="atLeast"/>
              <w:ind w:left="720"/>
              <w:contextualSpacing/>
              <w:rPr>
                <w:rFonts w:ascii="Verdana" w:eastAsia="Times New Roman" w:hAnsi="Verdana" w:cs="Calibri"/>
                <w:sz w:val="18"/>
                <w:szCs w:val="24"/>
                <w:lang w:val="en-GB" w:eastAsia="en-GB"/>
              </w:rPr>
            </w:pPr>
            <w:r w:rsidRPr="002336EA">
              <w:rPr>
                <w:rFonts w:ascii="Verdana" w:eastAsia="Times New Roman" w:hAnsi="Verdana" w:cs="Times New Roman"/>
                <w:sz w:val="18"/>
                <w:szCs w:val="24"/>
                <w:lang w:val="en-GB" w:eastAsia="en-GB"/>
              </w:rPr>
              <w:t>90.0%</w:t>
            </w:r>
          </w:p>
        </w:tc>
      </w:tr>
      <w:tr w:rsidR="002336EA" w:rsidRPr="002336EA" w14:paraId="7CFAC76C" w14:textId="77777777" w:rsidTr="00454053">
        <w:tc>
          <w:tcPr>
            <w:tcW w:w="5098" w:type="dxa"/>
            <w:shd w:val="clear" w:color="auto" w:fill="auto"/>
          </w:tcPr>
          <w:p w14:paraId="32A54597" w14:textId="77777777" w:rsidR="002336EA" w:rsidRPr="002336EA" w:rsidRDefault="002336EA" w:rsidP="002336EA">
            <w:pPr>
              <w:spacing w:after="0" w:line="240" w:lineRule="atLeast"/>
              <w:ind w:left="720"/>
              <w:contextualSpacing/>
              <w:rPr>
                <w:rFonts w:ascii="Verdana" w:eastAsia="Times New Roman" w:hAnsi="Verdana" w:cs="Calibri"/>
                <w:sz w:val="18"/>
                <w:szCs w:val="24"/>
                <w:lang w:val="en-GB" w:eastAsia="en-GB"/>
              </w:rPr>
            </w:pPr>
            <w:r w:rsidRPr="002336EA">
              <w:rPr>
                <w:rFonts w:ascii="Verdana" w:eastAsia="Times New Roman" w:hAnsi="Verdana" w:cs="Times New Roman"/>
                <w:sz w:val="18"/>
                <w:szCs w:val="24"/>
                <w:lang w:val="en-GB" w:eastAsia="en-GB"/>
              </w:rPr>
              <w:t xml:space="preserve">Industry sector (% of GDP - 2017) </w:t>
            </w:r>
          </w:p>
        </w:tc>
        <w:tc>
          <w:tcPr>
            <w:tcW w:w="1843" w:type="dxa"/>
            <w:shd w:val="clear" w:color="auto" w:fill="auto"/>
          </w:tcPr>
          <w:p w14:paraId="096B85DB" w14:textId="77777777" w:rsidR="002336EA" w:rsidRPr="002336EA" w:rsidRDefault="002336EA" w:rsidP="002336EA">
            <w:pPr>
              <w:spacing w:after="0" w:line="240" w:lineRule="atLeast"/>
              <w:ind w:left="720"/>
              <w:contextualSpacing/>
              <w:rPr>
                <w:rFonts w:ascii="Verdana" w:eastAsia="Times New Roman" w:hAnsi="Verdana" w:cs="Calibri"/>
                <w:sz w:val="18"/>
                <w:szCs w:val="24"/>
                <w:lang w:val="en-GB" w:eastAsia="en-GB"/>
              </w:rPr>
            </w:pPr>
            <w:r w:rsidRPr="002336EA">
              <w:rPr>
                <w:rFonts w:ascii="Verdana" w:eastAsia="Times New Roman" w:hAnsi="Verdana" w:cs="Times New Roman"/>
                <w:sz w:val="18"/>
                <w:szCs w:val="24"/>
                <w:lang w:val="en-GB" w:eastAsia="en-GB"/>
              </w:rPr>
              <w:t>7.2%</w:t>
            </w:r>
          </w:p>
        </w:tc>
      </w:tr>
      <w:tr w:rsidR="002336EA" w:rsidRPr="002336EA" w14:paraId="10973A1C" w14:textId="77777777" w:rsidTr="00454053">
        <w:tc>
          <w:tcPr>
            <w:tcW w:w="5098" w:type="dxa"/>
            <w:shd w:val="clear" w:color="auto" w:fill="auto"/>
          </w:tcPr>
          <w:p w14:paraId="3BC16229" w14:textId="77777777" w:rsidR="002336EA" w:rsidRPr="002336EA" w:rsidRDefault="002336EA" w:rsidP="002336EA">
            <w:pPr>
              <w:spacing w:after="0" w:line="240" w:lineRule="atLeast"/>
              <w:ind w:left="720"/>
              <w:contextualSpacing/>
              <w:rPr>
                <w:rFonts w:ascii="Verdana" w:eastAsia="Times New Roman" w:hAnsi="Verdana" w:cs="Times New Roman"/>
                <w:sz w:val="18"/>
                <w:szCs w:val="24"/>
                <w:lang w:val="en-GB" w:eastAsia="en-GB"/>
              </w:rPr>
            </w:pPr>
            <w:r w:rsidRPr="002336EA">
              <w:rPr>
                <w:rFonts w:ascii="Verdana" w:eastAsia="Times New Roman" w:hAnsi="Verdana" w:cs="Times New Roman"/>
                <w:sz w:val="18"/>
                <w:szCs w:val="24"/>
                <w:lang w:val="en-GB" w:eastAsia="en-GB"/>
              </w:rPr>
              <w:t xml:space="preserve">Agriculture sector (% of GDP - 2017) </w:t>
            </w:r>
          </w:p>
        </w:tc>
        <w:tc>
          <w:tcPr>
            <w:tcW w:w="1843" w:type="dxa"/>
            <w:shd w:val="clear" w:color="auto" w:fill="auto"/>
          </w:tcPr>
          <w:p w14:paraId="04DF9657" w14:textId="77777777" w:rsidR="002336EA" w:rsidRPr="002336EA" w:rsidRDefault="002336EA" w:rsidP="002336EA">
            <w:pPr>
              <w:spacing w:after="0" w:line="240" w:lineRule="atLeast"/>
              <w:ind w:left="720"/>
              <w:contextualSpacing/>
              <w:rPr>
                <w:rFonts w:ascii="Verdana" w:eastAsia="Times New Roman" w:hAnsi="Verdana" w:cs="Times New Roman"/>
                <w:sz w:val="18"/>
                <w:szCs w:val="24"/>
                <w:lang w:val="en-GB" w:eastAsia="en-GB"/>
              </w:rPr>
            </w:pPr>
            <w:r w:rsidRPr="002336EA">
              <w:rPr>
                <w:rFonts w:ascii="Verdana" w:eastAsia="Times New Roman" w:hAnsi="Verdana" w:cs="Times New Roman"/>
                <w:sz w:val="18"/>
                <w:szCs w:val="24"/>
                <w:lang w:val="en-GB" w:eastAsia="en-GB"/>
              </w:rPr>
              <w:t>25.0%</w:t>
            </w:r>
          </w:p>
        </w:tc>
      </w:tr>
      <w:tr w:rsidR="002336EA" w:rsidRPr="002336EA" w14:paraId="52B8B860" w14:textId="77777777" w:rsidTr="00454053">
        <w:tc>
          <w:tcPr>
            <w:tcW w:w="5098" w:type="dxa"/>
            <w:shd w:val="clear" w:color="auto" w:fill="auto"/>
          </w:tcPr>
          <w:p w14:paraId="149D07FC" w14:textId="77777777" w:rsidR="002336EA" w:rsidRPr="002336EA" w:rsidRDefault="002336EA" w:rsidP="002336EA">
            <w:pPr>
              <w:spacing w:after="0" w:line="240" w:lineRule="atLeast"/>
              <w:ind w:left="720"/>
              <w:contextualSpacing/>
              <w:rPr>
                <w:rFonts w:ascii="Verdana" w:eastAsia="Times New Roman" w:hAnsi="Verdana" w:cs="Times New Roman"/>
                <w:sz w:val="18"/>
                <w:szCs w:val="24"/>
                <w:lang w:val="en-GB" w:eastAsia="en-GB"/>
              </w:rPr>
            </w:pPr>
            <w:r w:rsidRPr="002336EA">
              <w:rPr>
                <w:rFonts w:ascii="Verdana" w:eastAsia="Times New Roman" w:hAnsi="Verdana" w:cs="Times New Roman"/>
                <w:sz w:val="18"/>
                <w:szCs w:val="24"/>
                <w:lang w:val="en-GB" w:eastAsia="en-GB"/>
              </w:rPr>
              <w:t xml:space="preserve">Cotton production (% of GDP) </w:t>
            </w:r>
          </w:p>
        </w:tc>
        <w:tc>
          <w:tcPr>
            <w:tcW w:w="1843" w:type="dxa"/>
            <w:shd w:val="clear" w:color="auto" w:fill="auto"/>
          </w:tcPr>
          <w:p w14:paraId="674810C8" w14:textId="77777777" w:rsidR="002336EA" w:rsidRPr="002336EA" w:rsidRDefault="002336EA" w:rsidP="002336EA">
            <w:pPr>
              <w:spacing w:after="0" w:line="240" w:lineRule="atLeast"/>
              <w:ind w:left="720"/>
              <w:contextualSpacing/>
              <w:rPr>
                <w:rFonts w:ascii="Verdana" w:eastAsia="Times New Roman" w:hAnsi="Verdana" w:cs="Times New Roman"/>
                <w:sz w:val="18"/>
                <w:szCs w:val="24"/>
                <w:lang w:val="en-GB" w:eastAsia="en-GB"/>
              </w:rPr>
            </w:pPr>
            <w:r w:rsidRPr="002336EA">
              <w:rPr>
                <w:rFonts w:ascii="Verdana" w:eastAsia="Times New Roman" w:hAnsi="Verdana" w:cs="Times New Roman"/>
                <w:sz w:val="18"/>
                <w:szCs w:val="24"/>
                <w:lang w:val="en-GB" w:eastAsia="en-GB"/>
              </w:rPr>
              <w:t>5.0-7.0%</w:t>
            </w:r>
          </w:p>
        </w:tc>
      </w:tr>
      <w:tr w:rsidR="002336EA" w:rsidRPr="002336EA" w14:paraId="58741B4A" w14:textId="77777777" w:rsidTr="00454053">
        <w:tc>
          <w:tcPr>
            <w:tcW w:w="5098" w:type="dxa"/>
            <w:shd w:val="clear" w:color="auto" w:fill="auto"/>
          </w:tcPr>
          <w:p w14:paraId="13860E0C" w14:textId="77777777" w:rsidR="002336EA" w:rsidRPr="002336EA" w:rsidRDefault="002336EA" w:rsidP="002336EA">
            <w:pPr>
              <w:spacing w:after="0" w:line="240" w:lineRule="atLeast"/>
              <w:ind w:left="720"/>
              <w:contextualSpacing/>
              <w:rPr>
                <w:rFonts w:ascii="Verdana" w:eastAsia="Times New Roman" w:hAnsi="Verdana" w:cs="Times New Roman"/>
                <w:sz w:val="18"/>
                <w:szCs w:val="24"/>
                <w:lang w:val="en-GB" w:eastAsia="en-GB"/>
              </w:rPr>
            </w:pPr>
            <w:r w:rsidRPr="002336EA">
              <w:rPr>
                <w:rFonts w:ascii="Verdana" w:eastAsia="Times New Roman" w:hAnsi="Verdana" w:cs="Times New Roman"/>
                <w:sz w:val="18"/>
                <w:szCs w:val="24"/>
                <w:lang w:val="en-GB" w:eastAsia="en-GB"/>
              </w:rPr>
              <w:t xml:space="preserve">Cotton production (% of exports) </w:t>
            </w:r>
          </w:p>
        </w:tc>
        <w:tc>
          <w:tcPr>
            <w:tcW w:w="1843" w:type="dxa"/>
            <w:shd w:val="clear" w:color="auto" w:fill="auto"/>
          </w:tcPr>
          <w:p w14:paraId="18D5ADAA" w14:textId="77777777" w:rsidR="002336EA" w:rsidRPr="002336EA" w:rsidRDefault="002336EA" w:rsidP="002336EA">
            <w:pPr>
              <w:spacing w:after="0" w:line="240" w:lineRule="atLeast"/>
              <w:ind w:left="720"/>
              <w:contextualSpacing/>
              <w:rPr>
                <w:rFonts w:ascii="Verdana" w:eastAsia="Times New Roman" w:hAnsi="Verdana" w:cs="Times New Roman"/>
                <w:sz w:val="18"/>
                <w:szCs w:val="24"/>
                <w:lang w:val="en-GB" w:eastAsia="en-GB"/>
              </w:rPr>
            </w:pPr>
            <w:r w:rsidRPr="002336EA">
              <w:rPr>
                <w:rFonts w:ascii="Verdana" w:eastAsia="Times New Roman" w:hAnsi="Verdana" w:cs="Times New Roman"/>
                <w:sz w:val="18"/>
                <w:szCs w:val="24"/>
                <w:lang w:val="en-GB" w:eastAsia="en-GB"/>
              </w:rPr>
              <w:t>27.0%</w:t>
            </w:r>
          </w:p>
        </w:tc>
      </w:tr>
    </w:tbl>
    <w:p w14:paraId="7947B920" w14:textId="77777777" w:rsidR="002336EA" w:rsidRPr="002336EA" w:rsidRDefault="002336EA" w:rsidP="002336EA">
      <w:pPr>
        <w:spacing w:after="0" w:line="240" w:lineRule="atLeast"/>
        <w:ind w:left="720"/>
        <w:contextualSpacing/>
        <w:rPr>
          <w:rFonts w:ascii="Verdana" w:eastAsia="Times New Roman" w:hAnsi="Verdana" w:cs="Calibri"/>
          <w:sz w:val="18"/>
          <w:szCs w:val="24"/>
          <w:lang w:val="en-GB" w:eastAsia="en-GB"/>
        </w:rPr>
      </w:pPr>
    </w:p>
    <w:p w14:paraId="4F95F942" w14:textId="77777777" w:rsidR="002336EA" w:rsidRPr="002336EA" w:rsidRDefault="002336EA" w:rsidP="002336EA">
      <w:pPr>
        <w:spacing w:after="0" w:line="240" w:lineRule="atLeast"/>
        <w:ind w:left="720"/>
        <w:contextualSpacing/>
        <w:rPr>
          <w:rFonts w:ascii="Verdana" w:eastAsia="Times New Roman" w:hAnsi="Verdana" w:cs="Calibri"/>
          <w:sz w:val="18"/>
          <w:szCs w:val="24"/>
          <w:lang w:val="en-GB" w:eastAsia="en-GB"/>
        </w:rPr>
      </w:pPr>
      <w:r w:rsidRPr="002336EA">
        <w:rPr>
          <w:rFonts w:ascii="Verdana" w:eastAsia="Times New Roman" w:hAnsi="Verdana" w:cs="Calibri"/>
          <w:sz w:val="18"/>
          <w:szCs w:val="24"/>
          <w:lang w:val="en-GB" w:eastAsia="en-GB"/>
        </w:rPr>
        <w:t>With moderate GDP growth over the past two decades, the poverty situation has not improved. The national poverty rate was 40.1% in 2015. Households headed by women are less poor (28%), compared to 38% for households headed by men. But women suffer from a lack of economic opportunities and are underrepresented in high-level decision-making positions. The education and health sectors absorb a large share of public spending (an average of 23% is spent on education and 7% on health).</w:t>
      </w:r>
    </w:p>
    <w:p w14:paraId="478843E6" w14:textId="77777777" w:rsidR="002336EA" w:rsidRPr="002336EA" w:rsidRDefault="002336EA" w:rsidP="002336EA">
      <w:pPr>
        <w:spacing w:after="0" w:line="240" w:lineRule="atLeast"/>
        <w:ind w:left="720"/>
        <w:contextualSpacing/>
        <w:rPr>
          <w:rFonts w:ascii="Verdana" w:eastAsia="Times New Roman" w:hAnsi="Verdana" w:cs="Calibri"/>
          <w:sz w:val="18"/>
          <w:szCs w:val="24"/>
          <w:lang w:val="en-GB" w:eastAsia="en-GB"/>
        </w:rPr>
      </w:pPr>
    </w:p>
    <w:p w14:paraId="51A1B01C" w14:textId="77777777" w:rsidR="002336EA" w:rsidRPr="002336EA" w:rsidRDefault="002336EA" w:rsidP="002336EA">
      <w:pPr>
        <w:spacing w:after="0" w:line="240" w:lineRule="atLeast"/>
        <w:ind w:left="720"/>
        <w:contextualSpacing/>
        <w:rPr>
          <w:rFonts w:ascii="Verdana" w:eastAsia="Times New Roman" w:hAnsi="Verdana" w:cs="Calibri"/>
          <w:sz w:val="18"/>
          <w:szCs w:val="24"/>
          <w:lang w:val="en-GB" w:eastAsia="en-GB"/>
        </w:rPr>
      </w:pPr>
      <w:r w:rsidRPr="002336EA">
        <w:rPr>
          <w:rFonts w:ascii="Verdana" w:eastAsia="Times New Roman" w:hAnsi="Verdana" w:cs="Calibri"/>
          <w:sz w:val="18"/>
          <w:szCs w:val="24"/>
          <w:lang w:val="en-GB" w:eastAsia="en-GB"/>
        </w:rPr>
        <w:t>In addition, the government of Benin has approved the Sustainable Development Goals, with a focus on the 49 targets that the country has prioritized in its Report on the prioritization of the targets of the Sustainable Development Goals in Benin (Ministry of Planning and Development ).</w:t>
      </w:r>
    </w:p>
    <w:p w14:paraId="42EE0F0B" w14:textId="77777777" w:rsidR="002336EA" w:rsidRPr="002336EA" w:rsidRDefault="002336EA" w:rsidP="002336EA">
      <w:pPr>
        <w:spacing w:after="0" w:line="240" w:lineRule="atLeast"/>
        <w:ind w:left="720"/>
        <w:contextualSpacing/>
        <w:rPr>
          <w:rFonts w:ascii="Verdana" w:eastAsia="Times New Roman" w:hAnsi="Verdana" w:cs="Calibri"/>
          <w:sz w:val="18"/>
          <w:szCs w:val="24"/>
          <w:lang w:val="en-GB" w:eastAsia="en-GB"/>
        </w:rPr>
      </w:pPr>
    </w:p>
    <w:p w14:paraId="41C3EFEA" w14:textId="77777777" w:rsidR="002336EA" w:rsidRPr="002336EA" w:rsidRDefault="002336EA" w:rsidP="002336EA">
      <w:pPr>
        <w:spacing w:after="0" w:line="240" w:lineRule="atLeast"/>
        <w:ind w:left="720"/>
        <w:contextualSpacing/>
        <w:rPr>
          <w:rFonts w:ascii="Verdana" w:eastAsia="Times New Roman" w:hAnsi="Verdana" w:cs="Calibri"/>
          <w:sz w:val="18"/>
          <w:szCs w:val="24"/>
          <w:lang w:val="en-GB" w:eastAsia="en-GB"/>
        </w:rPr>
      </w:pPr>
      <w:r w:rsidRPr="002336EA">
        <w:rPr>
          <w:rFonts w:ascii="Verdana" w:eastAsia="Times New Roman" w:hAnsi="Verdana" w:cs="Calibri"/>
          <w:sz w:val="18"/>
          <w:szCs w:val="24"/>
          <w:lang w:val="en-GB" w:eastAsia="en-GB"/>
        </w:rPr>
        <w:t>Benin is vulnerable to exogenous shocks. It is mainly subject to unfavourable weather conditions, an imbalance in the terms of trade (cotton and oil prices) and the economic situation in Nigeria, the country's main trading partner. Despite some progress, the fragile economic environment continues to slow domestic and international investment. In terms of "Doing Business" indicators, Benin was 153rd out of 190 in 2018; however, in terms of creating businesses and issuing title deeds, as well as to a lesser extent, in terms of connection to electricity, significant progress has been made.</w:t>
      </w:r>
    </w:p>
    <w:p w14:paraId="14D7B276" w14:textId="77777777" w:rsidR="002336EA" w:rsidRPr="002336EA" w:rsidRDefault="002336EA" w:rsidP="002336EA">
      <w:pPr>
        <w:spacing w:after="0" w:line="240" w:lineRule="atLeast"/>
        <w:ind w:left="720"/>
        <w:contextualSpacing/>
        <w:rPr>
          <w:rFonts w:ascii="Verdana" w:eastAsia="Times New Roman" w:hAnsi="Verdana" w:cs="Calibri"/>
          <w:sz w:val="18"/>
          <w:szCs w:val="24"/>
          <w:lang w:val="en-GB" w:eastAsia="en-GB"/>
        </w:rPr>
      </w:pPr>
    </w:p>
    <w:p w14:paraId="31E6132A" w14:textId="77777777" w:rsidR="002336EA" w:rsidRPr="002336EA" w:rsidRDefault="002336EA" w:rsidP="002336EA">
      <w:pPr>
        <w:spacing w:after="0" w:line="240" w:lineRule="atLeast"/>
        <w:ind w:left="720"/>
        <w:contextualSpacing/>
        <w:rPr>
          <w:rFonts w:ascii="Verdana" w:eastAsia="Times New Roman" w:hAnsi="Verdana" w:cs="Times New Roman"/>
          <w:sz w:val="18"/>
          <w:szCs w:val="24"/>
          <w:lang w:val="en-US" w:eastAsia="en-GB"/>
        </w:rPr>
      </w:pPr>
      <w:bookmarkStart w:id="6" w:name="_Toc45109393"/>
      <w:r w:rsidRPr="002336EA">
        <w:rPr>
          <w:rFonts w:ascii="Verdana" w:eastAsia="Times New Roman" w:hAnsi="Verdana" w:cs="Times New Roman"/>
          <w:sz w:val="18"/>
          <w:szCs w:val="24"/>
          <w:lang w:val="en-US" w:eastAsia="en-GB"/>
        </w:rPr>
        <w:t>Current situation in the sector (water) and relevance to the project</w:t>
      </w:r>
      <w:bookmarkEnd w:id="6"/>
    </w:p>
    <w:p w14:paraId="6279F1DF" w14:textId="77777777" w:rsidR="002336EA" w:rsidRPr="002336EA" w:rsidRDefault="002336EA" w:rsidP="002336EA">
      <w:pPr>
        <w:spacing w:after="0" w:line="240" w:lineRule="atLeast"/>
        <w:ind w:left="720"/>
        <w:contextualSpacing/>
        <w:rPr>
          <w:rFonts w:ascii="Verdana" w:eastAsia="Times New Roman" w:hAnsi="Verdana" w:cs="Calibri"/>
          <w:sz w:val="18"/>
          <w:szCs w:val="24"/>
          <w:lang w:val="en-GB" w:eastAsia="en-GB"/>
        </w:rPr>
      </w:pPr>
      <w:r w:rsidRPr="002336EA">
        <w:rPr>
          <w:rFonts w:ascii="Verdana" w:eastAsia="Times New Roman" w:hAnsi="Verdana" w:cs="Calibri"/>
          <w:sz w:val="18"/>
          <w:szCs w:val="24"/>
          <w:lang w:val="en-GB" w:eastAsia="en-GB"/>
        </w:rPr>
        <w:t xml:space="preserve">International cooperation, particularly Dutch cooperation, has been involved in programs to support the water sector in Benin for a long time. Various programs such as water training and water and sanitation support programs have been implemented. </w:t>
      </w:r>
      <w:r w:rsidRPr="002336EA">
        <w:rPr>
          <w:rFonts w:ascii="Verdana" w:eastAsia="Times New Roman" w:hAnsi="Verdana" w:cs="Calibri"/>
          <w:sz w:val="18"/>
          <w:szCs w:val="24"/>
          <w:highlight w:val="yellow"/>
          <w:lang w:val="en-GB" w:eastAsia="en-GB"/>
        </w:rPr>
        <w:t>These are mainly aimed</w:t>
      </w:r>
      <w:r w:rsidRPr="002336EA">
        <w:rPr>
          <w:rFonts w:ascii="Verdana" w:eastAsia="Times New Roman" w:hAnsi="Verdana" w:cs="Calibri"/>
          <w:sz w:val="18"/>
          <w:szCs w:val="24"/>
          <w:lang w:val="en-GB" w:eastAsia="en-GB"/>
        </w:rPr>
        <w:t xml:space="preserve"> at developing a sectoral approach and alignment with national priorities, strategies and procedures to ensure better ownership and sustainability of the results. Following various programs, an agreement was concluded between the Government of the Netherlands and the Government of Benin for the strengthening of cooperation within the framework of a program called OmiDelta which started in December 2016. This program is oriented towards drinking water supply in rural, urban and peri-urban areas and hygiene and sanitation in rural and urban areas. The integrated management of water resources </w:t>
      </w:r>
      <w:r w:rsidRPr="002336EA">
        <w:rPr>
          <w:rFonts w:ascii="Verdana" w:eastAsia="Times New Roman" w:hAnsi="Verdana" w:cs="Calibri"/>
          <w:sz w:val="18"/>
          <w:szCs w:val="24"/>
          <w:lang w:val="en-GB" w:eastAsia="en-GB"/>
        </w:rPr>
        <w:lastRenderedPageBreak/>
        <w:t>with a focus on the realization and implementation of a Delta plan for the Grand Nokoué region and the promotion of entrepreneurship in the sector is also part of the program.</w:t>
      </w:r>
    </w:p>
    <w:p w14:paraId="7B40DA04" w14:textId="77777777" w:rsidR="002336EA" w:rsidRPr="002336EA" w:rsidRDefault="002336EA" w:rsidP="002336EA">
      <w:pPr>
        <w:spacing w:after="0" w:line="240" w:lineRule="atLeast"/>
        <w:ind w:left="720"/>
        <w:contextualSpacing/>
        <w:rPr>
          <w:rFonts w:ascii="Verdana" w:eastAsia="Times New Roman" w:hAnsi="Verdana" w:cs="Calibri"/>
          <w:sz w:val="18"/>
          <w:szCs w:val="24"/>
          <w:lang w:val="en-GB" w:eastAsia="en-GB"/>
        </w:rPr>
      </w:pPr>
    </w:p>
    <w:p w14:paraId="01F8BBC6" w14:textId="77777777" w:rsidR="002336EA" w:rsidRPr="002336EA" w:rsidRDefault="002336EA" w:rsidP="002336EA">
      <w:pPr>
        <w:spacing w:after="0" w:line="240" w:lineRule="atLeast"/>
        <w:ind w:left="720"/>
        <w:contextualSpacing/>
        <w:rPr>
          <w:rFonts w:ascii="Verdana" w:eastAsia="Times New Roman" w:hAnsi="Verdana" w:cs="Calibri"/>
          <w:sz w:val="18"/>
          <w:szCs w:val="24"/>
          <w:lang w:val="en-GB" w:eastAsia="en-GB"/>
        </w:rPr>
      </w:pPr>
      <w:r w:rsidRPr="002336EA">
        <w:rPr>
          <w:rFonts w:ascii="Verdana" w:eastAsia="Times New Roman" w:hAnsi="Verdana" w:cs="Calibri"/>
          <w:sz w:val="18"/>
          <w:szCs w:val="24"/>
          <w:lang w:val="en-GB" w:eastAsia="en-GB"/>
        </w:rPr>
        <w:t>In accordance with the priorities shared between the two partner countries for the water sector and following the principles of integrated water resources management (French GIRE), the OmiDelta program aims to combine water management issues with imperatives including environmental protection and socio-economic development. The plans that are being developed for the delta, aim in principle to combine interventions that serve both the restoration of water quality and the bio-productivity of the lagoon itself, as well as the security and socio-economic development of the urban environment around the lagoon.</w:t>
      </w:r>
    </w:p>
    <w:p w14:paraId="3E485932" w14:textId="77777777" w:rsidR="002336EA" w:rsidRPr="002336EA" w:rsidRDefault="002336EA" w:rsidP="002336EA">
      <w:pPr>
        <w:spacing w:after="0" w:line="240" w:lineRule="atLeast"/>
        <w:ind w:left="720"/>
        <w:contextualSpacing/>
        <w:rPr>
          <w:rFonts w:ascii="Verdana" w:eastAsia="Times New Roman" w:hAnsi="Verdana" w:cs="Calibri"/>
          <w:sz w:val="18"/>
          <w:szCs w:val="24"/>
          <w:lang w:val="en-GB" w:eastAsia="en-GB"/>
        </w:rPr>
      </w:pPr>
    </w:p>
    <w:p w14:paraId="7892AAD4" w14:textId="77777777" w:rsidR="002336EA" w:rsidRPr="002336EA" w:rsidRDefault="002336EA" w:rsidP="002336EA">
      <w:pPr>
        <w:spacing w:after="0" w:line="240" w:lineRule="atLeast"/>
        <w:ind w:left="720"/>
        <w:contextualSpacing/>
        <w:rPr>
          <w:rFonts w:ascii="Verdana" w:eastAsia="Times New Roman" w:hAnsi="Verdana" w:cs="Calibri"/>
          <w:sz w:val="18"/>
          <w:szCs w:val="24"/>
          <w:lang w:val="en-GB" w:eastAsia="en-GB"/>
        </w:rPr>
      </w:pPr>
      <w:r w:rsidRPr="002336EA">
        <w:rPr>
          <w:rFonts w:ascii="Verdana" w:eastAsia="Times New Roman" w:hAnsi="Verdana" w:cs="Calibri"/>
          <w:sz w:val="18"/>
          <w:szCs w:val="24"/>
          <w:lang w:val="en-GB" w:eastAsia="en-GB"/>
        </w:rPr>
        <w:t>Among the Dutch partner institutions that have brought expertise in the water and infrastructure sector in Benin are, for example, the University of Wageningen (academic training, education and research), Royal Haskoning DHV (RHDHV) (port maintenance and extension , OmiDelta TA), Witteveen + Bos (port studies and OmiDelta formulation), BosKalis (coastal protection), SNV (rural development, water supply and sanitation), IUCN-Netherlands (strengthening of civil society for natural resource management ), VNG International (among others around Lake Nokoué) and many other NGOs.</w:t>
      </w:r>
    </w:p>
    <w:p w14:paraId="2DB08BCA" w14:textId="77777777" w:rsidR="002336EA" w:rsidRPr="002336EA" w:rsidRDefault="002336EA" w:rsidP="002336EA">
      <w:pPr>
        <w:spacing w:after="0" w:line="240" w:lineRule="atLeast"/>
        <w:ind w:left="720"/>
        <w:contextualSpacing/>
        <w:rPr>
          <w:rFonts w:ascii="Verdana" w:eastAsia="Times New Roman" w:hAnsi="Verdana" w:cs="Calibri"/>
          <w:sz w:val="18"/>
          <w:szCs w:val="24"/>
          <w:lang w:val="en-GB" w:eastAsia="en-GB"/>
        </w:rPr>
      </w:pPr>
    </w:p>
    <w:p w14:paraId="68EF9920" w14:textId="77777777" w:rsidR="002336EA" w:rsidRPr="002336EA" w:rsidRDefault="002336EA" w:rsidP="002336EA">
      <w:pPr>
        <w:spacing w:after="0" w:line="240" w:lineRule="atLeast"/>
        <w:ind w:left="720"/>
        <w:contextualSpacing/>
        <w:rPr>
          <w:rFonts w:ascii="Verdana" w:eastAsia="Times New Roman" w:hAnsi="Verdana" w:cs="Calibri"/>
          <w:sz w:val="18"/>
          <w:szCs w:val="24"/>
          <w:lang w:val="en-GB" w:eastAsia="en-GB"/>
        </w:rPr>
      </w:pPr>
      <w:r w:rsidRPr="002336EA">
        <w:rPr>
          <w:rFonts w:ascii="Verdana" w:eastAsia="Times New Roman" w:hAnsi="Verdana" w:cs="Calibri"/>
          <w:sz w:val="18"/>
          <w:szCs w:val="24"/>
          <w:lang w:val="en-GB" w:eastAsia="en-GB"/>
        </w:rPr>
        <w:t>Over the past few decades, cooperation between Benin and the Netherlands has been particularly intense, especially with regard to water supply and sanitation, environmental planning and management, GIRE (IWRM) and institutional development.</w:t>
      </w:r>
    </w:p>
    <w:p w14:paraId="4AD24B2C" w14:textId="77777777" w:rsidR="002336EA" w:rsidRPr="002336EA" w:rsidRDefault="002336EA" w:rsidP="002336EA">
      <w:pPr>
        <w:spacing w:after="0" w:line="240" w:lineRule="atLeast"/>
        <w:ind w:left="720"/>
        <w:contextualSpacing/>
        <w:rPr>
          <w:rFonts w:ascii="Verdana" w:eastAsia="Times New Roman" w:hAnsi="Verdana" w:cs="Calibri"/>
          <w:sz w:val="18"/>
          <w:szCs w:val="24"/>
          <w:lang w:val="en-GB" w:eastAsia="en-GB"/>
        </w:rPr>
      </w:pPr>
    </w:p>
    <w:p w14:paraId="009ABC11" w14:textId="77777777" w:rsidR="002336EA" w:rsidRPr="002336EA" w:rsidRDefault="002336EA" w:rsidP="002336EA">
      <w:pPr>
        <w:spacing w:after="0" w:line="240" w:lineRule="atLeast"/>
        <w:ind w:left="720"/>
        <w:contextualSpacing/>
        <w:rPr>
          <w:rFonts w:ascii="Verdana" w:eastAsia="Times New Roman" w:hAnsi="Verdana" w:cs="Calibri"/>
          <w:sz w:val="18"/>
          <w:szCs w:val="24"/>
          <w:lang w:val="en-GB" w:eastAsia="en-GB"/>
        </w:rPr>
      </w:pPr>
      <w:r w:rsidRPr="002336EA">
        <w:rPr>
          <w:rFonts w:ascii="Verdana" w:eastAsia="Times New Roman" w:hAnsi="Verdana" w:cs="Calibri"/>
          <w:sz w:val="18"/>
          <w:szCs w:val="24"/>
          <w:lang w:val="en-GB" w:eastAsia="en-GB"/>
        </w:rPr>
        <w:t>Regarding the planning, design, operation and maintenance of infrastructure, these are implemented under the responsibility of the ministries and specialized agencies such as the National Agency for the Promotion of Heritage and the Development of Tourism (ANPT), the Directorate General for Environment and Climate (DGEC), the Agency for the Integrated Development of Lake Ahémé and its Channels (ADELAC), the Beninese Environment Agency (ABE), the Directorate General for Water (DGEau), Directorate General for Mines (DGMines), the Agency for the Living Environment and Development of the Territory (ACVDT), the Agency for the Rehabilitation of the City of Porto-Novo (ARPN ), the Directorate of Fisheries Production (DPH), the National Geographic Institute (IGN), planning offices and technical services of municipalities, specialized design offices and scientific institutions such as the University of Abomey -Calavi through the Laboratory of Water Sciences and Knowledge (LSTE) of the National Institute of Water (INE) and the Laboratory of Ecology and Management of Aquatic Ecosystems (LEMEA) of the Faculty of Science and Techniques (FAST) and the Institute of Fisheries and Oceanology of Benin (IRHOB), etc. These institutions, each with their own capacities, have the skills to participate in a consortium of national and international experts for the conduct of studies and the implementation of the project.</w:t>
      </w:r>
    </w:p>
    <w:p w14:paraId="4B2D8CED" w14:textId="77777777" w:rsidR="002336EA" w:rsidRPr="002336EA" w:rsidRDefault="002336EA" w:rsidP="002336EA">
      <w:pPr>
        <w:spacing w:after="0" w:line="240" w:lineRule="atLeast"/>
        <w:ind w:left="720"/>
        <w:contextualSpacing/>
        <w:rPr>
          <w:rFonts w:ascii="Verdana" w:eastAsia="Times New Roman" w:hAnsi="Verdana" w:cs="Calibri"/>
          <w:sz w:val="18"/>
          <w:szCs w:val="24"/>
          <w:lang w:val="en-GB" w:eastAsia="en-GB"/>
        </w:rPr>
      </w:pPr>
    </w:p>
    <w:p w14:paraId="2D843525" w14:textId="77777777" w:rsidR="002336EA" w:rsidRPr="002336EA" w:rsidRDefault="002336EA" w:rsidP="002336EA">
      <w:pPr>
        <w:spacing w:after="0" w:line="240" w:lineRule="atLeast"/>
        <w:ind w:left="720"/>
        <w:contextualSpacing/>
        <w:rPr>
          <w:rFonts w:ascii="Verdana" w:eastAsia="Times New Roman" w:hAnsi="Verdana" w:cs="Calibri"/>
          <w:sz w:val="18"/>
          <w:szCs w:val="24"/>
          <w:lang w:val="en-GB" w:eastAsia="en-GB"/>
        </w:rPr>
      </w:pPr>
      <w:r w:rsidRPr="002336EA">
        <w:rPr>
          <w:rFonts w:ascii="Verdana" w:eastAsia="Times New Roman" w:hAnsi="Verdana" w:cs="Calibri"/>
          <w:sz w:val="18"/>
          <w:szCs w:val="24"/>
          <w:lang w:val="en-GB" w:eastAsia="en-GB"/>
        </w:rPr>
        <w:t>Despite long-established international cooperation, available scientific capacity and the institutional infrastructure in place, the current state of water management infrastructure is still not up to standard. The monitoring network (gauging stations, etc.), both for surface water and for groundwater, lacks operational quality and is highly dependent on international (financial and technical) inputs. We can cite as examples the master plan of the Ouéme basin, the functioning of the National Early Warning System, the National Water Information System of Benin (SNIEAU) and the urban sanitation master plans (PDA), all developed with the help of the international community.</w:t>
      </w:r>
    </w:p>
    <w:p w14:paraId="43F7919A" w14:textId="77777777" w:rsidR="002336EA" w:rsidRPr="002336EA" w:rsidRDefault="002336EA" w:rsidP="002336EA">
      <w:pPr>
        <w:spacing w:after="0" w:line="240" w:lineRule="atLeast"/>
        <w:ind w:left="720"/>
        <w:contextualSpacing/>
        <w:rPr>
          <w:rFonts w:ascii="Verdana" w:eastAsia="Times New Roman" w:hAnsi="Verdana" w:cs="Calibri"/>
          <w:sz w:val="18"/>
          <w:szCs w:val="24"/>
          <w:lang w:val="en-GB" w:eastAsia="en-GB"/>
        </w:rPr>
      </w:pPr>
    </w:p>
    <w:p w14:paraId="0B998D87" w14:textId="77777777" w:rsidR="002336EA" w:rsidRPr="002336EA" w:rsidRDefault="002336EA" w:rsidP="002336EA">
      <w:pPr>
        <w:spacing w:after="0" w:line="240" w:lineRule="atLeast"/>
        <w:ind w:left="720"/>
        <w:contextualSpacing/>
        <w:rPr>
          <w:rFonts w:ascii="Verdana" w:eastAsia="Times New Roman" w:hAnsi="Verdana" w:cs="Calibri"/>
          <w:sz w:val="18"/>
          <w:szCs w:val="24"/>
          <w:lang w:val="en-GB" w:eastAsia="en-GB"/>
        </w:rPr>
      </w:pPr>
      <w:r w:rsidRPr="002336EA">
        <w:rPr>
          <w:rFonts w:ascii="Verdana" w:eastAsia="Times New Roman" w:hAnsi="Verdana" w:cs="Calibri"/>
          <w:sz w:val="18"/>
          <w:szCs w:val="24"/>
          <w:lang w:val="en-GB" w:eastAsia="en-GB"/>
        </w:rPr>
        <w:t xml:space="preserve">The project fits very well into the country's national development strategy (Government Action Program -PAG-) as well as into the institutional framework for the implementation of projects of this size and importance. Planned activities including i. Dredging to improve the ecological performance of ecosystems and supply the market with sand; ii. Construction of improved civil infrastructure for flood control; iii. Water quality management; iv. Improvement of the fisheries; v. River transport and tourism development) could all have a leverage effect in the PAG. This applies both to the proposed infrastructure investment portfolio and to its financing, which should include a considerable component of private </w:t>
      </w:r>
      <w:r w:rsidRPr="002336EA">
        <w:rPr>
          <w:rFonts w:ascii="Verdana" w:eastAsia="Times New Roman" w:hAnsi="Verdana" w:cs="Calibri"/>
          <w:sz w:val="18"/>
          <w:szCs w:val="24"/>
          <w:lang w:val="en-GB" w:eastAsia="en-GB"/>
        </w:rPr>
        <w:lastRenderedPageBreak/>
        <w:t>sector participation, together with contributions from international financial institutions. The choice of the MCVDD ministry (overall responsibility) and of the ADELAC agency (coordination) corresponds to the preference of the Government policy to have short lines of operation between the Government and activities on the ground.</w:t>
      </w:r>
    </w:p>
    <w:p w14:paraId="1CD71996" w14:textId="77777777" w:rsidR="002336EA" w:rsidRPr="002336EA" w:rsidRDefault="002336EA" w:rsidP="002336EA">
      <w:pPr>
        <w:spacing w:after="0" w:line="240" w:lineRule="atLeast"/>
        <w:ind w:left="720"/>
        <w:contextualSpacing/>
        <w:rPr>
          <w:rFonts w:ascii="Verdana" w:eastAsia="Times New Roman" w:hAnsi="Verdana" w:cs="Calibri"/>
          <w:sz w:val="18"/>
          <w:szCs w:val="24"/>
          <w:lang w:val="en-GB" w:eastAsia="en-GB"/>
        </w:rPr>
      </w:pPr>
    </w:p>
    <w:p w14:paraId="02FD430C" w14:textId="77777777" w:rsidR="002336EA" w:rsidRPr="002336EA" w:rsidRDefault="002336EA" w:rsidP="002336EA">
      <w:pPr>
        <w:spacing w:after="0" w:line="240" w:lineRule="atLeast"/>
        <w:ind w:left="720"/>
        <w:contextualSpacing/>
        <w:rPr>
          <w:rFonts w:ascii="Verdana" w:eastAsia="Times New Roman" w:hAnsi="Verdana" w:cs="Calibri"/>
          <w:sz w:val="18"/>
          <w:szCs w:val="24"/>
          <w:lang w:val="en-GB" w:eastAsia="en-GB"/>
        </w:rPr>
      </w:pPr>
      <w:r w:rsidRPr="002336EA">
        <w:rPr>
          <w:rFonts w:ascii="Verdana" w:eastAsia="Times New Roman" w:hAnsi="Verdana" w:cs="Calibri"/>
          <w:sz w:val="18"/>
          <w:szCs w:val="24"/>
          <w:lang w:val="en-GB" w:eastAsia="en-GB"/>
        </w:rPr>
        <w:t>Regarding the knowledge and capacities available to investigate, design, outsource and implement a project the size and complexity of D2B18BN01, the sector has its limits and a lot of work is done in cooperation with international projects. The National Water Institute (INE), which recently published a report on the state of the Ouémé delta as part of the Omidelta program, plays an important role. INE also brings together a number of leading scientists from the water and environment sector who regularly publish articles on surface water and groundwater management issues (see the list of selected documentation attached). The Institute of Fisheries and Oceanological Research of Benin (IRHOB) is another institute which has advanced knowledge and capacities in terms of research in the water sector. It is currently participating in a lake Nokoué monitoring project, in cooperation with IRD France.</w:t>
      </w:r>
    </w:p>
    <w:p w14:paraId="4901D5A3" w14:textId="77777777" w:rsidR="002336EA" w:rsidRPr="002336EA" w:rsidRDefault="002336EA" w:rsidP="002336EA">
      <w:pPr>
        <w:spacing w:after="0" w:line="240" w:lineRule="atLeast"/>
        <w:ind w:left="720"/>
        <w:contextualSpacing/>
        <w:rPr>
          <w:rFonts w:ascii="Verdana" w:eastAsia="Times New Roman" w:hAnsi="Verdana" w:cs="Calibri"/>
          <w:sz w:val="18"/>
          <w:szCs w:val="24"/>
          <w:lang w:val="en-GB" w:eastAsia="en-GB"/>
        </w:rPr>
      </w:pPr>
    </w:p>
    <w:p w14:paraId="666DA37C" w14:textId="77777777" w:rsidR="002336EA" w:rsidRPr="002336EA" w:rsidRDefault="002336EA" w:rsidP="002336EA">
      <w:pPr>
        <w:spacing w:after="0" w:line="240" w:lineRule="atLeast"/>
        <w:ind w:left="720"/>
        <w:contextualSpacing/>
        <w:rPr>
          <w:rFonts w:ascii="Verdana" w:eastAsia="Times New Roman" w:hAnsi="Verdana" w:cs="Calibri"/>
          <w:sz w:val="18"/>
          <w:szCs w:val="24"/>
          <w:lang w:val="en-GB" w:eastAsia="en-GB"/>
        </w:rPr>
      </w:pPr>
      <w:r w:rsidRPr="002336EA">
        <w:rPr>
          <w:rFonts w:ascii="Verdana" w:eastAsia="Times New Roman" w:hAnsi="Verdana" w:cs="Calibri"/>
          <w:sz w:val="18"/>
          <w:szCs w:val="24"/>
          <w:lang w:val="en-GB" w:eastAsia="en-GB"/>
        </w:rPr>
        <w:t>Regarding supervision, certification and licenses, the main responsibilities lie with the National Environmental Agency of Benin (ABE), and institutions involved in planning and decision-making for the sector such as DG Water, the Ouémé Basin Commission and the Ouémé Basin Agency. Locally, the municipalities also have a specific role to play, for example in the planning and implementation of their community development plans (CDPs).</w:t>
      </w:r>
    </w:p>
    <w:p w14:paraId="1725B1A7" w14:textId="77777777" w:rsidR="002336EA" w:rsidRPr="002336EA" w:rsidRDefault="002336EA" w:rsidP="002336EA">
      <w:pPr>
        <w:spacing w:after="0" w:line="240" w:lineRule="atLeast"/>
        <w:ind w:left="720"/>
        <w:contextualSpacing/>
        <w:rPr>
          <w:rFonts w:ascii="Verdana" w:eastAsia="Times New Roman" w:hAnsi="Verdana" w:cs="Calibri"/>
          <w:sz w:val="18"/>
          <w:szCs w:val="24"/>
          <w:lang w:val="en-GB" w:eastAsia="en-GB"/>
        </w:rPr>
      </w:pPr>
    </w:p>
    <w:p w14:paraId="1C1D12D6" w14:textId="77777777" w:rsidR="002336EA" w:rsidRPr="002336EA" w:rsidRDefault="002336EA" w:rsidP="002336EA">
      <w:pPr>
        <w:spacing w:after="0" w:line="240" w:lineRule="atLeast"/>
        <w:ind w:left="720"/>
        <w:contextualSpacing/>
        <w:rPr>
          <w:rFonts w:ascii="Verdana" w:eastAsia="Times New Roman" w:hAnsi="Verdana" w:cs="Times New Roman"/>
          <w:sz w:val="18"/>
          <w:szCs w:val="24"/>
          <w:lang w:val="en-US" w:eastAsia="en-GB"/>
        </w:rPr>
      </w:pPr>
      <w:bookmarkStart w:id="7" w:name="_Toc45109394"/>
      <w:r w:rsidRPr="002336EA">
        <w:rPr>
          <w:rFonts w:ascii="Verdana" w:eastAsia="Times New Roman" w:hAnsi="Verdana" w:cs="Times New Roman"/>
          <w:sz w:val="18"/>
          <w:szCs w:val="24"/>
          <w:lang w:val="en-US" w:eastAsia="en-GB"/>
        </w:rPr>
        <w:t>Impact of the problem on the region</w:t>
      </w:r>
      <w:bookmarkEnd w:id="7"/>
    </w:p>
    <w:p w14:paraId="226853F1" w14:textId="77777777" w:rsidR="002336EA" w:rsidRPr="002336EA" w:rsidRDefault="002336EA" w:rsidP="002336EA">
      <w:pPr>
        <w:spacing w:after="0" w:line="240" w:lineRule="atLeast"/>
        <w:ind w:left="720"/>
        <w:contextualSpacing/>
        <w:rPr>
          <w:rFonts w:ascii="Verdana" w:eastAsia="Times New Roman" w:hAnsi="Verdana" w:cs="Calibri"/>
          <w:sz w:val="18"/>
          <w:szCs w:val="24"/>
          <w:lang w:val="en-GB" w:eastAsia="en-GB"/>
        </w:rPr>
      </w:pPr>
      <w:r w:rsidRPr="002336EA">
        <w:rPr>
          <w:rFonts w:ascii="Verdana" w:eastAsia="Times New Roman" w:hAnsi="Verdana" w:cs="Calibri"/>
          <w:sz w:val="18"/>
          <w:szCs w:val="24"/>
          <w:lang w:val="en-GB" w:eastAsia="en-GB"/>
        </w:rPr>
        <w:t>Lake Nokoué and the Porto-Novo lagoon are located right in the centre of the most urbanized region of Benin and have around 100,000 people who depend directly on these waters (fishing, aquaculture, transport, agriculture, health, security, etc.). Especially, the lack of sanitation has an impact on the quality of water, health and security of the population, which constitutes a major threat to the living conditions of the region. The heart of the problem, from an eco-technical point of view, is the severe loss of bio-productivity in the lake and the lagoon. This is, presumably, caused by large-scale sedimentation in combination with water pollution throughout the lake and lagoon; the largely uncontrolled exchange of water between the lake and the ocean and repeated flooding. The low level of socio-economic development of the population and the lack of targeted funding for projects that improve their living conditions or create employment (and income) opportunities also constitute obstacles to development. The combination of a deteriorating environment and the lack of socio-economic development opportunities for the population dependent on the lake system poses health and development problems for which projects have been developed in the Tourism and Transport sectors, Agriculture, GIRE (IWRM), etc. It is in this context that a D2B program must make the difference.</w:t>
      </w:r>
    </w:p>
    <w:p w14:paraId="176900DF" w14:textId="77777777" w:rsidR="002336EA" w:rsidRPr="002336EA" w:rsidRDefault="002336EA" w:rsidP="002336EA">
      <w:pPr>
        <w:spacing w:after="0" w:line="240" w:lineRule="atLeast"/>
        <w:ind w:left="720"/>
        <w:contextualSpacing/>
        <w:rPr>
          <w:rFonts w:ascii="Verdana" w:eastAsia="Times New Roman" w:hAnsi="Verdana" w:cs="Calibri"/>
          <w:sz w:val="18"/>
          <w:szCs w:val="24"/>
          <w:lang w:val="en-GB" w:eastAsia="en-GB"/>
        </w:rPr>
      </w:pPr>
    </w:p>
    <w:p w14:paraId="325326F5" w14:textId="77777777" w:rsidR="002336EA" w:rsidRPr="002336EA" w:rsidRDefault="002336EA" w:rsidP="002336EA">
      <w:pPr>
        <w:spacing w:after="0" w:line="240" w:lineRule="atLeast"/>
        <w:ind w:left="720"/>
        <w:contextualSpacing/>
        <w:rPr>
          <w:rFonts w:ascii="Verdana" w:eastAsia="Times New Roman" w:hAnsi="Verdana" w:cs="Times New Roman"/>
          <w:sz w:val="18"/>
          <w:szCs w:val="24"/>
          <w:lang w:val="en-US" w:eastAsia="en-GB"/>
        </w:rPr>
      </w:pPr>
      <w:bookmarkStart w:id="8" w:name="_Toc45109395"/>
      <w:r w:rsidRPr="002336EA">
        <w:rPr>
          <w:rFonts w:ascii="Verdana" w:eastAsia="Times New Roman" w:hAnsi="Verdana" w:cs="Times New Roman"/>
          <w:sz w:val="18"/>
          <w:szCs w:val="24"/>
          <w:lang w:val="en-US" w:eastAsia="en-GB"/>
        </w:rPr>
        <w:t>Relevance from a development perspective</w:t>
      </w:r>
      <w:bookmarkEnd w:id="8"/>
    </w:p>
    <w:p w14:paraId="3B0A4478" w14:textId="77777777" w:rsidR="002336EA" w:rsidRPr="002336EA" w:rsidRDefault="002336EA" w:rsidP="002336EA">
      <w:pPr>
        <w:spacing w:after="0" w:line="240" w:lineRule="atLeast"/>
        <w:ind w:left="720"/>
        <w:contextualSpacing/>
        <w:rPr>
          <w:rFonts w:ascii="Verdana" w:eastAsia="Times New Roman" w:hAnsi="Verdana" w:cs="Calibri"/>
          <w:sz w:val="18"/>
          <w:szCs w:val="24"/>
          <w:lang w:val="en-GB" w:eastAsia="en-GB"/>
        </w:rPr>
      </w:pPr>
      <w:r w:rsidRPr="002336EA">
        <w:rPr>
          <w:rFonts w:ascii="Verdana" w:eastAsia="Times New Roman" w:hAnsi="Verdana" w:cs="Calibri"/>
          <w:sz w:val="18"/>
          <w:szCs w:val="24"/>
          <w:lang w:val="en-GB" w:eastAsia="en-GB"/>
        </w:rPr>
        <w:t>According to government plans, tourism, combined with the other operating options for all the lakes mentioned, should become one of the priority options for the future (PAG flagship project 2: Ganvié lake city and the ANPT). Other ideas, notably a leisure park on the shore of the lake (community of Cotonou), the cleaning of market areas near the landing facilities, urban drainage and the treatment of sewage sludge and the stabilization of the banks have also been developed. . A basic condition for carrying out such plans is that the remaining environment is stable, safe and clean, which is a major reason for "sanitation and full restoration" of the Porto-Novo Lagoon and Lake Nokoué.</w:t>
      </w:r>
    </w:p>
    <w:p w14:paraId="13F183AB" w14:textId="77777777" w:rsidR="002336EA" w:rsidRPr="002336EA" w:rsidRDefault="002336EA" w:rsidP="002336EA">
      <w:pPr>
        <w:spacing w:after="0" w:line="240" w:lineRule="atLeast"/>
        <w:ind w:left="720"/>
        <w:contextualSpacing/>
        <w:rPr>
          <w:rFonts w:ascii="Verdana" w:eastAsia="Times New Roman" w:hAnsi="Verdana" w:cs="Calibri"/>
          <w:sz w:val="18"/>
          <w:szCs w:val="24"/>
          <w:lang w:val="en-GB" w:eastAsia="en-GB"/>
        </w:rPr>
      </w:pPr>
    </w:p>
    <w:p w14:paraId="3354E2F5" w14:textId="77777777" w:rsidR="002336EA" w:rsidRPr="002336EA" w:rsidRDefault="002336EA" w:rsidP="002336EA">
      <w:pPr>
        <w:spacing w:after="0" w:line="240" w:lineRule="atLeast"/>
        <w:ind w:left="720"/>
        <w:contextualSpacing/>
        <w:rPr>
          <w:rFonts w:ascii="Verdana" w:eastAsia="Times New Roman" w:hAnsi="Verdana" w:cs="Calibri"/>
          <w:sz w:val="18"/>
          <w:szCs w:val="24"/>
          <w:lang w:val="en-GB" w:eastAsia="en-GB"/>
        </w:rPr>
      </w:pPr>
      <w:r w:rsidRPr="002336EA">
        <w:rPr>
          <w:rFonts w:ascii="Verdana" w:eastAsia="Times New Roman" w:hAnsi="Verdana" w:cs="Calibri"/>
          <w:sz w:val="18"/>
          <w:szCs w:val="24"/>
          <w:lang w:val="en-GB" w:eastAsia="en-GB"/>
        </w:rPr>
        <w:t xml:space="preserve">As is proposed in the guiding policy for the development programs of the "Government Action Program (PAG)", the project should contribute to the possibilities of financing by public-private partnerships (PPP). The D2B18BN01 project, which aims to put in place direct intervention measures aimed at improving and stabilizing the natural characteristics and (water)quality and ecosystems of the lake and lagoon and thus creating an environment conducive to commercial outlets in the lake and around the lake (such as </w:t>
      </w:r>
      <w:r w:rsidRPr="002336EA">
        <w:rPr>
          <w:rFonts w:ascii="Verdana" w:eastAsia="Times New Roman" w:hAnsi="Verdana" w:cs="Calibri"/>
          <w:sz w:val="18"/>
          <w:szCs w:val="24"/>
          <w:lang w:val="en-GB" w:eastAsia="en-GB"/>
        </w:rPr>
        <w:lastRenderedPageBreak/>
        <w:t>fishing , transport, tourism, etc.) is supposed to create these outcomes. The main orientation criterion for the development scenarios developed under D2B should be the use of joint financing with the private sector.</w:t>
      </w:r>
    </w:p>
    <w:p w14:paraId="0C03142C" w14:textId="77777777" w:rsidR="00FC3CB6" w:rsidRPr="002336EA" w:rsidRDefault="00FC3CB6" w:rsidP="002336EA">
      <w:pPr>
        <w:rPr>
          <w:lang w:val="en-US"/>
        </w:rPr>
      </w:pPr>
    </w:p>
    <w:sectPr w:rsidR="00FC3CB6" w:rsidRPr="002336E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0000000000000000000"/>
    <w:charset w:val="8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0EF0B02"/>
    <w:multiLevelType w:val="multilevel"/>
    <w:tmpl w:val="2C089B44"/>
    <w:lvl w:ilvl="0">
      <w:start w:val="1"/>
      <w:numFmt w:val="decimal"/>
      <w:lvlText w:val="%1."/>
      <w:lvlJc w:val="left"/>
      <w:pPr>
        <w:ind w:left="720" w:hanging="360"/>
      </w:pPr>
      <w:rPr>
        <w:rFonts w:hint="default"/>
      </w:rPr>
    </w:lvl>
    <w:lvl w:ilvl="1">
      <w:start w:val="6"/>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 w15:restartNumberingAfterBreak="0">
    <w:nsid w:val="65302B43"/>
    <w:multiLevelType w:val="hybridMultilevel"/>
    <w:tmpl w:val="1E62D826"/>
    <w:lvl w:ilvl="0" w:tplc="3EE8D460">
      <w:numFmt w:val="bullet"/>
      <w:lvlText w:val="•"/>
      <w:lvlJc w:val="left"/>
      <w:pPr>
        <w:ind w:left="1080" w:hanging="720"/>
      </w:pPr>
      <w:rPr>
        <w:rFonts w:ascii="Verdana" w:eastAsia="Calibri" w:hAnsi="Verdana"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36EA"/>
    <w:rsid w:val="002336EA"/>
    <w:rsid w:val="004213FB"/>
    <w:rsid w:val="00FC3CB6"/>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7C9C00"/>
  <w15:chartTrackingRefBased/>
  <w15:docId w15:val="{A63DA873-41BF-468B-B14B-9EEAB35B61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2336EA"/>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2336E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english.rvo.nl/subsidies-programmes/develop2build-d2b" TargetMode="Externa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4387</Words>
  <Characters>24132</Characters>
  <Application>Microsoft Office Word</Application>
  <DocSecurity>0</DocSecurity>
  <Lines>201</Lines>
  <Paragraphs>56</Paragraphs>
  <ScaleCrop>false</ScaleCrop>
  <Company>Ministerie van Economische Zaken en Klimaat</Company>
  <LinksUpToDate>false</LinksUpToDate>
  <CharactersWithSpaces>28463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Ballering, mr. H.H.A. (Henk)</dc:creator>
  <cp:keywords/>
  <dc:description/>
  <cp:lastModifiedBy>Ballering, mr. H.H.A. (Henk)</cp:lastModifiedBy>
  <cp:revision>1</cp:revision>
  <dcterms:created xsi:type="dcterms:W3CDTF">2021-07-27T12:28:00Z</dcterms:created>
  <dcterms:modified xsi:type="dcterms:W3CDTF">2021-07-27T12:29:00Z</dcterms:modified>
</cp:coreProperties>
</file>