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F6849" w14:textId="77777777" w:rsidR="00DF4215" w:rsidRPr="00C24D94" w:rsidRDefault="00DF4215" w:rsidP="00DF4215">
      <w:pPr>
        <w:rPr>
          <w:b/>
          <w:bCs/>
        </w:rPr>
      </w:pPr>
      <w:bookmarkStart w:id="0" w:name="_GoBack"/>
      <w:bookmarkEnd w:id="0"/>
      <w:r w:rsidRPr="00C24D94">
        <w:rPr>
          <w:b/>
          <w:bCs/>
        </w:rPr>
        <w:t>Overeenkomst Operationeel Parkeerbeheer Gemeente Oss</w:t>
      </w:r>
    </w:p>
    <w:p w14:paraId="3750A371" w14:textId="77777777" w:rsidR="00DF4215" w:rsidRPr="008348B3" w:rsidRDefault="00DF4215" w:rsidP="00DF4215">
      <w:pPr>
        <w:rPr>
          <w:szCs w:val="18"/>
        </w:rPr>
      </w:pPr>
    </w:p>
    <w:p w14:paraId="2B9B079C" w14:textId="77777777" w:rsidR="00DF4215" w:rsidRPr="00C24D94" w:rsidRDefault="00DF4215" w:rsidP="00DF4215">
      <w:pPr>
        <w:rPr>
          <w:b/>
          <w:bCs/>
        </w:rPr>
      </w:pPr>
      <w:r w:rsidRPr="00C24D94">
        <w:rPr>
          <w:b/>
          <w:bCs/>
        </w:rPr>
        <w:t>Partijen</w:t>
      </w:r>
      <w:r w:rsidRPr="00C24D94">
        <w:rPr>
          <w:b/>
          <w:bCs/>
        </w:rPr>
        <w:br/>
      </w:r>
    </w:p>
    <w:p w14:paraId="757FB22D" w14:textId="77777777" w:rsidR="00DF4215" w:rsidRPr="008348B3" w:rsidRDefault="00DF4215" w:rsidP="00DF4215">
      <w:pPr>
        <w:rPr>
          <w:szCs w:val="18"/>
        </w:rPr>
      </w:pPr>
      <w:r w:rsidRPr="008348B3">
        <w:rPr>
          <w:b/>
          <w:bCs/>
          <w:szCs w:val="18"/>
        </w:rPr>
        <w:t>De gemeente Oss</w:t>
      </w:r>
      <w:r w:rsidRPr="008348B3">
        <w:rPr>
          <w:szCs w:val="18"/>
        </w:rPr>
        <w:t xml:space="preserve">, hierbij rechtsgeldig vertegenwoordigd door </w:t>
      </w:r>
      <w:r>
        <w:rPr>
          <w:szCs w:val="18"/>
        </w:rPr>
        <w:t>&lt;</w:t>
      </w:r>
      <w:r w:rsidRPr="00C24D94">
        <w:t>invullen</w:t>
      </w:r>
      <w:r>
        <w:rPr>
          <w:szCs w:val="18"/>
        </w:rPr>
        <w:t>&gt;</w:t>
      </w:r>
      <w:r w:rsidRPr="008348B3">
        <w:rPr>
          <w:szCs w:val="18"/>
        </w:rPr>
        <w:t xml:space="preserve">, in de functie van </w:t>
      </w:r>
      <w:r>
        <w:rPr>
          <w:szCs w:val="18"/>
        </w:rPr>
        <w:t>&lt;</w:t>
      </w:r>
      <w:r w:rsidRPr="00C24D94">
        <w:t>invullen</w:t>
      </w:r>
      <w:r>
        <w:rPr>
          <w:szCs w:val="18"/>
        </w:rPr>
        <w:t>&gt;</w:t>
      </w:r>
      <w:r w:rsidRPr="008348B3">
        <w:rPr>
          <w:szCs w:val="18"/>
        </w:rPr>
        <w:t xml:space="preserve">, </w:t>
      </w:r>
    </w:p>
    <w:p w14:paraId="3EE365A1" w14:textId="77777777" w:rsidR="00DF4215" w:rsidRPr="008348B3" w:rsidRDefault="00DF4215" w:rsidP="00DF4215">
      <w:pPr>
        <w:rPr>
          <w:szCs w:val="18"/>
        </w:rPr>
      </w:pPr>
    </w:p>
    <w:p w14:paraId="34BE9FF0" w14:textId="77777777" w:rsidR="00DF4215" w:rsidRPr="00C24D94" w:rsidRDefault="00DF4215" w:rsidP="00DF4215">
      <w:r w:rsidRPr="008348B3">
        <w:rPr>
          <w:szCs w:val="18"/>
        </w:rPr>
        <w:t xml:space="preserve">hierna te noemen: </w:t>
      </w:r>
      <w:r w:rsidRPr="008348B3">
        <w:rPr>
          <w:b/>
          <w:szCs w:val="18"/>
        </w:rPr>
        <w:t>Opdrachtgever</w:t>
      </w:r>
    </w:p>
    <w:p w14:paraId="100A9AD9" w14:textId="77777777" w:rsidR="00DF4215" w:rsidRPr="00C24D94" w:rsidRDefault="00DF4215" w:rsidP="00DF4215"/>
    <w:p w14:paraId="01E33673" w14:textId="77777777" w:rsidR="00DF4215" w:rsidRPr="008348B3" w:rsidRDefault="00DF4215" w:rsidP="00DF4215">
      <w:pPr>
        <w:rPr>
          <w:b/>
          <w:bCs/>
          <w:szCs w:val="18"/>
        </w:rPr>
      </w:pPr>
      <w:r w:rsidRPr="008348B3">
        <w:rPr>
          <w:b/>
          <w:bCs/>
          <w:szCs w:val="18"/>
        </w:rPr>
        <w:t xml:space="preserve">en  </w:t>
      </w:r>
    </w:p>
    <w:p w14:paraId="04AC956D" w14:textId="77777777" w:rsidR="00DF4215" w:rsidRPr="008348B3" w:rsidRDefault="00DF4215" w:rsidP="00DF4215">
      <w:pPr>
        <w:rPr>
          <w:b/>
          <w:bCs/>
          <w:szCs w:val="18"/>
        </w:rPr>
      </w:pPr>
    </w:p>
    <w:p w14:paraId="6BED1A30" w14:textId="77777777" w:rsidR="00DF4215" w:rsidRPr="008348B3" w:rsidRDefault="00DF4215" w:rsidP="00DF4215">
      <w:pPr>
        <w:rPr>
          <w:bCs/>
          <w:iCs/>
          <w:szCs w:val="18"/>
        </w:rPr>
      </w:pPr>
      <w:r>
        <w:rPr>
          <w:b/>
          <w:bCs/>
          <w:szCs w:val="18"/>
        </w:rPr>
        <w:t>&lt;</w:t>
      </w:r>
      <w:r w:rsidRPr="00C24D94">
        <w:t>invullen&gt;</w:t>
      </w:r>
      <w:r w:rsidRPr="008348B3">
        <w:rPr>
          <w:bCs/>
          <w:szCs w:val="18"/>
        </w:rPr>
        <w:t xml:space="preserve">, hierbij rechtsgeldig vertegenwoordigd door </w:t>
      </w:r>
      <w:r>
        <w:rPr>
          <w:bCs/>
          <w:szCs w:val="18"/>
        </w:rPr>
        <w:t>&lt;</w:t>
      </w:r>
      <w:r w:rsidRPr="00C24D94">
        <w:t>invullen&gt;</w:t>
      </w:r>
      <w:r w:rsidRPr="008348B3">
        <w:rPr>
          <w:bCs/>
          <w:szCs w:val="18"/>
        </w:rPr>
        <w:t xml:space="preserve">, in de functie van </w:t>
      </w:r>
      <w:r w:rsidRPr="00C24D94">
        <w:t>directeur</w:t>
      </w:r>
      <w:r w:rsidRPr="008348B3">
        <w:rPr>
          <w:bCs/>
          <w:szCs w:val="18"/>
        </w:rPr>
        <w:t>,</w:t>
      </w:r>
    </w:p>
    <w:p w14:paraId="02129EFD" w14:textId="77777777" w:rsidR="00DF4215" w:rsidRPr="00C24D94" w:rsidRDefault="00DF4215" w:rsidP="00DF4215"/>
    <w:p w14:paraId="1F6A0855" w14:textId="77777777" w:rsidR="00DF4215" w:rsidRPr="008348B3" w:rsidRDefault="00DF4215" w:rsidP="00DF4215">
      <w:pPr>
        <w:rPr>
          <w:b/>
          <w:bCs/>
          <w:iCs/>
          <w:szCs w:val="18"/>
        </w:rPr>
      </w:pPr>
      <w:r w:rsidRPr="008348B3">
        <w:rPr>
          <w:bCs/>
          <w:iCs/>
          <w:szCs w:val="18"/>
        </w:rPr>
        <w:t>hierna te noemen</w:t>
      </w:r>
      <w:r w:rsidRPr="008348B3">
        <w:rPr>
          <w:b/>
          <w:bCs/>
          <w:iCs/>
          <w:szCs w:val="18"/>
        </w:rPr>
        <w:t>: Opdrachtnemer</w:t>
      </w:r>
    </w:p>
    <w:p w14:paraId="41CE761B" w14:textId="77777777" w:rsidR="00DF4215" w:rsidRDefault="00DF4215" w:rsidP="00DF4215">
      <w:pPr>
        <w:rPr>
          <w:szCs w:val="18"/>
        </w:rPr>
      </w:pPr>
      <w:r>
        <w:rPr>
          <w:szCs w:val="18"/>
        </w:rPr>
        <w:tab/>
      </w:r>
    </w:p>
    <w:p w14:paraId="2895B065" w14:textId="77777777" w:rsidR="00DF4215" w:rsidRDefault="00DF4215" w:rsidP="00DF4215">
      <w:pPr>
        <w:rPr>
          <w:szCs w:val="18"/>
        </w:rPr>
      </w:pPr>
      <w:r>
        <w:rPr>
          <w:szCs w:val="18"/>
        </w:rPr>
        <w:t>In aanmerking genomen dat:</w:t>
      </w:r>
    </w:p>
    <w:p w14:paraId="119CCA37" w14:textId="77777777" w:rsidR="00DF4215" w:rsidRPr="005D2F17" w:rsidRDefault="00DF4215" w:rsidP="00DF4215"/>
    <w:p w14:paraId="47066A4F" w14:textId="746919EE" w:rsidR="00DF4215" w:rsidRPr="00C24D94" w:rsidRDefault="00DF4215" w:rsidP="00DF4215">
      <w:pPr>
        <w:pStyle w:val="Lijstalinea"/>
        <w:numPr>
          <w:ilvl w:val="0"/>
          <w:numId w:val="1"/>
        </w:numPr>
        <w:ind w:left="357" w:hanging="357"/>
        <w:rPr>
          <w:rFonts w:cs="Arial"/>
        </w:rPr>
      </w:pPr>
      <w:r w:rsidRPr="00C24D94">
        <w:rPr>
          <w:rFonts w:cs="Arial"/>
        </w:rPr>
        <w:t xml:space="preserve">de Opdrachtgever op 30 augustus 2021 een Europese aankondiging heeft geplaatst met kenmerk </w:t>
      </w:r>
      <w:r w:rsidR="00C84F64" w:rsidRPr="00384BF3">
        <w:rPr>
          <w:rFonts w:cs="Arial"/>
          <w:szCs w:val="18"/>
        </w:rPr>
        <w:t>2021-07/IBOR-PARK/LM-01</w:t>
      </w:r>
      <w:r w:rsidRPr="00C24D94">
        <w:rPr>
          <w:rFonts w:cs="Arial"/>
        </w:rPr>
        <w:t xml:space="preserve"> voor het aangaan van een overheidsopdracht met betrekking tot het operationeel parkeerbeheer. </w:t>
      </w:r>
    </w:p>
    <w:p w14:paraId="5C2939BB" w14:textId="77777777" w:rsidR="00DF4215" w:rsidRPr="00C24D94" w:rsidRDefault="00DF4215" w:rsidP="00DF4215">
      <w:pPr>
        <w:pStyle w:val="Lijstalinea"/>
        <w:numPr>
          <w:ilvl w:val="0"/>
          <w:numId w:val="1"/>
        </w:numPr>
        <w:ind w:left="357" w:hanging="357"/>
        <w:rPr>
          <w:rFonts w:cs="Arial"/>
        </w:rPr>
      </w:pPr>
      <w:r w:rsidRPr="00C24D94">
        <w:rPr>
          <w:rFonts w:cs="Arial"/>
        </w:rPr>
        <w:t>dat de eisen voor het indienen van aanbiedingen zijn vastgelegd in het aan deze overeenkomst gehechte aanbestedingsdocument ‘Operationeel parkeerbeheer Oss’ (hierna ‘het Aanbestedingsdocument’)</w:t>
      </w:r>
    </w:p>
    <w:p w14:paraId="34989D64" w14:textId="77777777" w:rsidR="00DF4215" w:rsidRPr="00C24D94" w:rsidRDefault="00DF4215" w:rsidP="00DF4215">
      <w:pPr>
        <w:pStyle w:val="Lijstalinea"/>
        <w:numPr>
          <w:ilvl w:val="0"/>
          <w:numId w:val="1"/>
        </w:numPr>
        <w:ind w:left="357" w:hanging="357"/>
        <w:rPr>
          <w:rFonts w:cs="Arial"/>
        </w:rPr>
      </w:pPr>
      <w:r w:rsidRPr="00C24D94">
        <w:rPr>
          <w:rFonts w:cs="Arial"/>
        </w:rPr>
        <w:t>er door geïnteresseerde marktpartijen inlichtingen zijn ingewonnen, waarvan op … en … aan deze overeenkomst gehechte Nota’s van inlichtingen zijn opgemaakt. (hierna ‘de Nota van inlichtingen’)</w:t>
      </w:r>
    </w:p>
    <w:p w14:paraId="5DDAD2BA" w14:textId="77777777" w:rsidR="00DF4215" w:rsidRPr="00C24D94" w:rsidRDefault="00DF4215" w:rsidP="00DF4215">
      <w:pPr>
        <w:pStyle w:val="Lijstalinea"/>
        <w:numPr>
          <w:ilvl w:val="0"/>
          <w:numId w:val="1"/>
        </w:numPr>
        <w:ind w:left="357" w:hanging="357"/>
        <w:rPr>
          <w:rFonts w:cs="Arial"/>
        </w:rPr>
      </w:pPr>
      <w:r w:rsidRPr="00C24D94">
        <w:rPr>
          <w:rFonts w:cs="Arial"/>
        </w:rPr>
        <w:t>op … de aanbesteding van de overheidsopdracht heeft plaatsgevonden en dat de Opdrachtnemer een aan deze overeenkomst gehechte aanbieding heeft gedaan. (hierna ‘de Inschrijving’)</w:t>
      </w:r>
    </w:p>
    <w:p w14:paraId="2ED31BC3" w14:textId="77777777" w:rsidR="00DF4215" w:rsidRPr="00C24D94" w:rsidRDefault="00DF4215" w:rsidP="00DF4215">
      <w:pPr>
        <w:pStyle w:val="Lijstalinea"/>
        <w:numPr>
          <w:ilvl w:val="0"/>
          <w:numId w:val="1"/>
        </w:numPr>
        <w:ind w:left="357" w:hanging="357"/>
        <w:rPr>
          <w:rFonts w:cs="Arial"/>
        </w:rPr>
      </w:pPr>
      <w:r w:rsidRPr="00C24D94">
        <w:rPr>
          <w:rFonts w:cs="Arial"/>
        </w:rPr>
        <w:t>deze Inschrijving de beste prijs kwaliteitverhouding voor de overheidsopdracht betrof.</w:t>
      </w:r>
    </w:p>
    <w:p w14:paraId="73DCDAC8" w14:textId="77777777" w:rsidR="00DF4215" w:rsidRPr="00C24D94" w:rsidRDefault="00DF4215" w:rsidP="00DF4215">
      <w:pPr>
        <w:pStyle w:val="Lijstalinea"/>
        <w:numPr>
          <w:ilvl w:val="0"/>
          <w:numId w:val="1"/>
        </w:numPr>
        <w:ind w:left="357" w:hanging="357"/>
        <w:rPr>
          <w:rFonts w:cs="Arial"/>
        </w:rPr>
      </w:pPr>
      <w:r w:rsidRPr="00C24D94">
        <w:rPr>
          <w:rFonts w:cs="Arial"/>
        </w:rPr>
        <w:t>de Opdrachtgever op … het gunningsbesluit van de overeenkomst aan de Opdrachtnemer heeft uitgesproken.</w:t>
      </w:r>
    </w:p>
    <w:p w14:paraId="7AC22DC7" w14:textId="77777777" w:rsidR="00DF4215" w:rsidRPr="00C24D94" w:rsidRDefault="00DF4215" w:rsidP="00DF4215">
      <w:pPr>
        <w:pStyle w:val="Lijstalinea"/>
        <w:numPr>
          <w:ilvl w:val="0"/>
          <w:numId w:val="1"/>
        </w:numPr>
        <w:ind w:left="357" w:hanging="357"/>
        <w:rPr>
          <w:rFonts w:cs="Arial"/>
        </w:rPr>
      </w:pPr>
      <w:r w:rsidRPr="00C24D94">
        <w:rPr>
          <w:rFonts w:cs="Arial"/>
        </w:rPr>
        <w:t>partijen hun rechten en plichten met betrekking tot uitvoering van het operationeel parkeerbeheer in onderhavige overeenkomst vastleggen.</w:t>
      </w:r>
    </w:p>
    <w:p w14:paraId="066326B4" w14:textId="77777777" w:rsidR="00DF4215" w:rsidRPr="005D2F17" w:rsidRDefault="00DF4215" w:rsidP="00DF4215"/>
    <w:p w14:paraId="24D0812A" w14:textId="77777777" w:rsidR="00DF4215" w:rsidRPr="005D2F17" w:rsidRDefault="00DF4215" w:rsidP="00DF4215"/>
    <w:p w14:paraId="6DF7DD74" w14:textId="77777777" w:rsidR="00DF4215" w:rsidRPr="00C24D94" w:rsidRDefault="00DF4215" w:rsidP="00DF4215">
      <w:pPr>
        <w:rPr>
          <w:b/>
          <w:bCs/>
          <w:szCs w:val="18"/>
        </w:rPr>
      </w:pPr>
      <w:r w:rsidRPr="00C24D94">
        <w:rPr>
          <w:b/>
          <w:bCs/>
          <w:szCs w:val="18"/>
        </w:rPr>
        <w:t>Komen het volgende overeen:</w:t>
      </w:r>
    </w:p>
    <w:p w14:paraId="58F7A9FE" w14:textId="77777777" w:rsidR="00DF4215" w:rsidRPr="008348B3" w:rsidRDefault="00DF4215" w:rsidP="00DF4215">
      <w:pPr>
        <w:rPr>
          <w:szCs w:val="18"/>
        </w:rPr>
      </w:pPr>
    </w:p>
    <w:p w14:paraId="3041630B" w14:textId="77777777" w:rsidR="00DF4215" w:rsidRPr="00FA6653" w:rsidRDefault="00DF4215" w:rsidP="00DF4215">
      <w:pPr>
        <w:pageBreakBefore/>
        <w:tabs>
          <w:tab w:val="left" w:pos="851"/>
        </w:tabs>
        <w:rPr>
          <w:szCs w:val="18"/>
        </w:rPr>
      </w:pPr>
      <w:r w:rsidRPr="008348B3">
        <w:rPr>
          <w:b/>
          <w:bCs/>
          <w:szCs w:val="18"/>
        </w:rPr>
        <w:lastRenderedPageBreak/>
        <w:t>Artikel 1</w:t>
      </w:r>
      <w:r w:rsidRPr="008348B3">
        <w:rPr>
          <w:szCs w:val="18"/>
        </w:rPr>
        <w:t xml:space="preserve"> </w:t>
      </w:r>
      <w:r w:rsidRPr="008348B3">
        <w:rPr>
          <w:szCs w:val="18"/>
        </w:rPr>
        <w:tab/>
      </w:r>
      <w:r w:rsidRPr="008348B3">
        <w:rPr>
          <w:b/>
          <w:szCs w:val="18"/>
        </w:rPr>
        <w:t>Contractstukken</w:t>
      </w:r>
    </w:p>
    <w:p w14:paraId="57817ACE" w14:textId="77777777" w:rsidR="00DF4215" w:rsidRPr="005D2F17" w:rsidRDefault="00DF4215" w:rsidP="00DF4215">
      <w:pPr>
        <w:pStyle w:val="Lijstalinea"/>
        <w:numPr>
          <w:ilvl w:val="0"/>
          <w:numId w:val="2"/>
        </w:numPr>
        <w:ind w:left="360"/>
      </w:pPr>
      <w:r w:rsidRPr="005D2F17">
        <w:t>Deze overeenkomst (hierna: Overeenkomst) met de aangehechte bijlagen vormen het geheel aan bindende afspraken tussen Opdrachtgever en Opdrachtnemer over het onder artikel 2 genoemde onderwerp van de overeenkomst.</w:t>
      </w:r>
    </w:p>
    <w:p w14:paraId="1D511A90" w14:textId="77777777" w:rsidR="00DF4215" w:rsidRPr="005D2F17" w:rsidRDefault="00DF4215" w:rsidP="00DF4215">
      <w:pPr>
        <w:pStyle w:val="Lijstalinea"/>
        <w:numPr>
          <w:ilvl w:val="0"/>
          <w:numId w:val="2"/>
        </w:numPr>
        <w:ind w:left="360"/>
      </w:pPr>
      <w:r w:rsidRPr="005D2F17">
        <w:t>De bijlagen maken onlosmakelijk deel uit van de Overeenkomst. In geval van tegenstrijdigheden geldt de volgende rangorde, waarbij de hoger genoemde bijlage prevaleert boven de lager genoemde bijlage:</w:t>
      </w:r>
    </w:p>
    <w:p w14:paraId="4B74C51A" w14:textId="77777777" w:rsidR="00DF4215" w:rsidRPr="00C24D94" w:rsidRDefault="00DF4215" w:rsidP="00DF4215">
      <w:pPr>
        <w:pStyle w:val="Lijstalinea"/>
        <w:numPr>
          <w:ilvl w:val="0"/>
          <w:numId w:val="10"/>
        </w:numPr>
        <w:ind w:left="709"/>
      </w:pPr>
      <w:r w:rsidRPr="005D2F17">
        <w:t>Deze Overeenkomst;</w:t>
      </w:r>
    </w:p>
    <w:p w14:paraId="59BA5886" w14:textId="77777777" w:rsidR="00DF4215" w:rsidRPr="00C24D94" w:rsidRDefault="00DF4215" w:rsidP="00DF4215">
      <w:pPr>
        <w:pStyle w:val="Lijstalinea"/>
        <w:numPr>
          <w:ilvl w:val="0"/>
          <w:numId w:val="10"/>
        </w:numPr>
        <w:ind w:left="709"/>
      </w:pPr>
      <w:r w:rsidRPr="005D2F17">
        <w:t>Nota van inlichtingen (</w:t>
      </w:r>
      <w:r w:rsidRPr="00C24D94">
        <w:rPr>
          <w:b/>
        </w:rPr>
        <w:t>bijlage I</w:t>
      </w:r>
      <w:r w:rsidRPr="005D2F17">
        <w:t>);</w:t>
      </w:r>
    </w:p>
    <w:p w14:paraId="5CE303F7" w14:textId="77777777" w:rsidR="00DF4215" w:rsidRPr="00C24D94" w:rsidRDefault="00DF4215" w:rsidP="00DF4215">
      <w:pPr>
        <w:pStyle w:val="Lijstalinea"/>
        <w:numPr>
          <w:ilvl w:val="0"/>
          <w:numId w:val="10"/>
        </w:numPr>
        <w:ind w:left="709"/>
      </w:pPr>
      <w:r w:rsidRPr="005D2F17">
        <w:t xml:space="preserve">Het aanbestedingsdocument ‘Europees Openbare aanbesteding Operationeel parkeerbeheer’ met kenmerk </w:t>
      </w:r>
      <w:r w:rsidRPr="00C24D94">
        <w:rPr>
          <w:rFonts w:cs="Arial"/>
        </w:rPr>
        <w:t xml:space="preserve">2021-07/IBOR-PARK/LM-01  met bijlagen </w:t>
      </w:r>
      <w:r w:rsidRPr="005D2F17">
        <w:t>(</w:t>
      </w:r>
      <w:r w:rsidRPr="00C24D94">
        <w:rPr>
          <w:b/>
        </w:rPr>
        <w:t>bijlage II</w:t>
      </w:r>
      <w:r w:rsidRPr="005D2F17">
        <w:t>) (Aanbestedingsdocument);</w:t>
      </w:r>
    </w:p>
    <w:p w14:paraId="0C1BFB2B" w14:textId="77777777" w:rsidR="00DF4215" w:rsidRPr="00C24D94" w:rsidRDefault="00DF4215" w:rsidP="00DF4215">
      <w:pPr>
        <w:pStyle w:val="Lijstalinea"/>
        <w:numPr>
          <w:ilvl w:val="0"/>
          <w:numId w:val="10"/>
        </w:numPr>
        <w:ind w:left="709"/>
      </w:pPr>
      <w:r w:rsidRPr="005D2F17">
        <w:t>De algemene inkoopvoorwaarden Gemeente Oss voor leveringen en diensten 2012 (hierna: Inkoopvoorwaarden) (</w:t>
      </w:r>
      <w:r w:rsidRPr="00C24D94">
        <w:rPr>
          <w:b/>
        </w:rPr>
        <w:t>bijlage III</w:t>
      </w:r>
      <w:r w:rsidRPr="005D2F17">
        <w:t>);</w:t>
      </w:r>
    </w:p>
    <w:p w14:paraId="287F4B55" w14:textId="77777777" w:rsidR="00DF4215" w:rsidRPr="00C24D94" w:rsidRDefault="00DF4215" w:rsidP="00DF4215">
      <w:pPr>
        <w:pStyle w:val="Lijstalinea"/>
        <w:numPr>
          <w:ilvl w:val="0"/>
          <w:numId w:val="10"/>
        </w:numPr>
        <w:ind w:left="709"/>
      </w:pPr>
      <w:r w:rsidRPr="005D2F17">
        <w:t>De Inschrijving (</w:t>
      </w:r>
      <w:r w:rsidRPr="00C24D94">
        <w:rPr>
          <w:b/>
        </w:rPr>
        <w:t>bijlage IV</w:t>
      </w:r>
      <w:r w:rsidRPr="005D2F17">
        <w:t>).</w:t>
      </w:r>
    </w:p>
    <w:p w14:paraId="3679C3E3" w14:textId="77777777" w:rsidR="00DF4215" w:rsidRPr="005D2F17" w:rsidRDefault="00DF4215" w:rsidP="00DF4215">
      <w:pPr>
        <w:pStyle w:val="Lijstalinea"/>
        <w:numPr>
          <w:ilvl w:val="0"/>
          <w:numId w:val="2"/>
        </w:numPr>
        <w:ind w:left="360"/>
      </w:pPr>
      <w:r w:rsidRPr="005D2F17">
        <w:t>Indien er meer nota’s van inlichtingen zijn, prevaleert in geval van tegenstrijdigheden de meest recente nota van inlichtingen.</w:t>
      </w:r>
    </w:p>
    <w:p w14:paraId="785CA44B" w14:textId="77777777" w:rsidR="00DF4215" w:rsidRPr="005D2F17" w:rsidRDefault="00DF4215" w:rsidP="00DF4215">
      <w:pPr>
        <w:pStyle w:val="Lijstalinea"/>
        <w:numPr>
          <w:ilvl w:val="0"/>
          <w:numId w:val="2"/>
        </w:numPr>
        <w:ind w:left="360"/>
      </w:pPr>
      <w:r w:rsidRPr="005D2F17">
        <w:t>De Inkoopvoorwaarden zijn uitsluitend van toepassing. De algemene voorwaarden van Opdrachtnemer dan wel andere algemene of bijzondere voorwaarden, onder welke naam dan ook, worden nadrukkelijk verworpen. Met ondertekening van deze Overeenkomst verklaart Opdrachtnemer de Inkoopvoorwaarden te hebben ontvangen</w:t>
      </w:r>
      <w:r w:rsidRPr="00C24D94">
        <w:rPr>
          <w:rFonts w:eastAsiaTheme="minorHAnsi" w:cstheme="minorBidi"/>
          <w:lang w:eastAsia="en-US"/>
        </w:rPr>
        <w:t xml:space="preserve"> </w:t>
      </w:r>
      <w:r w:rsidRPr="005D2F17">
        <w:t xml:space="preserve">en hiervan kennis te hebben genomen.  </w:t>
      </w:r>
    </w:p>
    <w:p w14:paraId="1517C05E" w14:textId="77777777" w:rsidR="00DF4215" w:rsidRPr="007C70D1" w:rsidRDefault="00DF4215" w:rsidP="00DF4215"/>
    <w:p w14:paraId="4B3B9803" w14:textId="77777777" w:rsidR="00DF4215" w:rsidRPr="008348B3" w:rsidRDefault="00DF4215" w:rsidP="00DF4215">
      <w:pPr>
        <w:tabs>
          <w:tab w:val="left" w:pos="851"/>
        </w:tabs>
        <w:rPr>
          <w:b/>
          <w:szCs w:val="18"/>
        </w:rPr>
      </w:pPr>
      <w:r w:rsidRPr="008348B3">
        <w:rPr>
          <w:b/>
          <w:szCs w:val="18"/>
        </w:rPr>
        <w:t>Artikel 2</w:t>
      </w:r>
      <w:r w:rsidRPr="008348B3">
        <w:rPr>
          <w:b/>
          <w:szCs w:val="18"/>
        </w:rPr>
        <w:tab/>
        <w:t xml:space="preserve">Onderwerp </w:t>
      </w:r>
    </w:p>
    <w:p w14:paraId="484377F7" w14:textId="77777777" w:rsidR="00DF4215" w:rsidRDefault="00DF4215" w:rsidP="00DF4215">
      <w:pPr>
        <w:pStyle w:val="Lijstalinea"/>
        <w:numPr>
          <w:ilvl w:val="0"/>
          <w:numId w:val="3"/>
        </w:numPr>
      </w:pPr>
      <w:r w:rsidRPr="008348B3">
        <w:t>Opdrachtgever draagt hierbij aan Opdrachtnemer op en Opdrachtnemer verbindt zich hierbij te</w:t>
      </w:r>
      <w:r>
        <w:t>genover Opdrachtgever om volgens</w:t>
      </w:r>
      <w:r w:rsidRPr="008348B3">
        <w:t xml:space="preserve"> deze </w:t>
      </w:r>
      <w:r>
        <w:t>Overeenkomst</w:t>
      </w:r>
      <w:r w:rsidRPr="008348B3">
        <w:t xml:space="preserve"> en de daarbij behorende bijlagen de </w:t>
      </w:r>
      <w:r>
        <w:t>onder lid 2 genoemde o</w:t>
      </w:r>
      <w:r w:rsidRPr="008348B3">
        <w:t xml:space="preserve">pdracht </w:t>
      </w:r>
      <w:r>
        <w:t xml:space="preserve">(hierna: Opdracht) </w:t>
      </w:r>
      <w:r w:rsidRPr="008348B3">
        <w:t>uit te voeren.</w:t>
      </w:r>
    </w:p>
    <w:p w14:paraId="5F5E2681" w14:textId="77777777" w:rsidR="00DF4215" w:rsidRPr="00C24D94" w:rsidRDefault="00DF4215" w:rsidP="00DF4215">
      <w:pPr>
        <w:pStyle w:val="Lijstalinea"/>
        <w:numPr>
          <w:ilvl w:val="0"/>
          <w:numId w:val="3"/>
        </w:numPr>
        <w:rPr>
          <w:bCs/>
        </w:rPr>
      </w:pPr>
      <w:r w:rsidRPr="00C24D94">
        <w:rPr>
          <w:bCs/>
        </w:rPr>
        <w:t xml:space="preserve">De werkzaamheden omvatten: </w:t>
      </w:r>
    </w:p>
    <w:p w14:paraId="39F812A8" w14:textId="77777777" w:rsidR="00DF4215" w:rsidRPr="00C24D94" w:rsidRDefault="00DF4215" w:rsidP="00DF4215">
      <w:pPr>
        <w:pStyle w:val="Lijstalinea"/>
        <w:numPr>
          <w:ilvl w:val="0"/>
          <w:numId w:val="4"/>
        </w:numPr>
        <w:rPr>
          <w:bCs/>
        </w:rPr>
      </w:pPr>
      <w:r w:rsidRPr="00C24D94">
        <w:rPr>
          <w:bCs/>
        </w:rPr>
        <w:t xml:space="preserve">het operationeel beheer (op afstand) van de parkeergarage Bergos, parkeerdek Oostwal en parkeerterrein Jurgensplein; </w:t>
      </w:r>
    </w:p>
    <w:p w14:paraId="7CF0912B" w14:textId="77777777" w:rsidR="00DF4215" w:rsidRPr="00C24D94" w:rsidRDefault="00DF4215" w:rsidP="00DF4215">
      <w:pPr>
        <w:pStyle w:val="Lijstalinea"/>
        <w:numPr>
          <w:ilvl w:val="0"/>
          <w:numId w:val="4"/>
        </w:numPr>
        <w:rPr>
          <w:bCs/>
        </w:rPr>
      </w:pPr>
      <w:r w:rsidRPr="00C24D94">
        <w:rPr>
          <w:bCs/>
        </w:rPr>
        <w:t>het schoonmaakonderhoud van de parkeergarage Bergoss, parkeerdek Oostwal en parkeerterrein Jurgensplein;</w:t>
      </w:r>
    </w:p>
    <w:p w14:paraId="33FE0C2B" w14:textId="77777777" w:rsidR="00DF4215" w:rsidRPr="00C24D94" w:rsidRDefault="00DF4215" w:rsidP="00DF4215">
      <w:pPr>
        <w:pStyle w:val="Lijstalinea"/>
        <w:numPr>
          <w:ilvl w:val="0"/>
          <w:numId w:val="4"/>
        </w:numPr>
        <w:rPr>
          <w:bCs/>
        </w:rPr>
      </w:pPr>
      <w:r w:rsidRPr="00C24D94">
        <w:rPr>
          <w:bCs/>
        </w:rPr>
        <w:t>het schoonmaakonderhoud van de on- en off-street parkeerapparatuur en bollards;</w:t>
      </w:r>
    </w:p>
    <w:p w14:paraId="342596AD" w14:textId="77777777" w:rsidR="00DF4215" w:rsidRPr="00C24D94" w:rsidRDefault="00DF4215" w:rsidP="00DF4215">
      <w:pPr>
        <w:pStyle w:val="Lijstalinea"/>
        <w:numPr>
          <w:ilvl w:val="0"/>
          <w:numId w:val="4"/>
        </w:numPr>
        <w:rPr>
          <w:bCs/>
        </w:rPr>
      </w:pPr>
      <w:r w:rsidRPr="00C24D94">
        <w:rPr>
          <w:bCs/>
        </w:rPr>
        <w:t>het technisch beheer van de on- en off-street parkeerapparatuur;</w:t>
      </w:r>
    </w:p>
    <w:p w14:paraId="21124883" w14:textId="77777777" w:rsidR="00DF4215" w:rsidRPr="00C24D94" w:rsidRDefault="00DF4215" w:rsidP="00DF4215">
      <w:pPr>
        <w:pStyle w:val="Lijstalinea"/>
        <w:numPr>
          <w:ilvl w:val="0"/>
          <w:numId w:val="4"/>
        </w:numPr>
        <w:rPr>
          <w:bCs/>
        </w:rPr>
      </w:pPr>
      <w:r w:rsidRPr="00C24D94">
        <w:rPr>
          <w:bCs/>
        </w:rPr>
        <w:t>de piketdiensten behorend bij het operationeel en technisch beheer.</w:t>
      </w:r>
    </w:p>
    <w:p w14:paraId="55747F03" w14:textId="77777777" w:rsidR="00DF4215" w:rsidRPr="00C24D94" w:rsidRDefault="00DF4215" w:rsidP="00DF4215">
      <w:pPr>
        <w:pStyle w:val="Lijstalinea"/>
        <w:numPr>
          <w:ilvl w:val="0"/>
          <w:numId w:val="3"/>
        </w:numPr>
        <w:rPr>
          <w:bCs/>
        </w:rPr>
      </w:pPr>
      <w:r w:rsidRPr="00C24D94">
        <w:rPr>
          <w:bCs/>
        </w:rPr>
        <w:t xml:space="preserve">De verdere invulling en voorwaarden van de Opdracht staan in de bijlagen, die onderdeel zijn van deze Overeenkomst. </w:t>
      </w:r>
    </w:p>
    <w:p w14:paraId="7139837C" w14:textId="77777777" w:rsidR="00DF4215" w:rsidRPr="008348B3" w:rsidRDefault="00DF4215" w:rsidP="00DF4215"/>
    <w:p w14:paraId="46760D61" w14:textId="77777777" w:rsidR="00DF4215" w:rsidRPr="00BE35C7" w:rsidRDefault="00DF4215" w:rsidP="00DF4215">
      <w:pPr>
        <w:tabs>
          <w:tab w:val="left" w:pos="851"/>
        </w:tabs>
        <w:rPr>
          <w:b/>
          <w:bCs/>
          <w:szCs w:val="18"/>
        </w:rPr>
      </w:pPr>
      <w:r w:rsidRPr="008348B3">
        <w:rPr>
          <w:b/>
          <w:bCs/>
          <w:szCs w:val="18"/>
        </w:rPr>
        <w:t>Ar</w:t>
      </w:r>
      <w:r w:rsidRPr="00BE35C7">
        <w:rPr>
          <w:b/>
          <w:bCs/>
          <w:szCs w:val="18"/>
        </w:rPr>
        <w:t>tikel 3</w:t>
      </w:r>
      <w:r w:rsidRPr="00BE35C7">
        <w:rPr>
          <w:b/>
          <w:bCs/>
          <w:szCs w:val="18"/>
        </w:rPr>
        <w:tab/>
        <w:t xml:space="preserve">Ingangsdatum en duur </w:t>
      </w:r>
    </w:p>
    <w:p w14:paraId="39EC1A48" w14:textId="77777777" w:rsidR="00DF4215" w:rsidRDefault="00DF4215" w:rsidP="00DF4215">
      <w:pPr>
        <w:pStyle w:val="Lijstalinea"/>
        <w:numPr>
          <w:ilvl w:val="0"/>
          <w:numId w:val="5"/>
        </w:numPr>
      </w:pPr>
      <w:r>
        <w:t>Zoals bepaald in het Aanbestedingsdocument treedt deze Overeenkomst i</w:t>
      </w:r>
      <w:r w:rsidRPr="00EF074A">
        <w:t>n werking op 1 ja</w:t>
      </w:r>
      <w:r>
        <w:t>nuari 2022. De looptijd van de O</w:t>
      </w:r>
      <w:r w:rsidRPr="00EF074A">
        <w:t>vereenkomst bedraagt 3 jaren met daarna een optie tot ve</w:t>
      </w:r>
      <w:r>
        <w:t>rlenging van twee maal één jaar;</w:t>
      </w:r>
      <w:r w:rsidRPr="00EF074A">
        <w:t xml:space="preserve"> </w:t>
      </w:r>
    </w:p>
    <w:p w14:paraId="31B9000B" w14:textId="77777777" w:rsidR="00DF4215" w:rsidRDefault="00DF4215" w:rsidP="00DF4215">
      <w:pPr>
        <w:pStyle w:val="Lijstalinea"/>
        <w:numPr>
          <w:ilvl w:val="0"/>
          <w:numId w:val="5"/>
        </w:numPr>
      </w:pPr>
      <w:r w:rsidRPr="00EF074A">
        <w:lastRenderedPageBreak/>
        <w:t xml:space="preserve">De mogelijkheid tot verlenging is ter beoordeling van de </w:t>
      </w:r>
      <w:r>
        <w:t>Opdrachtgever</w:t>
      </w:r>
      <w:r w:rsidRPr="00EF074A">
        <w:t>. Het</w:t>
      </w:r>
      <w:r>
        <w:t xml:space="preserve"> besluit tot verlenging van de O</w:t>
      </w:r>
      <w:r w:rsidRPr="00EF074A">
        <w:t xml:space="preserve">vereenkomst wordt uiterlijk op 1 </w:t>
      </w:r>
      <w:r>
        <w:t>juli</w:t>
      </w:r>
      <w:r w:rsidRPr="00EF074A">
        <w:t xml:space="preserve"> voorafgaand aan de datum van ingang van de verlenging schriftelijk aan Opdrachtnemer medegedeeld. Opdrachtnemer is verplicht mee te werken aan verlenging onder dezelfde voorwaarden</w:t>
      </w:r>
      <w:r>
        <w:t>. Indien de O</w:t>
      </w:r>
      <w:r w:rsidRPr="00EF074A">
        <w:t>vereenkomst niet wordt verlengd</w:t>
      </w:r>
      <w:r>
        <w:t>,</w:t>
      </w:r>
      <w:r w:rsidRPr="00EF074A">
        <w:t xml:space="preserve"> eindigt deze op 31 december 2024 van rechtswege of na een eerste verlenging op 31 december 2025 of na een tweede verlenging op 31 december 2026.</w:t>
      </w:r>
    </w:p>
    <w:p w14:paraId="21436F34" w14:textId="77777777" w:rsidR="00DF4215" w:rsidRPr="00EF074A" w:rsidRDefault="00DF4215" w:rsidP="00DF4215">
      <w:pPr>
        <w:pStyle w:val="Lijstalinea"/>
        <w:numPr>
          <w:ilvl w:val="0"/>
          <w:numId w:val="5"/>
        </w:numPr>
      </w:pPr>
      <w:r>
        <w:t>Indien de O</w:t>
      </w:r>
      <w:r w:rsidRPr="005258F7">
        <w:t>vereenkomst eindigt en de nieuwe contractant is (om wat voor reden dan ook) nog niet gereed om de nieuwe overeenkomst uit te voeren va</w:t>
      </w:r>
      <w:r>
        <w:t>naf het moment dat onderhavige O</w:t>
      </w:r>
      <w:r w:rsidRPr="005258F7">
        <w:t xml:space="preserve">vereenkomst eindigt, dan is de Opdrachtnemer verplicht om op verzoek van de </w:t>
      </w:r>
      <w:r>
        <w:t>Opdrachtgever</w:t>
      </w:r>
      <w:r w:rsidRPr="005258F7">
        <w:t xml:space="preserve"> nog maximaal zes maanden</w:t>
      </w:r>
      <w:r>
        <w:t xml:space="preserve"> onderhavige O</w:t>
      </w:r>
      <w:r w:rsidRPr="005258F7">
        <w:t>vereenkomst onder dezelfde voorwaarden uit te voeren, zodat de werkzaamheden niet stil komen te liggen en zodat de nieuwe contractant voldoende (implementatie)tijd krijgt om de werkzaamheden op een goede manier over te nemen.</w:t>
      </w:r>
    </w:p>
    <w:p w14:paraId="330DE320" w14:textId="77777777" w:rsidR="00DF4215" w:rsidRPr="008348B3" w:rsidRDefault="00DF4215" w:rsidP="00DF4215"/>
    <w:p w14:paraId="36CF162C" w14:textId="77777777" w:rsidR="00DF4215" w:rsidRPr="008348B3" w:rsidRDefault="00DF4215" w:rsidP="00DF4215">
      <w:pPr>
        <w:tabs>
          <w:tab w:val="left" w:pos="709"/>
          <w:tab w:val="left" w:pos="851"/>
        </w:tabs>
        <w:rPr>
          <w:b/>
          <w:bCs/>
          <w:szCs w:val="18"/>
        </w:rPr>
      </w:pPr>
      <w:r w:rsidRPr="008348B3">
        <w:rPr>
          <w:b/>
          <w:bCs/>
          <w:szCs w:val="18"/>
        </w:rPr>
        <w:t>Artikel 4</w:t>
      </w:r>
      <w:r w:rsidRPr="008348B3">
        <w:rPr>
          <w:b/>
          <w:bCs/>
          <w:szCs w:val="18"/>
        </w:rPr>
        <w:tab/>
        <w:t>Prijzen, tarieven en facturerin</w:t>
      </w:r>
      <w:r>
        <w:rPr>
          <w:b/>
          <w:bCs/>
          <w:szCs w:val="18"/>
        </w:rPr>
        <w:t>g</w:t>
      </w:r>
    </w:p>
    <w:p w14:paraId="41925DC4" w14:textId="77777777" w:rsidR="00DF4215" w:rsidRPr="005D2F17" w:rsidRDefault="00DF4215" w:rsidP="00DF4215">
      <w:pPr>
        <w:pStyle w:val="Lijstalinea"/>
        <w:numPr>
          <w:ilvl w:val="0"/>
          <w:numId w:val="6"/>
        </w:numPr>
      </w:pPr>
      <w:r w:rsidRPr="005D2F17">
        <w:t xml:space="preserve">De door de Opdrachtgever aan de Opdrachtnemer verschuldigde vergoeding volgt uit de inschrijving die als bijlage </w:t>
      </w:r>
      <w:r>
        <w:t>IV</w:t>
      </w:r>
      <w:r w:rsidRPr="005D2F17">
        <w:t xml:space="preserve"> aan deze </w:t>
      </w:r>
      <w:r>
        <w:t>O</w:t>
      </w:r>
      <w:r w:rsidRPr="005D2F17">
        <w:t xml:space="preserve">vereenkomst is gehecht. </w:t>
      </w:r>
    </w:p>
    <w:p w14:paraId="2724027E" w14:textId="77777777" w:rsidR="00DF4215" w:rsidRPr="005D2F17" w:rsidRDefault="00DF4215" w:rsidP="00DF4215">
      <w:pPr>
        <w:pStyle w:val="Lijstalinea"/>
        <w:numPr>
          <w:ilvl w:val="0"/>
          <w:numId w:val="6"/>
        </w:numPr>
      </w:pPr>
      <w:r w:rsidRPr="005D2F17">
        <w:t>De in lid 1 van dit artikel genoemde vergoeding is vast tot en met 31 december 2022. Na deze datum heeft de Opdrachtnemer het recht de tarieven jaarlijks per 1 januari voor het eerst met ingang van 1 januari 2023 aan te passen met maximaal de jaarmutatie juli van het CPI Alle huishoudens (laatst vastgestelde basisjaar) zoals gepubliceerd door het CBS (indexering jaar t = CPI index juli t-1 / CPI index juli t-2).</w:t>
      </w:r>
    </w:p>
    <w:p w14:paraId="2B8070E5" w14:textId="77777777" w:rsidR="00DF4215" w:rsidRPr="005D2F17" w:rsidRDefault="00DF4215" w:rsidP="00DF4215">
      <w:pPr>
        <w:pStyle w:val="Lijstalinea"/>
        <w:numPr>
          <w:ilvl w:val="0"/>
          <w:numId w:val="6"/>
        </w:numPr>
      </w:pPr>
      <w:r w:rsidRPr="005D2F17">
        <w:t xml:space="preserve">Voor de dienstverlening </w:t>
      </w:r>
      <w:r>
        <w:t>dient</w:t>
      </w:r>
      <w:r w:rsidRPr="005D2F17">
        <w:t xml:space="preserve"> maandelijks</w:t>
      </w:r>
      <w:r>
        <w:t xml:space="preserve"> vooraf</w:t>
      </w:r>
      <w:r w:rsidRPr="005D2F17">
        <w:t xml:space="preserve"> een voorschotnota worden ingediend, welke gelijke tred houdt met de omvang van de werkzaamheden. Binnen 2 maanden na het einde van een kalenderjaar worden de hoeveelheden van de verrekenbare onderdelen vastgesteld en middels een slotfactuur afgerekend. Deze slotfactuur </w:t>
      </w:r>
      <w:r>
        <w:t xml:space="preserve">van het afgeronde kalenderjaar </w:t>
      </w:r>
      <w:r w:rsidRPr="005D2F17">
        <w:t xml:space="preserve">kan niet verrekend worden met een </w:t>
      </w:r>
      <w:r>
        <w:t xml:space="preserve">maandelijkse </w:t>
      </w:r>
      <w:r w:rsidRPr="005D2F17">
        <w:t>voorschotnota van het lopende kalenderjaar.</w:t>
      </w:r>
    </w:p>
    <w:p w14:paraId="7977C1DA" w14:textId="77777777" w:rsidR="00DF4215" w:rsidRPr="008348B3" w:rsidRDefault="00DF4215" w:rsidP="00DF4215"/>
    <w:p w14:paraId="0254BF09" w14:textId="77777777" w:rsidR="00DF4215" w:rsidRPr="008348B3" w:rsidRDefault="00DF4215" w:rsidP="00DF4215">
      <w:pPr>
        <w:tabs>
          <w:tab w:val="left" w:pos="851"/>
        </w:tabs>
        <w:rPr>
          <w:b/>
          <w:bCs/>
          <w:szCs w:val="18"/>
        </w:rPr>
      </w:pPr>
      <w:r w:rsidRPr="008348B3">
        <w:rPr>
          <w:b/>
          <w:bCs/>
          <w:szCs w:val="18"/>
        </w:rPr>
        <w:t xml:space="preserve">Artikel </w:t>
      </w:r>
      <w:r>
        <w:rPr>
          <w:b/>
          <w:bCs/>
          <w:szCs w:val="18"/>
        </w:rPr>
        <w:t>5</w:t>
      </w:r>
      <w:r w:rsidRPr="008348B3">
        <w:rPr>
          <w:b/>
          <w:bCs/>
          <w:szCs w:val="18"/>
        </w:rPr>
        <w:t xml:space="preserve"> </w:t>
      </w:r>
      <w:r w:rsidRPr="008348B3">
        <w:rPr>
          <w:b/>
          <w:bCs/>
          <w:szCs w:val="18"/>
        </w:rPr>
        <w:tab/>
      </w:r>
      <w:r>
        <w:rPr>
          <w:b/>
          <w:bCs/>
          <w:szCs w:val="18"/>
        </w:rPr>
        <w:t>A</w:t>
      </w:r>
      <w:r w:rsidRPr="008348B3">
        <w:rPr>
          <w:b/>
          <w:bCs/>
          <w:szCs w:val="18"/>
        </w:rPr>
        <w:t>ansprakelijkheid</w:t>
      </w:r>
      <w:r>
        <w:rPr>
          <w:b/>
          <w:bCs/>
          <w:szCs w:val="18"/>
        </w:rPr>
        <w:t xml:space="preserve"> en verzekering</w:t>
      </w:r>
    </w:p>
    <w:p w14:paraId="0831730C" w14:textId="77777777" w:rsidR="00DF4215" w:rsidRDefault="00DF4215" w:rsidP="00DF4215">
      <w:pPr>
        <w:tabs>
          <w:tab w:val="left" w:pos="851"/>
        </w:tabs>
        <w:rPr>
          <w:bCs/>
          <w:szCs w:val="18"/>
        </w:rPr>
      </w:pPr>
      <w:r w:rsidRPr="00DB7EA6">
        <w:rPr>
          <w:bCs/>
          <w:szCs w:val="18"/>
        </w:rPr>
        <w:t xml:space="preserve">De </w:t>
      </w:r>
      <w:r>
        <w:rPr>
          <w:bCs/>
          <w:szCs w:val="18"/>
        </w:rPr>
        <w:t>Opdrachtnemer</w:t>
      </w:r>
      <w:r w:rsidRPr="00DB7EA6">
        <w:rPr>
          <w:bCs/>
          <w:szCs w:val="18"/>
        </w:rPr>
        <w:t xml:space="preserve"> dient adequaat verzekerd te zijn </w:t>
      </w:r>
      <w:r>
        <w:rPr>
          <w:bCs/>
          <w:szCs w:val="18"/>
        </w:rPr>
        <w:t xml:space="preserve">en gedurende de looptijd van de overeenkomst te blijven </w:t>
      </w:r>
      <w:r w:rsidRPr="00DB7EA6">
        <w:rPr>
          <w:bCs/>
          <w:szCs w:val="18"/>
        </w:rPr>
        <w:t>voor bedrijfsaansprakelijkheid. Het verzekerd bedrag dient minimaal € 1.000.000,- per gebeurtenis en minimaal € 2.500.000,- per jaar te bedragen.</w:t>
      </w:r>
    </w:p>
    <w:p w14:paraId="6C173E5E" w14:textId="77777777" w:rsidR="00DF4215" w:rsidRPr="008348B3" w:rsidRDefault="00DF4215" w:rsidP="00DF4215">
      <w:pPr>
        <w:rPr>
          <w:szCs w:val="18"/>
        </w:rPr>
      </w:pPr>
    </w:p>
    <w:p w14:paraId="52C09705" w14:textId="77777777" w:rsidR="00DF4215" w:rsidRPr="007D7BCB" w:rsidRDefault="00DF4215" w:rsidP="00DF4215">
      <w:pPr>
        <w:autoSpaceDE w:val="0"/>
        <w:autoSpaceDN w:val="0"/>
        <w:adjustRightInd w:val="0"/>
      </w:pPr>
      <w:r w:rsidRPr="007D7BCB">
        <w:rPr>
          <w:rFonts w:cs="Arial"/>
          <w:b/>
          <w:szCs w:val="18"/>
        </w:rPr>
        <w:t>Artikel 6</w:t>
      </w:r>
      <w:r w:rsidRPr="007D7BCB">
        <w:rPr>
          <w:rFonts w:cs="Arial"/>
          <w:b/>
          <w:szCs w:val="18"/>
        </w:rPr>
        <w:tab/>
      </w:r>
      <w:r>
        <w:rPr>
          <w:rFonts w:cs="Arial"/>
          <w:b/>
          <w:szCs w:val="18"/>
        </w:rPr>
        <w:t>Ontbinding</w:t>
      </w:r>
    </w:p>
    <w:p w14:paraId="416E87B0" w14:textId="77777777" w:rsidR="00DF4215" w:rsidRPr="007D7BCB" w:rsidRDefault="00DF4215" w:rsidP="00DF4215">
      <w:r>
        <w:t>In aanvulling op artikel 25 van de Inkoopvoorwaarden is o</w:t>
      </w:r>
      <w:r w:rsidRPr="007D7BCB">
        <w:t>ntbinding van de Overeenkomst met</w:t>
      </w:r>
      <w:r>
        <w:t xml:space="preserve"> </w:t>
      </w:r>
      <w:r w:rsidRPr="007D7BCB">
        <w:t>onmiddellijke ingang door Opdrachtgever mogelijk, zonder tot enigerlei vorm van</w:t>
      </w:r>
      <w:r>
        <w:t xml:space="preserve"> </w:t>
      </w:r>
      <w:r w:rsidRPr="007D7BCB">
        <w:t>schadevergoeding verplicht te zijn:</w:t>
      </w:r>
    </w:p>
    <w:p w14:paraId="485841DB" w14:textId="77777777" w:rsidR="00DF4215" w:rsidRPr="008348B3" w:rsidRDefault="00DF4215" w:rsidP="00DF4215">
      <w:pPr>
        <w:pStyle w:val="Lijstalinea"/>
        <w:numPr>
          <w:ilvl w:val="0"/>
          <w:numId w:val="7"/>
        </w:numPr>
      </w:pPr>
      <w:r w:rsidRPr="008348B3">
        <w:t xml:space="preserve">indien een derde een gerechtelijke procedure jegens Opdrachtgever en/of Opdrachtnemer aanspant wegens het niet in acht nemen van de aanbestedingsregels bij het sluiten van de onderhavige </w:t>
      </w:r>
      <w:r>
        <w:t>Overeenkomst</w:t>
      </w:r>
      <w:r w:rsidRPr="008348B3">
        <w:t xml:space="preserve">. Partijen dragen ieder de eigen dientengevolge gemaakte en te maken kosten (waaronder proceskosten, adviseurskosten en advocaatkosten); </w:t>
      </w:r>
    </w:p>
    <w:p w14:paraId="7CE33D01" w14:textId="77777777" w:rsidR="00DF4215" w:rsidRPr="00C803A0" w:rsidRDefault="00DF4215" w:rsidP="00DF4215">
      <w:pPr>
        <w:pStyle w:val="Lijstalinea"/>
        <w:numPr>
          <w:ilvl w:val="0"/>
          <w:numId w:val="7"/>
        </w:numPr>
      </w:pPr>
      <w:r w:rsidRPr="008348B3">
        <w:t xml:space="preserve">indien in rechte komt vast te staan dat de onderhavige </w:t>
      </w:r>
      <w:r>
        <w:t>Overeenkomst</w:t>
      </w:r>
      <w:r w:rsidRPr="008348B3">
        <w:t xml:space="preserve"> in strijd met de (aanbestedings-) wet- en regelgeving is gesloten, dan wel indien het Opdrachtgever in rechte </w:t>
      </w:r>
      <w:r w:rsidRPr="008348B3">
        <w:lastRenderedPageBreak/>
        <w:t xml:space="preserve">geboden worden om de opdracht die is neergelegd in de onderhavige </w:t>
      </w:r>
      <w:r>
        <w:t>Overeenkomst</w:t>
      </w:r>
      <w:r w:rsidRPr="008348B3">
        <w:t xml:space="preserve"> aan te besteden. Opdrachtgever heeft het recht de onderhavige </w:t>
      </w:r>
      <w:r>
        <w:t>Overeenkomst</w:t>
      </w:r>
      <w:r w:rsidRPr="008348B3">
        <w:t xml:space="preserve"> alsdan bij aangetekend schrijven, zonder rechterlijke tussenkomst, te ontbinden. Opdrachtgever zal alsdan met Opdrachtnemer afrekenen op basis van de door Opdrachtnemer tot dan toe uitgevoerde werkzaamheden. Voor het overige zijn Partijen elkaar over en weer niets verschuldigd, van welke aard dan ook.</w:t>
      </w:r>
    </w:p>
    <w:p w14:paraId="34A85663" w14:textId="77777777" w:rsidR="00DF4215" w:rsidRDefault="00DF4215" w:rsidP="00DF4215">
      <w:bookmarkStart w:id="1" w:name="_Hlk54259348"/>
      <w:bookmarkStart w:id="2" w:name="_Toc62737351"/>
      <w:bookmarkStart w:id="3" w:name="_Toc66948245"/>
    </w:p>
    <w:bookmarkEnd w:id="1"/>
    <w:bookmarkEnd w:id="2"/>
    <w:bookmarkEnd w:id="3"/>
    <w:p w14:paraId="5542CCD1" w14:textId="75E2BAB4" w:rsidR="00DF4215" w:rsidRDefault="00DF4215" w:rsidP="00DF4215">
      <w:pPr>
        <w:tabs>
          <w:tab w:val="left" w:pos="851"/>
          <w:tab w:val="left" w:pos="1377"/>
        </w:tabs>
        <w:rPr>
          <w:b/>
          <w:szCs w:val="18"/>
        </w:rPr>
      </w:pPr>
      <w:r w:rsidRPr="008348B3">
        <w:rPr>
          <w:b/>
          <w:szCs w:val="18"/>
        </w:rPr>
        <w:t xml:space="preserve">Artikel </w:t>
      </w:r>
      <w:r w:rsidR="00C84F64">
        <w:rPr>
          <w:b/>
          <w:szCs w:val="18"/>
        </w:rPr>
        <w:t>7</w:t>
      </w:r>
      <w:r w:rsidRPr="008348B3">
        <w:rPr>
          <w:b/>
          <w:szCs w:val="18"/>
        </w:rPr>
        <w:tab/>
        <w:t>Toepasselijk recht en geschillen</w:t>
      </w:r>
    </w:p>
    <w:p w14:paraId="7EB86030" w14:textId="77777777" w:rsidR="00DF4215" w:rsidRPr="006A048A" w:rsidRDefault="00DF4215" w:rsidP="00DF4215">
      <w:pPr>
        <w:pStyle w:val="Lijstalinea"/>
        <w:numPr>
          <w:ilvl w:val="0"/>
          <w:numId w:val="9"/>
        </w:numPr>
      </w:pPr>
      <w:r w:rsidRPr="006A048A">
        <w:t>Op deze Overeenkomst is uitsluitend Nederlands recht van toepassing.</w:t>
      </w:r>
    </w:p>
    <w:p w14:paraId="024F11B8" w14:textId="77777777" w:rsidR="00DF4215" w:rsidRPr="006A048A" w:rsidRDefault="00DF4215" w:rsidP="00DF4215">
      <w:pPr>
        <w:pStyle w:val="Lijstalinea"/>
        <w:numPr>
          <w:ilvl w:val="0"/>
          <w:numId w:val="9"/>
        </w:numPr>
      </w:pPr>
      <w:r w:rsidRPr="006A048A">
        <w:t>Alle geschillen die in verband met deze Overeenkomst ontstaan, geschillen over het bestaan en de geldigheid daarvan daaronder begrepen, zullen in eerste instantie worden beslecht door de bevoegde rechter van rechtbank Oost-Brabant.</w:t>
      </w:r>
    </w:p>
    <w:p w14:paraId="2E67721F" w14:textId="77777777" w:rsidR="00DF4215" w:rsidRPr="008348B3" w:rsidRDefault="00DF4215" w:rsidP="00DF4215"/>
    <w:p w14:paraId="5191E488" w14:textId="77777777" w:rsidR="00DF4215" w:rsidRPr="008348B3" w:rsidRDefault="00DF4215" w:rsidP="00DF4215">
      <w:pPr>
        <w:rPr>
          <w:b/>
          <w:bCs/>
          <w:szCs w:val="18"/>
        </w:rPr>
      </w:pPr>
      <w:r w:rsidRPr="008348B3">
        <w:rPr>
          <w:b/>
          <w:bCs/>
          <w:szCs w:val="18"/>
        </w:rPr>
        <w:t xml:space="preserve">Aldus in tweevoud opgemaakt en getekend te </w:t>
      </w:r>
      <w:r w:rsidRPr="00C24D94">
        <w:t>&lt;plaats&gt;</w:t>
      </w:r>
      <w:r w:rsidRPr="008348B3">
        <w:rPr>
          <w:b/>
          <w:bCs/>
          <w:szCs w:val="18"/>
        </w:rPr>
        <w:t xml:space="preserve"> en te </w:t>
      </w:r>
      <w:r w:rsidRPr="00C24D94">
        <w:t>&lt;plaats&gt;</w:t>
      </w:r>
      <w:r w:rsidRPr="008348B3">
        <w:rPr>
          <w:b/>
          <w:bCs/>
          <w:szCs w:val="18"/>
        </w:rPr>
        <w:t xml:space="preserve"> op </w:t>
      </w:r>
      <w:r w:rsidRPr="00C24D94">
        <w:t>&lt;datum&gt;</w:t>
      </w:r>
    </w:p>
    <w:p w14:paraId="64F91B02" w14:textId="77777777" w:rsidR="00DF4215" w:rsidRPr="008348B3" w:rsidRDefault="00DF4215" w:rsidP="00DF4215"/>
    <w:p w14:paraId="438E0141" w14:textId="77777777" w:rsidR="00DF4215" w:rsidRPr="008348B3" w:rsidRDefault="00DF4215" w:rsidP="00DF4215"/>
    <w:p w14:paraId="39D2F92C" w14:textId="77777777" w:rsidR="00DF4215" w:rsidRPr="008348B3" w:rsidRDefault="00DF4215" w:rsidP="00DF4215">
      <w:pPr>
        <w:rPr>
          <w:rFonts w:cs="TriniteNo1-Bol"/>
        </w:rPr>
      </w:pPr>
      <w:r w:rsidRPr="008348B3">
        <w:rPr>
          <w:rFonts w:cs="TriniteNo1-Bol"/>
        </w:rPr>
        <w:t>de Gemeente Oss</w:t>
      </w:r>
      <w:r w:rsidRPr="008348B3">
        <w:rPr>
          <w:rFonts w:cs="TriniteNo1-Bol"/>
        </w:rPr>
        <w:tab/>
      </w:r>
      <w:r w:rsidRPr="008348B3">
        <w:rPr>
          <w:rFonts w:cs="TriniteNo1-Bol"/>
        </w:rPr>
        <w:tab/>
      </w:r>
      <w:r w:rsidRPr="008348B3">
        <w:rPr>
          <w:rFonts w:cs="TriniteNo1-Bol"/>
        </w:rPr>
        <w:tab/>
      </w:r>
      <w:r w:rsidRPr="008348B3">
        <w:rPr>
          <w:rFonts w:cs="TriniteNo1-Bol"/>
        </w:rPr>
        <w:tab/>
      </w:r>
      <w:r w:rsidRPr="008348B3">
        <w:rPr>
          <w:rFonts w:cs="TriniteNo1-Bol"/>
        </w:rPr>
        <w:tab/>
      </w:r>
      <w:r>
        <w:rPr>
          <w:rFonts w:cs="TriniteNo1-Bol"/>
        </w:rPr>
        <w:t>&lt;invullen naam opdrachtnemer</w:t>
      </w:r>
    </w:p>
    <w:p w14:paraId="6DADEFAA" w14:textId="77777777" w:rsidR="00DF4215" w:rsidRPr="008348B3" w:rsidRDefault="00DF4215" w:rsidP="00DF4215">
      <w:pPr>
        <w:rPr>
          <w:rFonts w:cs="TriniteNo1-Bol"/>
        </w:rPr>
      </w:pPr>
    </w:p>
    <w:p w14:paraId="44D02F10" w14:textId="77777777" w:rsidR="00DF4215" w:rsidRPr="008348B3" w:rsidRDefault="00DF4215" w:rsidP="00DF4215">
      <w:pPr>
        <w:rPr>
          <w:rFonts w:cs="TriniteNo1-Bol"/>
        </w:rPr>
      </w:pPr>
    </w:p>
    <w:p w14:paraId="01AA5EA5" w14:textId="77777777" w:rsidR="00DF4215" w:rsidRPr="008348B3" w:rsidRDefault="00DF4215" w:rsidP="00DF4215">
      <w:pPr>
        <w:rPr>
          <w:rFonts w:cs="TriniteNo1-Bol"/>
        </w:rPr>
      </w:pPr>
    </w:p>
    <w:p w14:paraId="7FFD8DA5" w14:textId="77777777" w:rsidR="00DF4215" w:rsidRPr="008348B3" w:rsidRDefault="00DF4215" w:rsidP="00DF4215">
      <w:pPr>
        <w:rPr>
          <w:rFonts w:cs="TriniteNo1-Bol"/>
        </w:rPr>
      </w:pPr>
    </w:p>
    <w:p w14:paraId="3D2FEB81" w14:textId="77777777" w:rsidR="00DF4215" w:rsidRPr="00C24D94" w:rsidRDefault="00DF4215" w:rsidP="00DF4215">
      <w:r>
        <w:t>&lt;invullen tekeningsbevoegde&gt;</w:t>
      </w:r>
      <w:r w:rsidRPr="008348B3">
        <w:tab/>
      </w:r>
      <w:r w:rsidRPr="008348B3">
        <w:tab/>
      </w:r>
      <w:r w:rsidRPr="008348B3">
        <w:tab/>
      </w:r>
      <w:r>
        <w:tab/>
        <w:t xml:space="preserve">&lt;invullen tekeningsbevoegde&gt; </w:t>
      </w:r>
    </w:p>
    <w:p w14:paraId="03A03E4C" w14:textId="77777777" w:rsidR="00B60943" w:rsidRDefault="00B60943"/>
    <w:sectPr w:rsidR="00B60943" w:rsidSect="005D5A59">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67FC8" w14:textId="77777777" w:rsidR="006F1C2D" w:rsidRDefault="00C84F64">
      <w:pPr>
        <w:spacing w:line="240" w:lineRule="auto"/>
      </w:pPr>
      <w:r>
        <w:separator/>
      </w:r>
    </w:p>
  </w:endnote>
  <w:endnote w:type="continuationSeparator" w:id="0">
    <w:p w14:paraId="048AF692" w14:textId="77777777" w:rsidR="006F1C2D" w:rsidRDefault="00C84F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initeNo1-Bo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18"/>
      </w:rPr>
      <w:id w:val="1543090531"/>
      <w:docPartObj>
        <w:docPartGallery w:val="Page Numbers (Bottom of Page)"/>
        <w:docPartUnique/>
      </w:docPartObj>
    </w:sdtPr>
    <w:sdtEndPr/>
    <w:sdtContent>
      <w:sdt>
        <w:sdtPr>
          <w:rPr>
            <w:szCs w:val="18"/>
          </w:rPr>
          <w:id w:val="860082579"/>
          <w:docPartObj>
            <w:docPartGallery w:val="Page Numbers (Top of Page)"/>
            <w:docPartUnique/>
          </w:docPartObj>
        </w:sdtPr>
        <w:sdtEndPr/>
        <w:sdtContent>
          <w:p w14:paraId="726A7CEA" w14:textId="0BA0621F" w:rsidR="00EB2889" w:rsidRPr="00EB2889" w:rsidRDefault="00DF4215">
            <w:pPr>
              <w:jc w:val="right"/>
              <w:rPr>
                <w:szCs w:val="18"/>
              </w:rPr>
            </w:pPr>
            <w:r w:rsidRPr="00EB2889">
              <w:rPr>
                <w:szCs w:val="18"/>
              </w:rPr>
              <w:t xml:space="preserve">Pagina </w:t>
            </w:r>
            <w:r w:rsidRPr="00EB2889">
              <w:rPr>
                <w:bCs/>
                <w:szCs w:val="18"/>
              </w:rPr>
              <w:fldChar w:fldCharType="begin"/>
            </w:r>
            <w:r w:rsidRPr="00EB2889">
              <w:rPr>
                <w:bCs/>
                <w:szCs w:val="18"/>
              </w:rPr>
              <w:instrText>PAGE</w:instrText>
            </w:r>
            <w:r w:rsidRPr="00EB2889">
              <w:rPr>
                <w:bCs/>
                <w:szCs w:val="18"/>
              </w:rPr>
              <w:fldChar w:fldCharType="separate"/>
            </w:r>
            <w:r w:rsidR="00004B3C">
              <w:rPr>
                <w:bCs/>
                <w:noProof/>
                <w:szCs w:val="18"/>
              </w:rPr>
              <w:t>4</w:t>
            </w:r>
            <w:r w:rsidRPr="00EB2889">
              <w:rPr>
                <w:bCs/>
                <w:szCs w:val="18"/>
              </w:rPr>
              <w:fldChar w:fldCharType="end"/>
            </w:r>
            <w:r w:rsidRPr="00EB2889">
              <w:rPr>
                <w:szCs w:val="18"/>
              </w:rPr>
              <w:t xml:space="preserve"> van </w:t>
            </w:r>
            <w:r w:rsidRPr="00EB2889">
              <w:rPr>
                <w:bCs/>
                <w:szCs w:val="18"/>
              </w:rPr>
              <w:fldChar w:fldCharType="begin"/>
            </w:r>
            <w:r w:rsidRPr="00EB2889">
              <w:rPr>
                <w:bCs/>
                <w:szCs w:val="18"/>
              </w:rPr>
              <w:instrText>NUMPAGES</w:instrText>
            </w:r>
            <w:r w:rsidRPr="00EB2889">
              <w:rPr>
                <w:bCs/>
                <w:szCs w:val="18"/>
              </w:rPr>
              <w:fldChar w:fldCharType="separate"/>
            </w:r>
            <w:r w:rsidR="00004B3C">
              <w:rPr>
                <w:bCs/>
                <w:noProof/>
                <w:szCs w:val="18"/>
              </w:rPr>
              <w:t>4</w:t>
            </w:r>
            <w:r w:rsidRPr="00EB2889">
              <w:rPr>
                <w:bCs/>
                <w:szCs w:val="18"/>
              </w:rPr>
              <w:fldChar w:fldCharType="end"/>
            </w:r>
          </w:p>
        </w:sdtContent>
      </w:sdt>
    </w:sdtContent>
  </w:sdt>
  <w:p w14:paraId="7A472107" w14:textId="77777777" w:rsidR="00EB2889" w:rsidRDefault="00004B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6A8FB" w14:textId="77777777" w:rsidR="006F1C2D" w:rsidRDefault="00C84F64">
      <w:pPr>
        <w:spacing w:line="240" w:lineRule="auto"/>
      </w:pPr>
      <w:r>
        <w:separator/>
      </w:r>
    </w:p>
  </w:footnote>
  <w:footnote w:type="continuationSeparator" w:id="0">
    <w:p w14:paraId="72DF3572" w14:textId="77777777" w:rsidR="006F1C2D" w:rsidRDefault="00C84F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6941"/>
    <w:multiLevelType w:val="hybridMultilevel"/>
    <w:tmpl w:val="4E08E2D4"/>
    <w:lvl w:ilvl="0" w:tplc="37F4E1B4">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6C10F5A"/>
    <w:multiLevelType w:val="hybridMultilevel"/>
    <w:tmpl w:val="474C88E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A805E99"/>
    <w:multiLevelType w:val="hybridMultilevel"/>
    <w:tmpl w:val="F4420CF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10165F2"/>
    <w:multiLevelType w:val="hybridMultilevel"/>
    <w:tmpl w:val="F4420CF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1CA4231"/>
    <w:multiLevelType w:val="hybridMultilevel"/>
    <w:tmpl w:val="20C8179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8C95D91"/>
    <w:multiLevelType w:val="hybridMultilevel"/>
    <w:tmpl w:val="766A433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9914E6C"/>
    <w:multiLevelType w:val="hybridMultilevel"/>
    <w:tmpl w:val="835E1A1A"/>
    <w:lvl w:ilvl="0" w:tplc="37F4E1B4">
      <w:numFmt w:val="bullet"/>
      <w:lvlText w:val="-"/>
      <w:lvlJc w:val="left"/>
      <w:pPr>
        <w:ind w:left="720" w:hanging="360"/>
      </w:pPr>
      <w:rPr>
        <w:rFonts w:ascii="Verdana" w:eastAsia="Times New Roman" w:hAnsi="Verdana"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ED73021"/>
    <w:multiLevelType w:val="hybridMultilevel"/>
    <w:tmpl w:val="30769E6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548448B"/>
    <w:multiLevelType w:val="hybridMultilevel"/>
    <w:tmpl w:val="9A624974"/>
    <w:lvl w:ilvl="0" w:tplc="04130019">
      <w:start w:val="1"/>
      <w:numFmt w:val="lowerLetter"/>
      <w:lvlText w:val="%1."/>
      <w:lvlJc w:val="left"/>
      <w:pPr>
        <w:ind w:left="108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02E7004"/>
    <w:multiLevelType w:val="hybridMultilevel"/>
    <w:tmpl w:val="4984A59E"/>
    <w:lvl w:ilvl="0" w:tplc="37F4E1B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6"/>
  </w:num>
  <w:num w:numId="5">
    <w:abstractNumId w:val="2"/>
  </w:num>
  <w:num w:numId="6">
    <w:abstractNumId w:val="1"/>
  </w:num>
  <w:num w:numId="7">
    <w:abstractNumId w:val="0"/>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215"/>
    <w:rsid w:val="00004B3C"/>
    <w:rsid w:val="006F1C2D"/>
    <w:rsid w:val="00B60943"/>
    <w:rsid w:val="00C84F64"/>
    <w:rsid w:val="00DF4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1161C"/>
  <w15:chartTrackingRefBased/>
  <w15:docId w15:val="{2C56FDD8-8F47-456B-86E7-3A983CF2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F4215"/>
    <w:pPr>
      <w:spacing w:after="0" w:line="360" w:lineRule="auto"/>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F4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1233</Words>
  <Characters>6785</Characters>
  <Application>Microsoft Office Word</Application>
  <DocSecurity>4</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L.P.J. Mosch</dc:creator>
  <cp:keywords/>
  <dc:description/>
  <cp:lastModifiedBy>Nederlof, Peter</cp:lastModifiedBy>
  <cp:revision>2</cp:revision>
  <dcterms:created xsi:type="dcterms:W3CDTF">2021-08-11T07:56:00Z</dcterms:created>
  <dcterms:modified xsi:type="dcterms:W3CDTF">2021-08-11T07:56:00Z</dcterms:modified>
</cp:coreProperties>
</file>