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C65712" w:rsidRPr="00C65712" w:rsidTr="00586647">
        <w:tc>
          <w:tcPr>
            <w:tcW w:w="8721" w:type="dxa"/>
            <w:shd w:val="clear" w:color="auto" w:fill="E6E6E6"/>
          </w:tcPr>
          <w:p w:rsidR="00C65712" w:rsidRPr="00C65712" w:rsidRDefault="00C65712" w:rsidP="00C65712">
            <w:pPr>
              <w:keepNext/>
              <w:widowControl w:val="0"/>
              <w:spacing w:before="240" w:after="60" w:line="240" w:lineRule="auto"/>
              <w:outlineLvl w:val="1"/>
              <w:rPr>
                <w:rFonts w:ascii="LucidaSansEF" w:eastAsia="Cambria" w:hAnsi="LucidaSansEF" w:cs="Times New Roman"/>
                <w:sz w:val="20"/>
                <w:szCs w:val="20"/>
                <w:lang w:eastAsia="nl-NL"/>
              </w:rPr>
            </w:pPr>
            <w:r w:rsidRPr="00C65712">
              <w:rPr>
                <w:rFonts w:ascii="LucidaSansEF" w:eastAsia="Cambria" w:hAnsi="LucidaSansEF" w:cs="Times New Roman"/>
                <w:b/>
                <w:sz w:val="20"/>
                <w:szCs w:val="20"/>
                <w:lang w:eastAsia="nl-NL"/>
              </w:rPr>
              <w:br w:type="page"/>
            </w:r>
            <w:bookmarkStart w:id="0" w:name="_Toc79757054"/>
            <w:r w:rsidRPr="00C65712">
              <w:rPr>
                <w:rFonts w:ascii="LucidaSansEF" w:eastAsia="Cambria" w:hAnsi="LucidaSansEF" w:cs="Times New Roman"/>
                <w:sz w:val="20"/>
                <w:szCs w:val="20"/>
                <w:lang w:eastAsia="nl-NL"/>
              </w:rPr>
              <w:t>Formulier 3 Selectiecriteria (art 2:100 en art 2.99 lid1 AW)</w:t>
            </w:r>
            <w:bookmarkEnd w:id="0"/>
          </w:p>
        </w:tc>
      </w:tr>
    </w:tbl>
    <w:p w:rsidR="00C65712" w:rsidRPr="00C65712" w:rsidRDefault="00C65712" w:rsidP="00C65712">
      <w:pPr>
        <w:spacing w:after="0" w:line="240" w:lineRule="auto"/>
        <w:rPr>
          <w:rFonts w:ascii="LucidaSansEF" w:eastAsia="Cambria" w:hAnsi="LucidaSansEF" w:cs="Times New Roman"/>
          <w:sz w:val="20"/>
          <w:szCs w:val="20"/>
          <w:lang w:eastAsia="nl-NL"/>
        </w:rPr>
      </w:pPr>
    </w:p>
    <w:p w:rsidR="00C65712" w:rsidRPr="00C65712" w:rsidRDefault="00C65712" w:rsidP="00C65712">
      <w:pPr>
        <w:rPr>
          <w:rFonts w:ascii="LucidaSansEF" w:eastAsia="Cambria" w:hAnsi="LucidaSansEF" w:cs="Times New Roman"/>
          <w:sz w:val="20"/>
          <w:szCs w:val="20"/>
        </w:rPr>
      </w:pPr>
      <w:r w:rsidRPr="00C65712">
        <w:rPr>
          <w:rFonts w:ascii="LucidaSansEF" w:eastAsia="Cambria" w:hAnsi="LucidaSansEF" w:cs="Times New Roman"/>
          <w:sz w:val="20"/>
          <w:szCs w:val="20"/>
        </w:rPr>
        <w:t xml:space="preserve">Gegadigde dient twee referenties in te dienen om aan te tonen dat er voldaan wordt aan de genoemde specifieke kennis en ervaring. Aanbestedende dienst zal voor deze selectiecriteria dezelfde referenties gebruiken die de gegadigde heeft ingediend ten behoeve van de geschiktheidseisen met betrekking tot de technische bekwaamheid en beroepsbekwaamheid. Aanbestedende dienst heeft de drie volgende selectiecriteria vastgesteld. </w:t>
      </w:r>
    </w:p>
    <w:p w:rsidR="00C65712" w:rsidRPr="00C65712" w:rsidRDefault="00C65712" w:rsidP="00C65712">
      <w:pPr>
        <w:numPr>
          <w:ilvl w:val="0"/>
          <w:numId w:val="2"/>
        </w:numPr>
        <w:spacing w:after="0" w:line="240" w:lineRule="auto"/>
        <w:ind w:left="567" w:hanging="567"/>
        <w:rPr>
          <w:rFonts w:ascii="LucidaSansEF" w:eastAsia="Cambria" w:hAnsi="LucidaSansEF" w:cs="Times New Roman"/>
          <w:sz w:val="20"/>
          <w:szCs w:val="20"/>
        </w:rPr>
      </w:pPr>
      <w:r w:rsidRPr="00C65712">
        <w:rPr>
          <w:rFonts w:ascii="LucidaSansEF" w:eastAsia="Cambria" w:hAnsi="LucidaSansEF" w:cs="Times New Roman"/>
          <w:sz w:val="20"/>
          <w:szCs w:val="20"/>
        </w:rPr>
        <w:t>Het selectiecriterium "</w:t>
      </w:r>
      <w:r w:rsidRPr="00C65712">
        <w:rPr>
          <w:rFonts w:ascii="LucidaSansEF" w:eastAsia="Cambria" w:hAnsi="LucidaSansEF" w:cs="Times New Roman"/>
          <w:b/>
          <w:sz w:val="20"/>
          <w:szCs w:val="20"/>
        </w:rPr>
        <w:t>Soort zorginstelling</w:t>
      </w:r>
      <w:r w:rsidRPr="00C65712">
        <w:rPr>
          <w:rFonts w:ascii="LucidaSansEF" w:eastAsia="Cambria" w:hAnsi="LucidaSansEF" w:cs="Times New Roman"/>
          <w:sz w:val="20"/>
          <w:szCs w:val="20"/>
        </w:rPr>
        <w:t>" is van belang voor het beoordelen van de ervaring van gegadigde met het type zorginstelling en de bijbehorende zorgverlening;   universitair medisch centrum (10 punten), algemeen ziekenhuis (5 punten).</w:t>
      </w:r>
    </w:p>
    <w:p w:rsidR="00C65712" w:rsidRPr="00C65712" w:rsidRDefault="00C65712" w:rsidP="00C65712">
      <w:pPr>
        <w:numPr>
          <w:ilvl w:val="0"/>
          <w:numId w:val="2"/>
        </w:numPr>
        <w:spacing w:after="0" w:line="240" w:lineRule="auto"/>
        <w:ind w:left="567" w:hanging="567"/>
        <w:rPr>
          <w:rFonts w:ascii="LucidaSansEF" w:eastAsia="Cambria" w:hAnsi="LucidaSansEF" w:cs="Times New Roman"/>
          <w:sz w:val="20"/>
          <w:szCs w:val="20"/>
        </w:rPr>
      </w:pPr>
      <w:r w:rsidRPr="00C65712">
        <w:rPr>
          <w:rFonts w:ascii="LucidaSansEF" w:eastAsia="Cambria" w:hAnsi="LucidaSansEF" w:cs="Times New Roman"/>
          <w:sz w:val="20"/>
          <w:szCs w:val="20"/>
        </w:rPr>
        <w:t>Het selectiecriterium "</w:t>
      </w:r>
      <w:r w:rsidRPr="00C65712">
        <w:rPr>
          <w:rFonts w:ascii="LucidaSansEF" w:eastAsia="Cambria" w:hAnsi="LucidaSansEF" w:cs="Times New Roman"/>
          <w:b/>
          <w:sz w:val="20"/>
          <w:szCs w:val="20"/>
        </w:rPr>
        <w:t>Formaat van de zorginstelling</w:t>
      </w:r>
      <w:r w:rsidRPr="00C65712">
        <w:rPr>
          <w:rFonts w:ascii="LucidaSansEF" w:eastAsia="Cambria" w:hAnsi="LucidaSansEF" w:cs="Times New Roman"/>
          <w:sz w:val="20"/>
          <w:szCs w:val="20"/>
        </w:rPr>
        <w:t>" is van belang voor het beoordelen van ervaring van gegadigde met zorginstellingen van een bepaalde omvang; formaat zorginstelling &gt; 10.000 werknemers (10 punten) tussen de 5.000 en 10.000 werknemers (5 punten), minder dan 5000 werknemers (0 punten).</w:t>
      </w:r>
    </w:p>
    <w:p w:rsidR="00C65712" w:rsidRPr="00C65712" w:rsidRDefault="00C65712" w:rsidP="00C65712">
      <w:pPr>
        <w:numPr>
          <w:ilvl w:val="0"/>
          <w:numId w:val="2"/>
        </w:numPr>
        <w:spacing w:after="0" w:line="240" w:lineRule="auto"/>
        <w:ind w:left="567" w:hanging="567"/>
        <w:rPr>
          <w:rFonts w:ascii="LucidaSansEF" w:eastAsia="Cambria" w:hAnsi="LucidaSansEF" w:cs="Times New Roman"/>
          <w:sz w:val="20"/>
          <w:szCs w:val="20"/>
        </w:rPr>
      </w:pPr>
      <w:r w:rsidRPr="00C65712">
        <w:rPr>
          <w:rFonts w:ascii="LucidaSansEF" w:eastAsia="Cambria" w:hAnsi="LucidaSansEF" w:cs="Times New Roman"/>
          <w:sz w:val="20"/>
          <w:szCs w:val="20"/>
        </w:rPr>
        <w:t>Het selectiecriterium "</w:t>
      </w:r>
      <w:r w:rsidRPr="00C65712">
        <w:rPr>
          <w:rFonts w:ascii="LucidaSansEF" w:eastAsia="Cambria" w:hAnsi="LucidaSansEF" w:cs="Times New Roman"/>
          <w:b/>
          <w:sz w:val="20"/>
          <w:szCs w:val="20"/>
        </w:rPr>
        <w:t>Werkwijze claimafhandeling</w:t>
      </w:r>
      <w:r w:rsidRPr="00C65712">
        <w:rPr>
          <w:rFonts w:ascii="LucidaSansEF" w:eastAsia="Cambria" w:hAnsi="LucidaSansEF" w:cs="Times New Roman"/>
          <w:sz w:val="20"/>
          <w:szCs w:val="20"/>
        </w:rPr>
        <w:t>" is van belang voor het beoordelen of de werkwijze en dienstverlening van gegadigde aansluiten bij de wensen van Aanbestedende dienst ten aanzien van de claimafhandeling. Zie voor de beschrijving van de huidige/ beoogde werkwijze en dienstverlening paragraaf 1.6.</w:t>
      </w:r>
    </w:p>
    <w:p w:rsidR="00C65712" w:rsidRPr="00C65712" w:rsidRDefault="00C65712" w:rsidP="00C65712">
      <w:pPr>
        <w:spacing w:after="0" w:line="240" w:lineRule="auto"/>
        <w:ind w:left="567"/>
        <w:rPr>
          <w:rFonts w:ascii="LucidaSansEF" w:eastAsia="Cambria" w:hAnsi="LucidaSansEF" w:cs="Times New Roman"/>
          <w:sz w:val="20"/>
          <w:szCs w:val="20"/>
        </w:rPr>
      </w:pPr>
    </w:p>
    <w:p w:rsidR="00C65712" w:rsidRPr="00C65712" w:rsidRDefault="00C65712" w:rsidP="00C65712">
      <w:pPr>
        <w:spacing w:after="0"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Aanbestedende dienst verzoekt gegadigde een beschrijving (</w:t>
      </w:r>
      <w:r w:rsidRPr="00C65712">
        <w:rPr>
          <w:rFonts w:ascii="LucidaSansEF" w:eastAsia="Cambria" w:hAnsi="LucidaSansEF" w:cs="Times New Roman"/>
          <w:b/>
          <w:sz w:val="20"/>
          <w:szCs w:val="20"/>
        </w:rPr>
        <w:t>maximaal 1 A4: toevoegen bij uw aanmelding als bijlage 4)</w:t>
      </w:r>
      <w:r w:rsidRPr="00C65712">
        <w:rPr>
          <w:rFonts w:ascii="LucidaSansEF" w:eastAsia="Cambria" w:hAnsi="LucidaSansEF" w:cs="Times New Roman"/>
          <w:sz w:val="20"/>
          <w:szCs w:val="20"/>
        </w:rPr>
        <w:t xml:space="preserve"> te geven van de werkafspraken / werkwijze van de claimafhandeling door één referent en (mogelijke) aanvullende dienstverlening aan deze partij en daarbij in te gaan op de volgende onderwerpen:</w:t>
      </w:r>
    </w:p>
    <w:p w:rsidR="00C65712" w:rsidRPr="00C65712" w:rsidRDefault="00C65712" w:rsidP="00C65712">
      <w:pPr>
        <w:spacing w:after="0" w:line="240" w:lineRule="auto"/>
        <w:ind w:left="567" w:hanging="720"/>
        <w:rPr>
          <w:rFonts w:ascii="LucidaSansEF" w:eastAsia="Cambria" w:hAnsi="LucidaSansEF" w:cs="Times New Roman"/>
          <w:sz w:val="20"/>
          <w:szCs w:val="20"/>
        </w:rPr>
      </w:pPr>
    </w:p>
    <w:p w:rsidR="00C65712" w:rsidRPr="00C65712" w:rsidRDefault="00C65712" w:rsidP="00C65712">
      <w:pPr>
        <w:numPr>
          <w:ilvl w:val="1"/>
          <w:numId w:val="1"/>
        </w:numPr>
        <w:tabs>
          <w:tab w:val="num" w:pos="567"/>
        </w:tabs>
        <w:spacing w:after="0" w:line="240" w:lineRule="auto"/>
        <w:ind w:left="567" w:hanging="567"/>
        <w:rPr>
          <w:rFonts w:ascii="LucidaSansEF" w:eastAsia="Cambria" w:hAnsi="LucidaSansEF" w:cs="Times New Roman"/>
          <w:sz w:val="20"/>
          <w:szCs w:val="20"/>
        </w:rPr>
      </w:pPr>
      <w:r w:rsidRPr="00C65712">
        <w:rPr>
          <w:rFonts w:ascii="LucidaSansEF" w:eastAsia="Cambria" w:hAnsi="LucidaSansEF" w:cs="Times New Roman"/>
          <w:sz w:val="20"/>
          <w:szCs w:val="20"/>
        </w:rPr>
        <w:t xml:space="preserve">de hoogte van het bedrag waartoe referent bevoegd is om claims zelfstandig af te handelen (max. 5 punten); </w:t>
      </w:r>
    </w:p>
    <w:p w:rsidR="00C65712" w:rsidRPr="00C65712" w:rsidRDefault="00C65712" w:rsidP="00C65712">
      <w:pPr>
        <w:numPr>
          <w:ilvl w:val="1"/>
          <w:numId w:val="1"/>
        </w:numPr>
        <w:tabs>
          <w:tab w:val="num" w:pos="567"/>
        </w:tabs>
        <w:spacing w:after="0" w:line="240" w:lineRule="auto"/>
        <w:ind w:left="567" w:hanging="567"/>
        <w:rPr>
          <w:rFonts w:ascii="LucidaSansEF" w:eastAsia="Cambria" w:hAnsi="LucidaSansEF" w:cs="Times New Roman"/>
          <w:sz w:val="20"/>
          <w:szCs w:val="20"/>
        </w:rPr>
      </w:pPr>
      <w:r w:rsidRPr="00C65712">
        <w:rPr>
          <w:rFonts w:ascii="LucidaSansEF" w:eastAsia="Cambria" w:hAnsi="LucidaSansEF" w:cs="Times New Roman"/>
          <w:sz w:val="20"/>
          <w:szCs w:val="20"/>
        </w:rPr>
        <w:t xml:space="preserve">de werkwijze en verplichtingen van referent bij een claim waarvan de reserve het bedrag onder 1. overschrijdt (max. 5 punten); </w:t>
      </w:r>
    </w:p>
    <w:p w:rsidR="00C65712" w:rsidRPr="00C65712" w:rsidRDefault="00C65712" w:rsidP="00C65712">
      <w:pPr>
        <w:numPr>
          <w:ilvl w:val="1"/>
          <w:numId w:val="1"/>
        </w:numPr>
        <w:tabs>
          <w:tab w:val="num" w:pos="567"/>
        </w:tabs>
        <w:spacing w:after="0" w:line="240" w:lineRule="auto"/>
        <w:ind w:left="567" w:hanging="567"/>
        <w:rPr>
          <w:rFonts w:ascii="LucidaSansEF" w:eastAsia="Cambria" w:hAnsi="LucidaSansEF" w:cs="Times New Roman"/>
          <w:sz w:val="20"/>
          <w:szCs w:val="20"/>
        </w:rPr>
      </w:pPr>
      <w:r w:rsidRPr="00C65712">
        <w:rPr>
          <w:rFonts w:ascii="LucidaSansEF" w:eastAsia="Cambria" w:hAnsi="LucidaSansEF" w:cs="Times New Roman"/>
          <w:sz w:val="20"/>
          <w:szCs w:val="20"/>
        </w:rPr>
        <w:t xml:space="preserve">inschakeling van advocaten, medisch adviseur en deskundigen in zowel de onder 1. als 2. bedoelde situatie (max. 5 punten); </w:t>
      </w:r>
    </w:p>
    <w:p w:rsidR="00C65712" w:rsidRPr="00C65712" w:rsidRDefault="00C65712" w:rsidP="00C65712">
      <w:pPr>
        <w:numPr>
          <w:ilvl w:val="1"/>
          <w:numId w:val="1"/>
        </w:numPr>
        <w:tabs>
          <w:tab w:val="num" w:pos="567"/>
        </w:tabs>
        <w:spacing w:after="0" w:line="240" w:lineRule="auto"/>
        <w:ind w:left="567" w:hanging="567"/>
        <w:rPr>
          <w:rFonts w:ascii="LucidaSansEF" w:eastAsia="Cambria" w:hAnsi="LucidaSansEF" w:cs="Times New Roman"/>
          <w:sz w:val="20"/>
          <w:szCs w:val="20"/>
        </w:rPr>
      </w:pPr>
      <w:r w:rsidRPr="00C65712">
        <w:rPr>
          <w:rFonts w:ascii="LucidaSansEF" w:eastAsia="Cambria" w:hAnsi="LucidaSansEF" w:cs="Times New Roman"/>
          <w:sz w:val="20"/>
          <w:szCs w:val="20"/>
        </w:rPr>
        <w:t>de aanvullende dienstverlening van gegadigde ten aanzien van (max. 5 punten) :</w:t>
      </w:r>
    </w:p>
    <w:p w:rsidR="00C65712" w:rsidRPr="00C65712" w:rsidRDefault="00C65712" w:rsidP="00C65712">
      <w:pPr>
        <w:tabs>
          <w:tab w:val="left" w:pos="851"/>
        </w:tabs>
        <w:spacing w:after="0" w:line="240" w:lineRule="auto"/>
        <w:ind w:left="851" w:hanging="284"/>
        <w:rPr>
          <w:rFonts w:ascii="LucidaSansEF" w:eastAsia="Cambria" w:hAnsi="LucidaSansEF" w:cs="Times New Roman"/>
          <w:sz w:val="20"/>
          <w:szCs w:val="20"/>
        </w:rPr>
      </w:pPr>
      <w:r w:rsidRPr="00C65712">
        <w:rPr>
          <w:rFonts w:ascii="LucidaSansEF" w:eastAsia="Cambria" w:hAnsi="LucidaSansEF" w:cs="Times New Roman"/>
          <w:sz w:val="20"/>
          <w:szCs w:val="20"/>
        </w:rPr>
        <w:t xml:space="preserve">- </w:t>
      </w:r>
      <w:r w:rsidRPr="00C65712">
        <w:rPr>
          <w:rFonts w:ascii="LucidaSansEF" w:eastAsia="Cambria" w:hAnsi="LucidaSansEF" w:cs="Times New Roman"/>
          <w:sz w:val="20"/>
          <w:szCs w:val="20"/>
        </w:rPr>
        <w:tab/>
        <w:t>kennisdeling;</w:t>
      </w:r>
    </w:p>
    <w:p w:rsidR="00C65712" w:rsidRPr="00C65712" w:rsidRDefault="00C65712" w:rsidP="00C65712">
      <w:pPr>
        <w:tabs>
          <w:tab w:val="left" w:pos="851"/>
        </w:tabs>
        <w:spacing w:after="0" w:line="240" w:lineRule="auto"/>
        <w:ind w:left="851" w:hanging="284"/>
        <w:rPr>
          <w:rFonts w:ascii="LucidaSansEF" w:eastAsia="Cambria" w:hAnsi="LucidaSansEF" w:cs="Times New Roman"/>
          <w:sz w:val="20"/>
          <w:szCs w:val="20"/>
        </w:rPr>
      </w:pPr>
      <w:r w:rsidRPr="00C65712">
        <w:rPr>
          <w:rFonts w:ascii="LucidaSansEF" w:eastAsia="Cambria" w:hAnsi="LucidaSansEF" w:cs="Times New Roman"/>
          <w:sz w:val="20"/>
          <w:szCs w:val="20"/>
        </w:rPr>
        <w:t xml:space="preserve">- </w:t>
      </w:r>
      <w:r w:rsidRPr="00C65712">
        <w:rPr>
          <w:rFonts w:ascii="LucidaSansEF" w:eastAsia="Cambria" w:hAnsi="LucidaSansEF" w:cs="Times New Roman"/>
          <w:sz w:val="20"/>
          <w:szCs w:val="20"/>
        </w:rPr>
        <w:tab/>
        <w:t xml:space="preserve">ondersteuning bij preventie; </w:t>
      </w:r>
    </w:p>
    <w:p w:rsidR="00C65712" w:rsidRPr="00C65712" w:rsidRDefault="00C65712" w:rsidP="00C65712">
      <w:pPr>
        <w:tabs>
          <w:tab w:val="left" w:pos="851"/>
        </w:tabs>
        <w:spacing w:after="0" w:line="240" w:lineRule="auto"/>
        <w:ind w:left="851" w:hanging="284"/>
        <w:rPr>
          <w:rFonts w:ascii="LucidaSansEF" w:eastAsia="Cambria" w:hAnsi="LucidaSansEF" w:cs="Times New Roman"/>
          <w:sz w:val="20"/>
          <w:szCs w:val="20"/>
        </w:rPr>
      </w:pPr>
      <w:r w:rsidRPr="00C65712">
        <w:rPr>
          <w:rFonts w:ascii="LucidaSansEF" w:eastAsia="Cambria" w:hAnsi="LucidaSansEF" w:cs="Times New Roman"/>
          <w:sz w:val="20"/>
          <w:szCs w:val="20"/>
        </w:rPr>
        <w:t xml:space="preserve">- </w:t>
      </w:r>
      <w:r w:rsidRPr="00C65712">
        <w:rPr>
          <w:rFonts w:ascii="LucidaSansEF" w:eastAsia="Cambria" w:hAnsi="LucidaSansEF" w:cs="Times New Roman"/>
          <w:sz w:val="20"/>
          <w:szCs w:val="20"/>
        </w:rPr>
        <w:tab/>
        <w:t xml:space="preserve">beschikbaarheid advocaten in loondienst/medisch adviseur. </w:t>
      </w:r>
    </w:p>
    <w:p w:rsidR="00C65712" w:rsidRPr="00C65712" w:rsidRDefault="00C65712" w:rsidP="00C65712">
      <w:pPr>
        <w:spacing w:after="0" w:line="240" w:lineRule="auto"/>
        <w:rPr>
          <w:rFonts w:ascii="LucidaSansEF" w:eastAsia="Cambria" w:hAnsi="LucidaSansEF" w:cs="Times New Roman"/>
          <w:sz w:val="20"/>
          <w:szCs w:val="20"/>
        </w:rPr>
      </w:pPr>
    </w:p>
    <w:p w:rsidR="00C65712" w:rsidRPr="00C65712" w:rsidRDefault="00C65712" w:rsidP="00C65712">
      <w:pPr>
        <w:rPr>
          <w:rFonts w:ascii="LucidaSansEF" w:eastAsia="Cambria" w:hAnsi="LucidaSansEF" w:cs="Times New Roman"/>
          <w:sz w:val="20"/>
          <w:szCs w:val="20"/>
        </w:rPr>
      </w:pPr>
      <w:r w:rsidRPr="00C65712">
        <w:rPr>
          <w:rFonts w:ascii="LucidaSansEF" w:eastAsia="Cambria" w:hAnsi="LucidaSansEF" w:cs="Times New Roman"/>
          <w:sz w:val="20"/>
          <w:szCs w:val="20"/>
        </w:rPr>
        <w:t>De maximale score van dit selectiecriterium bedraagt 20 punten. De reactie op dit criterium wordt per onderwerp (1 t/m 4) individueel beoordeeld door middel van de volgende percentages: 0%, 50%, 75%  en 100%.</w:t>
      </w:r>
      <w:r w:rsidRPr="00C65712">
        <w:rPr>
          <w:rFonts w:ascii="Calibri" w:eastAsia="Cambria" w:hAnsi="Calibri" w:cs="Times New Roman"/>
        </w:rPr>
        <w:t xml:space="preserve"> </w:t>
      </w:r>
      <w:r w:rsidRPr="00C65712">
        <w:rPr>
          <w:rFonts w:ascii="LucidaSansEF" w:eastAsia="Cambria" w:hAnsi="LucidaSansEF" w:cs="Times New Roman"/>
          <w:sz w:val="20"/>
          <w:szCs w:val="20"/>
        </w:rPr>
        <w:t>Vervolgens worden de individuele resultaten in teamverband besproken en wordt één definitieve beoordeling/percentage vastgesteld. Er wordt hierbij afgerond op hele getallen. Aan de percentages wordt de navolgende betekenis toegekend:</w:t>
      </w:r>
    </w:p>
    <w:tbl>
      <w:tblPr>
        <w:tblW w:w="7513" w:type="dxa"/>
        <w:tblInd w:w="106" w:type="dxa"/>
        <w:tblCellMar>
          <w:top w:w="37" w:type="dxa"/>
          <w:left w:w="106" w:type="dxa"/>
          <w:right w:w="68" w:type="dxa"/>
        </w:tblCellMar>
        <w:tblLook w:val="04A0" w:firstRow="1" w:lastRow="0" w:firstColumn="1" w:lastColumn="0" w:noHBand="0" w:noVBand="1"/>
      </w:tblPr>
      <w:tblGrid>
        <w:gridCol w:w="1368"/>
        <w:gridCol w:w="6145"/>
      </w:tblGrid>
      <w:tr w:rsidR="00C65712" w:rsidRPr="00C65712" w:rsidTr="00586647">
        <w:trPr>
          <w:trHeight w:val="216"/>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F79646"/>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 xml:space="preserve">Motivering puntentoekenning </w:t>
            </w:r>
          </w:p>
        </w:tc>
      </w:tr>
      <w:tr w:rsidR="00C65712" w:rsidRPr="00C65712" w:rsidTr="00586647">
        <w:trPr>
          <w:trHeight w:val="220"/>
        </w:trPr>
        <w:tc>
          <w:tcPr>
            <w:tcW w:w="1368" w:type="dxa"/>
            <w:vMerge w:val="restart"/>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 xml:space="preserve">100% </w:t>
            </w:r>
          </w:p>
        </w:tc>
        <w:tc>
          <w:tcPr>
            <w:tcW w:w="6145" w:type="dxa"/>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Uitstekend</w:t>
            </w:r>
          </w:p>
        </w:tc>
      </w:tr>
      <w:tr w:rsidR="00C65712" w:rsidRPr="00C65712" w:rsidTr="00586647">
        <w:trPr>
          <w:trHeight w:val="246"/>
        </w:trPr>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C65712" w:rsidRPr="00C65712" w:rsidRDefault="00C65712" w:rsidP="00C65712">
            <w:pPr>
              <w:ind w:left="720"/>
              <w:rPr>
                <w:rFonts w:ascii="LucidaSansEF" w:eastAsia="Cambria" w:hAnsi="LucidaSansEF" w:cs="Times New Roman"/>
                <w:sz w:val="20"/>
                <w:szCs w:val="20"/>
              </w:rPr>
            </w:pPr>
          </w:p>
        </w:tc>
        <w:tc>
          <w:tcPr>
            <w:tcW w:w="6145" w:type="dxa"/>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numPr>
                <w:ilvl w:val="0"/>
                <w:numId w:val="3"/>
              </w:numPr>
              <w:spacing w:after="0" w:line="240" w:lineRule="auto"/>
              <w:ind w:left="373" w:hanging="373"/>
              <w:rPr>
                <w:rFonts w:ascii="LucidaSansEF" w:eastAsia="Cambria" w:hAnsi="LucidaSansEF" w:cs="Times New Roman"/>
                <w:sz w:val="20"/>
                <w:szCs w:val="20"/>
              </w:rPr>
            </w:pPr>
            <w:r w:rsidRPr="00C65712">
              <w:rPr>
                <w:rFonts w:ascii="LucidaSansEF" w:eastAsia="Cambria" w:hAnsi="LucidaSansEF" w:cs="Times New Roman"/>
                <w:sz w:val="20"/>
                <w:szCs w:val="20"/>
              </w:rPr>
              <w:t>De werkwijze overtreft de huidige werkwijze van Aanbestedende dienst.</w:t>
            </w:r>
          </w:p>
          <w:p w:rsidR="00C65712" w:rsidRPr="00C65712" w:rsidRDefault="00C65712" w:rsidP="00C65712">
            <w:pPr>
              <w:spacing w:after="0" w:line="240" w:lineRule="auto"/>
              <w:ind w:left="5"/>
              <w:rPr>
                <w:rFonts w:ascii="LucidaSansEF" w:eastAsia="Cambria" w:hAnsi="LucidaSansEF" w:cs="Times New Roman"/>
                <w:sz w:val="20"/>
                <w:szCs w:val="20"/>
              </w:rPr>
            </w:pPr>
          </w:p>
          <w:p w:rsidR="00C65712" w:rsidRPr="00C65712" w:rsidRDefault="00C65712" w:rsidP="00C65712">
            <w:pPr>
              <w:numPr>
                <w:ilvl w:val="0"/>
                <w:numId w:val="3"/>
              </w:numPr>
              <w:spacing w:after="0" w:line="240" w:lineRule="auto"/>
              <w:ind w:left="373" w:hanging="373"/>
              <w:rPr>
                <w:rFonts w:ascii="LucidaSansEF" w:eastAsia="Cambria" w:hAnsi="LucidaSansEF" w:cs="Times New Roman"/>
                <w:sz w:val="20"/>
                <w:szCs w:val="20"/>
              </w:rPr>
            </w:pPr>
            <w:r w:rsidRPr="00C65712">
              <w:rPr>
                <w:rFonts w:ascii="LucidaSansEF" w:eastAsia="Cambria" w:hAnsi="LucidaSansEF" w:cs="Times New Roman"/>
                <w:sz w:val="20"/>
                <w:szCs w:val="20"/>
              </w:rPr>
              <w:t xml:space="preserve">Gegadigde biedt naast de dienstverlening die Aanbestedende dienst thans ontvangt/kan ontvangen, nog aanvullende diensten die naar mening van Aanbestedende dienst van toegevoegde waarde zijn. </w:t>
            </w:r>
          </w:p>
          <w:p w:rsidR="00C65712" w:rsidRPr="00C65712" w:rsidRDefault="00C65712" w:rsidP="00C65712">
            <w:pPr>
              <w:spacing w:line="240" w:lineRule="auto"/>
              <w:ind w:left="5"/>
              <w:rPr>
                <w:rFonts w:ascii="LucidaSansEF" w:eastAsia="Cambria" w:hAnsi="LucidaSansEF" w:cs="Times New Roman"/>
                <w:sz w:val="20"/>
                <w:szCs w:val="20"/>
              </w:rPr>
            </w:pPr>
          </w:p>
        </w:tc>
      </w:tr>
      <w:tr w:rsidR="00C65712" w:rsidRPr="00C65712" w:rsidTr="00586647">
        <w:trPr>
          <w:trHeight w:val="216"/>
        </w:trPr>
        <w:tc>
          <w:tcPr>
            <w:tcW w:w="1368" w:type="dxa"/>
            <w:vMerge w:val="restart"/>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 xml:space="preserve">75% </w:t>
            </w:r>
          </w:p>
        </w:tc>
        <w:tc>
          <w:tcPr>
            <w:tcW w:w="6145" w:type="dxa"/>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Goed</w:t>
            </w:r>
          </w:p>
        </w:tc>
      </w:tr>
      <w:tr w:rsidR="00C65712" w:rsidRPr="00C65712" w:rsidTr="00586647">
        <w:trPr>
          <w:trHeight w:val="813"/>
        </w:trPr>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C65712" w:rsidRPr="00C65712" w:rsidRDefault="00C65712" w:rsidP="00C65712">
            <w:pPr>
              <w:ind w:left="720"/>
              <w:rPr>
                <w:rFonts w:ascii="LucidaSansEF" w:eastAsia="Cambria" w:hAnsi="LucidaSansEF" w:cs="Times New Roman"/>
                <w:sz w:val="20"/>
                <w:szCs w:val="20"/>
              </w:rPr>
            </w:pPr>
          </w:p>
        </w:tc>
        <w:tc>
          <w:tcPr>
            <w:tcW w:w="6145" w:type="dxa"/>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numPr>
                <w:ilvl w:val="0"/>
                <w:numId w:val="3"/>
              </w:numPr>
              <w:spacing w:after="0" w:line="240" w:lineRule="auto"/>
              <w:ind w:left="373" w:hanging="373"/>
              <w:rPr>
                <w:rFonts w:ascii="LucidaSansEF" w:eastAsia="Cambria" w:hAnsi="LucidaSansEF" w:cs="Times New Roman"/>
                <w:sz w:val="20"/>
                <w:szCs w:val="20"/>
              </w:rPr>
            </w:pPr>
            <w:r w:rsidRPr="00C65712">
              <w:rPr>
                <w:rFonts w:ascii="LucidaSansEF" w:eastAsia="Cambria" w:hAnsi="LucidaSansEF" w:cs="Times New Roman"/>
                <w:sz w:val="20"/>
                <w:szCs w:val="20"/>
              </w:rPr>
              <w:t>De werkwijze komt overeen met de huidige werkwijze van Aanbestedende dienst.</w:t>
            </w:r>
          </w:p>
          <w:p w:rsidR="00C65712" w:rsidRPr="00C65712" w:rsidRDefault="00C65712" w:rsidP="00C65712">
            <w:pPr>
              <w:numPr>
                <w:ilvl w:val="0"/>
                <w:numId w:val="3"/>
              </w:numPr>
              <w:spacing w:after="0" w:line="240" w:lineRule="auto"/>
              <w:ind w:left="373" w:hanging="373"/>
              <w:rPr>
                <w:rFonts w:ascii="LucidaSansEF" w:eastAsia="Cambria" w:hAnsi="LucidaSansEF" w:cs="Times New Roman"/>
                <w:sz w:val="20"/>
                <w:szCs w:val="20"/>
              </w:rPr>
            </w:pPr>
            <w:r w:rsidRPr="00C65712">
              <w:rPr>
                <w:rFonts w:ascii="LucidaSansEF" w:eastAsia="Cambria" w:hAnsi="LucidaSansEF" w:cs="Times New Roman"/>
                <w:sz w:val="20"/>
                <w:szCs w:val="20"/>
              </w:rPr>
              <w:t xml:space="preserve">Gegadigde biedt de dienstverlening die Aanbestedende dienst thans ontvangt/kan ontvangen. </w:t>
            </w:r>
          </w:p>
          <w:p w:rsidR="00C65712" w:rsidRPr="00C65712" w:rsidRDefault="00C65712" w:rsidP="00C65712">
            <w:pPr>
              <w:spacing w:after="0" w:line="240" w:lineRule="auto"/>
              <w:ind w:left="5"/>
              <w:rPr>
                <w:rFonts w:ascii="LucidaSansEF" w:eastAsia="Cambria" w:hAnsi="LucidaSansEF" w:cs="Times New Roman"/>
                <w:sz w:val="20"/>
                <w:szCs w:val="20"/>
              </w:rPr>
            </w:pPr>
          </w:p>
        </w:tc>
      </w:tr>
      <w:tr w:rsidR="00C65712" w:rsidRPr="00C65712" w:rsidTr="00586647">
        <w:trPr>
          <w:trHeight w:val="218"/>
        </w:trPr>
        <w:tc>
          <w:tcPr>
            <w:tcW w:w="1368" w:type="dxa"/>
            <w:vMerge w:val="restart"/>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 xml:space="preserve">50% </w:t>
            </w:r>
          </w:p>
        </w:tc>
        <w:tc>
          <w:tcPr>
            <w:tcW w:w="6145" w:type="dxa"/>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Voldoende</w:t>
            </w:r>
          </w:p>
        </w:tc>
      </w:tr>
      <w:tr w:rsidR="00C65712" w:rsidRPr="00C65712" w:rsidTr="00586647">
        <w:trPr>
          <w:trHeight w:val="1501"/>
        </w:trPr>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C65712" w:rsidRPr="00C65712" w:rsidRDefault="00C65712" w:rsidP="00C65712">
            <w:pPr>
              <w:ind w:left="720"/>
              <w:rPr>
                <w:rFonts w:ascii="LucidaSansEF" w:eastAsia="Cambria" w:hAnsi="LucidaSansEF" w:cs="Times New Roman"/>
                <w:sz w:val="20"/>
                <w:szCs w:val="20"/>
              </w:rPr>
            </w:pPr>
          </w:p>
        </w:tc>
        <w:tc>
          <w:tcPr>
            <w:tcW w:w="6145" w:type="dxa"/>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numPr>
                <w:ilvl w:val="0"/>
                <w:numId w:val="3"/>
              </w:numPr>
              <w:spacing w:after="0" w:line="240" w:lineRule="auto"/>
              <w:ind w:left="373" w:hanging="373"/>
              <w:rPr>
                <w:rFonts w:ascii="LucidaSansEF" w:eastAsia="Cambria" w:hAnsi="LucidaSansEF" w:cs="Times New Roman"/>
                <w:sz w:val="20"/>
                <w:szCs w:val="20"/>
              </w:rPr>
            </w:pPr>
            <w:r w:rsidRPr="00C65712">
              <w:rPr>
                <w:rFonts w:ascii="LucidaSansEF" w:eastAsia="Cambria" w:hAnsi="LucidaSansEF" w:cs="Times New Roman"/>
                <w:sz w:val="20"/>
                <w:szCs w:val="20"/>
              </w:rPr>
              <w:t>De werkwijze komt op enkele punten niet overeen (in negatieve zin) met de huidige werkwijze van Aanbestedende dienst.</w:t>
            </w:r>
          </w:p>
          <w:p w:rsidR="00C65712" w:rsidRPr="00C65712" w:rsidRDefault="00C65712" w:rsidP="00C65712">
            <w:pPr>
              <w:numPr>
                <w:ilvl w:val="0"/>
                <w:numId w:val="3"/>
              </w:numPr>
              <w:spacing w:after="0" w:line="240" w:lineRule="auto"/>
              <w:ind w:left="373" w:hanging="373"/>
              <w:rPr>
                <w:rFonts w:ascii="LucidaSansEF" w:eastAsia="Cambria" w:hAnsi="LucidaSansEF" w:cs="Times New Roman"/>
                <w:sz w:val="20"/>
                <w:szCs w:val="20"/>
              </w:rPr>
            </w:pPr>
            <w:r w:rsidRPr="00C65712">
              <w:rPr>
                <w:rFonts w:ascii="LucidaSansEF" w:eastAsia="Cambria" w:hAnsi="LucidaSansEF" w:cs="Times New Roman"/>
                <w:sz w:val="20"/>
                <w:szCs w:val="20"/>
              </w:rPr>
              <w:t>Gegadigde kan Aanbestedende dienst niet volledig de dienstverlening bieden die zij thans ontvangt/kan ontvangen.</w:t>
            </w:r>
          </w:p>
          <w:p w:rsidR="00C65712" w:rsidRPr="00C65712" w:rsidRDefault="00C65712" w:rsidP="00C65712">
            <w:pPr>
              <w:spacing w:after="0" w:line="240" w:lineRule="auto"/>
              <w:ind w:left="5"/>
              <w:rPr>
                <w:rFonts w:ascii="LucidaSansEF" w:eastAsia="Cambria" w:hAnsi="LucidaSansEF" w:cs="Times New Roman"/>
                <w:sz w:val="20"/>
                <w:szCs w:val="20"/>
              </w:rPr>
            </w:pPr>
          </w:p>
        </w:tc>
      </w:tr>
      <w:tr w:rsidR="00C65712" w:rsidRPr="00C65712" w:rsidTr="00586647">
        <w:trPr>
          <w:trHeight w:val="218"/>
        </w:trPr>
        <w:tc>
          <w:tcPr>
            <w:tcW w:w="1368" w:type="dxa"/>
            <w:vMerge w:val="restart"/>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 xml:space="preserve">0% </w:t>
            </w:r>
          </w:p>
        </w:tc>
        <w:tc>
          <w:tcPr>
            <w:tcW w:w="6145" w:type="dxa"/>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spacing w:line="240" w:lineRule="auto"/>
              <w:rPr>
                <w:rFonts w:ascii="LucidaSansEF" w:eastAsia="Cambria" w:hAnsi="LucidaSansEF" w:cs="Times New Roman"/>
                <w:sz w:val="20"/>
                <w:szCs w:val="20"/>
              </w:rPr>
            </w:pPr>
            <w:r w:rsidRPr="00C65712">
              <w:rPr>
                <w:rFonts w:ascii="LucidaSansEF" w:eastAsia="Cambria" w:hAnsi="LucidaSansEF" w:cs="Times New Roman"/>
                <w:sz w:val="20"/>
                <w:szCs w:val="20"/>
              </w:rPr>
              <w:t xml:space="preserve">Onvoldoende </w:t>
            </w:r>
          </w:p>
        </w:tc>
      </w:tr>
      <w:tr w:rsidR="00C65712" w:rsidRPr="00C65712" w:rsidTr="00586647">
        <w:trPr>
          <w:trHeight w:val="1501"/>
        </w:trPr>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C65712" w:rsidRPr="00C65712" w:rsidRDefault="00C65712" w:rsidP="00C65712">
            <w:pPr>
              <w:ind w:left="720"/>
              <w:rPr>
                <w:rFonts w:ascii="LucidaSansEF" w:eastAsia="Cambria" w:hAnsi="LucidaSansEF" w:cs="Times New Roman"/>
                <w:sz w:val="20"/>
                <w:szCs w:val="20"/>
              </w:rPr>
            </w:pPr>
          </w:p>
        </w:tc>
        <w:tc>
          <w:tcPr>
            <w:tcW w:w="6145" w:type="dxa"/>
            <w:tcBorders>
              <w:top w:val="single" w:sz="4" w:space="0" w:color="000000"/>
              <w:left w:val="single" w:sz="4" w:space="0" w:color="000000"/>
              <w:bottom w:val="single" w:sz="4" w:space="0" w:color="000000"/>
              <w:right w:val="single" w:sz="4" w:space="0" w:color="000000"/>
            </w:tcBorders>
            <w:hideMark/>
          </w:tcPr>
          <w:p w:rsidR="00C65712" w:rsidRPr="00C65712" w:rsidRDefault="00C65712" w:rsidP="00C65712">
            <w:pPr>
              <w:numPr>
                <w:ilvl w:val="0"/>
                <w:numId w:val="3"/>
              </w:numPr>
              <w:spacing w:after="0" w:line="240" w:lineRule="auto"/>
              <w:ind w:left="373" w:hanging="373"/>
              <w:rPr>
                <w:rFonts w:ascii="LucidaSansEF" w:eastAsia="Cambria" w:hAnsi="LucidaSansEF" w:cs="Times New Roman"/>
                <w:sz w:val="20"/>
                <w:szCs w:val="20"/>
              </w:rPr>
            </w:pPr>
            <w:r w:rsidRPr="00C65712">
              <w:rPr>
                <w:rFonts w:ascii="LucidaSansEF" w:eastAsia="Cambria" w:hAnsi="LucidaSansEF" w:cs="Times New Roman"/>
                <w:sz w:val="20"/>
                <w:szCs w:val="20"/>
              </w:rPr>
              <w:t>De werkwijze komt op meerdere punten niet overeen (in negatieve zin) met de huidige werkwijze van Aanbestedende dienst.</w:t>
            </w:r>
          </w:p>
          <w:p w:rsidR="00C65712" w:rsidRPr="00C65712" w:rsidRDefault="00C65712" w:rsidP="00C65712">
            <w:pPr>
              <w:numPr>
                <w:ilvl w:val="0"/>
                <w:numId w:val="3"/>
              </w:numPr>
              <w:spacing w:after="0" w:line="240" w:lineRule="auto"/>
              <w:ind w:left="373" w:hanging="373"/>
              <w:rPr>
                <w:rFonts w:ascii="LucidaSansEF" w:eastAsia="Cambria" w:hAnsi="LucidaSansEF" w:cs="Times New Roman"/>
                <w:sz w:val="20"/>
                <w:szCs w:val="20"/>
              </w:rPr>
            </w:pPr>
            <w:r w:rsidRPr="00C65712">
              <w:rPr>
                <w:rFonts w:ascii="LucidaSansEF" w:eastAsia="Cambria" w:hAnsi="LucidaSansEF" w:cs="Times New Roman"/>
                <w:sz w:val="20"/>
                <w:szCs w:val="20"/>
              </w:rPr>
              <w:t>Gegadigde kan Aanbestedende dienst in zijn geheel niet de dienstverlening bieden die zij thans ontvangt/kan ontvangen.</w:t>
            </w:r>
          </w:p>
          <w:p w:rsidR="00C65712" w:rsidRPr="00C65712" w:rsidRDefault="00C65712" w:rsidP="00C65712">
            <w:pPr>
              <w:spacing w:after="0" w:line="240" w:lineRule="auto"/>
              <w:ind w:left="5"/>
              <w:rPr>
                <w:rFonts w:ascii="LucidaSansEF" w:eastAsia="Cambria" w:hAnsi="LucidaSansEF" w:cs="Times New Roman"/>
                <w:sz w:val="20"/>
                <w:szCs w:val="20"/>
              </w:rPr>
            </w:pPr>
          </w:p>
        </w:tc>
      </w:tr>
    </w:tbl>
    <w:p w:rsidR="00C65712" w:rsidRPr="00C65712" w:rsidRDefault="00C65712" w:rsidP="00C65712">
      <w:pPr>
        <w:ind w:left="720"/>
        <w:rPr>
          <w:rFonts w:ascii="LucidaSansEF" w:eastAsia="Cambria" w:hAnsi="LucidaSansEF" w:cs="Times New Roman"/>
          <w:sz w:val="20"/>
          <w:szCs w:val="20"/>
        </w:rPr>
      </w:pPr>
    </w:p>
    <w:p w:rsidR="00C65712" w:rsidRPr="00C65712" w:rsidRDefault="00C65712" w:rsidP="00C65712">
      <w:pPr>
        <w:rPr>
          <w:rFonts w:ascii="LucidaSansEF" w:eastAsia="Cambria" w:hAnsi="LucidaSansEF" w:cs="Times New Roman"/>
          <w:sz w:val="20"/>
          <w:szCs w:val="20"/>
        </w:rPr>
      </w:pPr>
      <w:r w:rsidRPr="00C65712">
        <w:rPr>
          <w:rFonts w:ascii="LucidaSansEF" w:eastAsia="Cambria" w:hAnsi="LucidaSansEF" w:cs="Times New Roman"/>
          <w:sz w:val="20"/>
          <w:szCs w:val="20"/>
        </w:rPr>
        <w:t xml:space="preserve">Wanneer in de beoordeling van de werkwijze en dienstverlening verschillend worden gescoord, betreft de eindscore het gemiddelde van beide percentages. Wordt bijvoorbeeld de werkwijze als uitstekend (100%) beoordeeld en dienstverlening als voldoende (50%), bedraagt de eindscore 75%. </w:t>
      </w:r>
    </w:p>
    <w:p w:rsidR="00C65712" w:rsidRPr="00C65712" w:rsidRDefault="00C65712" w:rsidP="00C65712">
      <w:pPr>
        <w:spacing w:after="0" w:line="240" w:lineRule="auto"/>
        <w:rPr>
          <w:rFonts w:ascii="LucidaSansEF" w:eastAsia="Cambria" w:hAnsi="LucidaSansEF" w:cs="Times New Roman"/>
          <w:sz w:val="20"/>
          <w:szCs w:val="20"/>
        </w:rPr>
      </w:pPr>
    </w:p>
    <w:p w:rsidR="00C65712" w:rsidRPr="00C65712" w:rsidRDefault="00C65712" w:rsidP="00C65712">
      <w:pPr>
        <w:spacing w:after="0" w:line="240" w:lineRule="auto"/>
        <w:rPr>
          <w:rFonts w:ascii="LucidaSansEF" w:eastAsia="Cambria" w:hAnsi="LucidaSansEF" w:cs="Times New Roman"/>
          <w:sz w:val="20"/>
          <w:szCs w:val="20"/>
        </w:rPr>
      </w:pPr>
      <w:r w:rsidRPr="00C65712">
        <w:rPr>
          <w:rFonts w:ascii="LucidaSansEF" w:eastAsia="Cambria" w:hAnsi="LucidaSansEF" w:cs="Times New Roman"/>
          <w:sz w:val="20"/>
        </w:rPr>
        <w:t xml:space="preserve">Uit de door gegadigde verstrekte referentie dient eenvoudig opgemaakt te kunnen worden  van welk soort zorginstelling sprake is en wat het formaat van de zorginstelling is en op welke wijze de claimafhandeling wordt uitgevoerd. Mocht daar geen sprake van zijn, kan dit leiden tot uitsluiting. Aanbestedende dienst is bevoegd om de opgegeven referentie te controleren. Het staat Aanbestedende dienst vrij om contact op te nemen met de door de gegadigde opgegeven contactpersonen of andere vertegenwoordigers van de referent. </w:t>
      </w:r>
    </w:p>
    <w:p w:rsidR="00C65712" w:rsidRPr="00C65712" w:rsidRDefault="00C65712" w:rsidP="00C65712">
      <w:pPr>
        <w:spacing w:after="0" w:line="280" w:lineRule="atLeast"/>
        <w:rPr>
          <w:rFonts w:ascii="LucidaSansEF" w:eastAsia="Cambria" w:hAnsi="LucidaSansEF" w:cs="Times New Roman"/>
          <w:sz w:val="20"/>
          <w:szCs w:val="20"/>
          <w:lang w:eastAsia="nl-NL"/>
        </w:rPr>
      </w:pPr>
    </w:p>
    <w:p w:rsidR="00C65712" w:rsidRPr="00C65712" w:rsidRDefault="00C65712" w:rsidP="00C65712">
      <w:pPr>
        <w:spacing w:after="0" w:line="280" w:lineRule="atLeast"/>
        <w:rPr>
          <w:rFonts w:ascii="LucidaSansEF" w:eastAsia="Cambria" w:hAnsi="LucidaSansEF" w:cs="Times New Roman"/>
          <w:sz w:val="20"/>
          <w:szCs w:val="20"/>
          <w:lang w:eastAsia="nl-NL"/>
        </w:rPr>
      </w:pPr>
    </w:p>
    <w:p w:rsidR="00C65712" w:rsidRPr="00C65712" w:rsidRDefault="00C65712" w:rsidP="00C65712">
      <w:pPr>
        <w:spacing w:after="0" w:line="240" w:lineRule="auto"/>
        <w:rPr>
          <w:rFonts w:ascii="Times New Roman" w:eastAsia="Cambria" w:hAnsi="Times New Roman" w:cs="Times New Roman"/>
          <w:sz w:val="24"/>
          <w:szCs w:val="24"/>
          <w:lang w:eastAsia="nl-NL"/>
        </w:rPr>
      </w:pPr>
    </w:p>
    <w:p w:rsidR="002757B6" w:rsidRDefault="002757B6">
      <w:bookmarkStart w:id="1" w:name="_GoBack"/>
      <w:bookmarkEnd w:id="1"/>
    </w:p>
    <w:sectPr w:rsidR="002757B6" w:rsidSect="00C95A7C">
      <w:headerReference w:type="default" r:id="rId5"/>
      <w:footerReference w:type="even" r:id="rId6"/>
      <w:footerReference w:type="default" r:id="rId7"/>
      <w:headerReference w:type="first" r:id="rId8"/>
      <w:pgSz w:w="11907" w:h="16840" w:code="9"/>
      <w:pgMar w:top="993" w:right="1701" w:bottom="1418" w:left="1701" w:header="474" w:footer="708"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SansEF">
    <w:altName w:val="Times New Roman"/>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8CA" w:rsidRDefault="00C65712" w:rsidP="00FE349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7C68CA" w:rsidRDefault="00C657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8CA" w:rsidRPr="009E5D63" w:rsidRDefault="00C65712" w:rsidP="00FE3493">
    <w:r w:rsidRPr="009E5D63">
      <w:t>______________________________________________________________________</w:t>
    </w:r>
  </w:p>
  <w:p w:rsidR="007C68CA" w:rsidRPr="009E5D63" w:rsidRDefault="00C65712" w:rsidP="00E9678E">
    <w:pPr>
      <w:ind w:left="2832" w:firstLine="708"/>
      <w:rPr>
        <w:rFonts w:ascii="Lucida Sans" w:hAnsi="Lucida Sans"/>
        <w:noProof/>
        <w:sz w:val="16"/>
        <w:szCs w:val="16"/>
      </w:rPr>
    </w:pPr>
    <w:r>
      <w:rPr>
        <w:color w:val="0000FF"/>
        <w:sz w:val="16"/>
        <w:szCs w:val="16"/>
      </w:rPr>
      <w:t xml:space="preserve">  </w:t>
    </w:r>
    <w:r>
      <w:rPr>
        <w:color w:val="0000FF"/>
        <w:sz w:val="16"/>
        <w:szCs w:val="16"/>
      </w:rPr>
      <w:tab/>
    </w:r>
    <w:r>
      <w:rPr>
        <w:color w:val="0000FF"/>
        <w:sz w:val="16"/>
        <w:szCs w:val="16"/>
      </w:rPr>
      <w:tab/>
      <w:t xml:space="preserve">                                 </w:t>
    </w:r>
    <w:r w:rsidRPr="00E22BE2">
      <w:rPr>
        <w:color w:val="0000FF"/>
        <w:sz w:val="16"/>
        <w:szCs w:val="16"/>
      </w:rPr>
      <w:t xml:space="preserve">    </w:t>
    </w:r>
    <w:r>
      <w:rPr>
        <w:color w:val="0000FF"/>
        <w:sz w:val="16"/>
        <w:szCs w:val="16"/>
      </w:rPr>
      <w:tab/>
    </w:r>
    <w:r w:rsidRPr="009E5D63">
      <w:rPr>
        <w:rFonts w:ascii="Lucida Sans" w:hAnsi="Lucida Sans"/>
        <w:sz w:val="16"/>
        <w:szCs w:val="16"/>
      </w:rPr>
      <w:t xml:space="preserve">Pagina </w:t>
    </w:r>
    <w:r w:rsidRPr="009E5D63">
      <w:rPr>
        <w:rFonts w:ascii="Lucida Sans" w:hAnsi="Lucida Sans"/>
        <w:sz w:val="16"/>
        <w:szCs w:val="16"/>
      </w:rPr>
      <w:fldChar w:fldCharType="begin"/>
    </w:r>
    <w:r w:rsidRPr="009E5D63">
      <w:rPr>
        <w:rFonts w:ascii="Lucida Sans" w:hAnsi="Lucida Sans"/>
        <w:sz w:val="16"/>
        <w:szCs w:val="16"/>
      </w:rPr>
      <w:instrText xml:space="preserve"> PAGE </w:instrText>
    </w:r>
    <w:r w:rsidRPr="009E5D63">
      <w:rPr>
        <w:rFonts w:ascii="Lucida Sans" w:hAnsi="Lucida Sans"/>
        <w:sz w:val="16"/>
        <w:szCs w:val="16"/>
      </w:rPr>
      <w:fldChar w:fldCharType="separate"/>
    </w:r>
    <w:r>
      <w:rPr>
        <w:rFonts w:ascii="Lucida Sans" w:hAnsi="Lucida Sans"/>
        <w:noProof/>
        <w:sz w:val="16"/>
        <w:szCs w:val="16"/>
      </w:rPr>
      <w:t>2</w:t>
    </w:r>
    <w:r w:rsidRPr="009E5D63">
      <w:rPr>
        <w:rFonts w:ascii="Lucida Sans" w:hAnsi="Lucida Sans"/>
        <w:sz w:val="16"/>
        <w:szCs w:val="16"/>
      </w:rPr>
      <w:fldChar w:fldCharType="end"/>
    </w:r>
    <w:r w:rsidRPr="009E5D63">
      <w:rPr>
        <w:rFonts w:ascii="Lucida Sans" w:hAnsi="Lucida Sans"/>
        <w:sz w:val="16"/>
        <w:szCs w:val="16"/>
      </w:rPr>
      <w:t xml:space="preserve"> van </w:t>
    </w:r>
    <w:r w:rsidRPr="009E5D63">
      <w:rPr>
        <w:rFonts w:ascii="Lucida Sans" w:hAnsi="Lucida Sans"/>
        <w:sz w:val="16"/>
        <w:szCs w:val="16"/>
      </w:rPr>
      <w:fldChar w:fldCharType="begin"/>
    </w:r>
    <w:r w:rsidRPr="009E5D63">
      <w:rPr>
        <w:rFonts w:ascii="Lucida Sans" w:hAnsi="Lucida Sans"/>
        <w:sz w:val="16"/>
        <w:szCs w:val="16"/>
      </w:rPr>
      <w:instrText xml:space="preserve"> NUMPAGES </w:instrText>
    </w:r>
    <w:r w:rsidRPr="009E5D63">
      <w:rPr>
        <w:rFonts w:ascii="Lucida Sans" w:hAnsi="Lucida Sans"/>
        <w:sz w:val="16"/>
        <w:szCs w:val="16"/>
      </w:rPr>
      <w:fldChar w:fldCharType="separate"/>
    </w:r>
    <w:r>
      <w:rPr>
        <w:rFonts w:ascii="Lucida Sans" w:hAnsi="Lucida Sans"/>
        <w:noProof/>
        <w:sz w:val="16"/>
        <w:szCs w:val="16"/>
      </w:rPr>
      <w:t>2</w:t>
    </w:r>
    <w:r w:rsidRPr="009E5D63">
      <w:rPr>
        <w:rFonts w:ascii="Lucida Sans" w:hAnsi="Lucida Sans"/>
        <w:sz w:val="16"/>
        <w:szCs w:val="16"/>
      </w:rPr>
      <w:fldChar w:fldCharType="end"/>
    </w:r>
  </w:p>
  <w:p w:rsidR="007C68CA" w:rsidRPr="009E5D63" w:rsidRDefault="00C65712">
    <w:pPr>
      <w:rPr>
        <w:i/>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8CA" w:rsidRDefault="00C65712" w:rsidP="00FE3493">
    <w:pPr>
      <w:pStyle w:val="Koptekst"/>
      <w:tabs>
        <w:tab w:val="right" w:pos="8505"/>
      </w:tabs>
      <w:rPr>
        <w:rFonts w:ascii="Lucida Sans" w:hAnsi="Lucida Sans"/>
        <w:sz w:val="16"/>
        <w:szCs w:val="16"/>
      </w:rPr>
    </w:pPr>
    <w:r w:rsidRPr="00B64D79">
      <w:rPr>
        <w:rFonts w:ascii="Lucida Sans" w:hAnsi="Lucida Sans"/>
        <w:sz w:val="16"/>
        <w:szCs w:val="16"/>
      </w:rPr>
      <w:t xml:space="preserve"> </w:t>
    </w:r>
  </w:p>
  <w:p w:rsidR="007C68CA" w:rsidRPr="00B64D79" w:rsidRDefault="00C65712" w:rsidP="00AB566E">
    <w:pPr>
      <w:pStyle w:val="Koptekst"/>
      <w:tabs>
        <w:tab w:val="right" w:pos="8505"/>
      </w:tabs>
      <w:ind w:firstLine="7788"/>
      <w:rPr>
        <w:rFonts w:ascii="Lucida Sans" w:hAnsi="Lucida Sans"/>
        <w:sz w:val="16"/>
        <w:szCs w:val="16"/>
      </w:rPr>
    </w:pPr>
    <w:r>
      <w:rPr>
        <w:noProof/>
      </w:rPr>
      <w:drawing>
        <wp:inline distT="0" distB="0" distL="0" distR="0" wp14:anchorId="46AF5BFA" wp14:editId="50685279">
          <wp:extent cx="485775" cy="485775"/>
          <wp:effectExtent l="0" t="0" r="9525" b="9525"/>
          <wp:docPr id="10" name="Afbeelding 10" descr="logo AU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M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7C68CA" w:rsidRPr="009E5D63" w:rsidRDefault="00C65712" w:rsidP="00E50BB2">
    <w:r w:rsidRPr="009E5D63">
      <w:t>___________________________</w:t>
    </w:r>
    <w:r w:rsidRPr="009E5D63">
      <w:t>___________________________________________</w:t>
    </w:r>
  </w:p>
  <w:p w:rsidR="007C68CA" w:rsidRPr="00D02AB4" w:rsidRDefault="00C65712" w:rsidP="00E50BB2">
    <w:pPr>
      <w:pStyle w:val="Koptekst"/>
      <w:tabs>
        <w:tab w:val="right" w:pos="8505"/>
      </w:tabs>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8CA" w:rsidRPr="00AE363E" w:rsidRDefault="00C65712" w:rsidP="00FE3493">
    <w:pPr>
      <w:pStyle w:val="Koptekst"/>
      <w:rPr>
        <w:b/>
        <w:sz w:val="28"/>
        <w:szCs w:val="28"/>
      </w:rPr>
    </w:pPr>
    <w:r>
      <w:rPr>
        <w:b/>
        <w:sz w:val="28"/>
        <w:szCs w:val="28"/>
      </w:rPr>
      <w:tab/>
    </w:r>
    <w:r>
      <w:rPr>
        <w:b/>
        <w:sz w:val="28"/>
        <w:szCs w:val="28"/>
      </w:rPr>
      <w:tab/>
    </w:r>
    <w:r>
      <w:rPr>
        <w:b/>
        <w:noProof/>
        <w:sz w:val="28"/>
        <w:szCs w:val="28"/>
      </w:rPr>
      <w:drawing>
        <wp:inline distT="0" distB="0" distL="0" distR="0" wp14:anchorId="4D30BED4" wp14:editId="6215A0CF">
          <wp:extent cx="487680" cy="487680"/>
          <wp:effectExtent l="0" t="0" r="7620" b="762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C080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66D5542F"/>
    <w:multiLevelType w:val="hybridMultilevel"/>
    <w:tmpl w:val="2EAA7914"/>
    <w:lvl w:ilvl="0" w:tplc="98487C90">
      <w:start w:val="2012"/>
      <w:numFmt w:val="bullet"/>
      <w:lvlText w:val=""/>
      <w:lvlJc w:val="left"/>
      <w:pPr>
        <w:tabs>
          <w:tab w:val="num" w:pos="2136"/>
        </w:tabs>
        <w:ind w:left="2136" w:hanging="360"/>
      </w:pPr>
      <w:rPr>
        <w:rFonts w:ascii="Wingdings" w:eastAsia="Times New Roman" w:hAnsi="Wingdings" w:hint="default"/>
      </w:rPr>
    </w:lvl>
    <w:lvl w:ilvl="1" w:tplc="04130003" w:tentative="1">
      <w:start w:val="1"/>
      <w:numFmt w:val="bullet"/>
      <w:lvlText w:val="o"/>
      <w:lvlJc w:val="left"/>
      <w:pPr>
        <w:tabs>
          <w:tab w:val="num" w:pos="2856"/>
        </w:tabs>
        <w:ind w:left="2856" w:hanging="360"/>
      </w:pPr>
      <w:rPr>
        <w:rFonts w:ascii="Courier New" w:hAnsi="Courier New" w:hint="default"/>
      </w:rPr>
    </w:lvl>
    <w:lvl w:ilvl="2" w:tplc="04130005" w:tentative="1">
      <w:start w:val="1"/>
      <w:numFmt w:val="bullet"/>
      <w:lvlText w:val=""/>
      <w:lvlJc w:val="left"/>
      <w:pPr>
        <w:tabs>
          <w:tab w:val="num" w:pos="3576"/>
        </w:tabs>
        <w:ind w:left="3576" w:hanging="360"/>
      </w:pPr>
      <w:rPr>
        <w:rFonts w:ascii="Wingdings" w:hAnsi="Wingdings" w:hint="default"/>
      </w:rPr>
    </w:lvl>
    <w:lvl w:ilvl="3" w:tplc="04130001" w:tentative="1">
      <w:start w:val="1"/>
      <w:numFmt w:val="bullet"/>
      <w:lvlText w:val=""/>
      <w:lvlJc w:val="left"/>
      <w:pPr>
        <w:tabs>
          <w:tab w:val="num" w:pos="4296"/>
        </w:tabs>
        <w:ind w:left="4296" w:hanging="360"/>
      </w:pPr>
      <w:rPr>
        <w:rFonts w:ascii="Symbol" w:hAnsi="Symbol" w:hint="default"/>
      </w:rPr>
    </w:lvl>
    <w:lvl w:ilvl="4" w:tplc="04130003" w:tentative="1">
      <w:start w:val="1"/>
      <w:numFmt w:val="bullet"/>
      <w:lvlText w:val="o"/>
      <w:lvlJc w:val="left"/>
      <w:pPr>
        <w:tabs>
          <w:tab w:val="num" w:pos="5016"/>
        </w:tabs>
        <w:ind w:left="5016" w:hanging="360"/>
      </w:pPr>
      <w:rPr>
        <w:rFonts w:ascii="Courier New" w:hAnsi="Courier New" w:hint="default"/>
      </w:rPr>
    </w:lvl>
    <w:lvl w:ilvl="5" w:tplc="04130005" w:tentative="1">
      <w:start w:val="1"/>
      <w:numFmt w:val="bullet"/>
      <w:lvlText w:val=""/>
      <w:lvlJc w:val="left"/>
      <w:pPr>
        <w:tabs>
          <w:tab w:val="num" w:pos="5736"/>
        </w:tabs>
        <w:ind w:left="5736" w:hanging="360"/>
      </w:pPr>
      <w:rPr>
        <w:rFonts w:ascii="Wingdings" w:hAnsi="Wingdings" w:hint="default"/>
      </w:rPr>
    </w:lvl>
    <w:lvl w:ilvl="6" w:tplc="04130001" w:tentative="1">
      <w:start w:val="1"/>
      <w:numFmt w:val="bullet"/>
      <w:lvlText w:val=""/>
      <w:lvlJc w:val="left"/>
      <w:pPr>
        <w:tabs>
          <w:tab w:val="num" w:pos="6456"/>
        </w:tabs>
        <w:ind w:left="6456" w:hanging="360"/>
      </w:pPr>
      <w:rPr>
        <w:rFonts w:ascii="Symbol" w:hAnsi="Symbol" w:hint="default"/>
      </w:rPr>
    </w:lvl>
    <w:lvl w:ilvl="7" w:tplc="04130003" w:tentative="1">
      <w:start w:val="1"/>
      <w:numFmt w:val="bullet"/>
      <w:lvlText w:val="o"/>
      <w:lvlJc w:val="left"/>
      <w:pPr>
        <w:tabs>
          <w:tab w:val="num" w:pos="7176"/>
        </w:tabs>
        <w:ind w:left="7176" w:hanging="360"/>
      </w:pPr>
      <w:rPr>
        <w:rFonts w:ascii="Courier New" w:hAnsi="Courier New" w:hint="default"/>
      </w:rPr>
    </w:lvl>
    <w:lvl w:ilvl="8" w:tplc="0413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71C73AB6"/>
    <w:multiLevelType w:val="hybridMultilevel"/>
    <w:tmpl w:val="4C2210A0"/>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12"/>
    <w:rsid w:val="002757B6"/>
    <w:rsid w:val="00BB16EA"/>
    <w:rsid w:val="00C657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99CF1-C6E3-4B7B-A5E4-40AAEB51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C657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65712"/>
  </w:style>
  <w:style w:type="paragraph" w:styleId="Koptekst">
    <w:name w:val="header"/>
    <w:basedOn w:val="Standaard"/>
    <w:link w:val="KoptekstChar"/>
    <w:uiPriority w:val="99"/>
    <w:semiHidden/>
    <w:unhideWhenUsed/>
    <w:rsid w:val="00C657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65712"/>
  </w:style>
  <w:style w:type="character" w:styleId="Paginanummer">
    <w:name w:val="page number"/>
    <w:rsid w:val="00C657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3863</Characters>
  <Application>Microsoft Office Word</Application>
  <DocSecurity>0</DocSecurity>
  <Lines>101</Lines>
  <Paragraphs>40</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Geven, M.A.J.</dc:creator>
  <cp:keywords/>
  <dc:description/>
  <cp:lastModifiedBy>Geven, M.A.J.</cp:lastModifiedBy>
  <cp:revision>1</cp:revision>
  <dcterms:created xsi:type="dcterms:W3CDTF">2021-08-25T12:10:00Z</dcterms:created>
  <dcterms:modified xsi:type="dcterms:W3CDTF">2021-08-25T12:12:00Z</dcterms:modified>
</cp:coreProperties>
</file>