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58" w:rsidRPr="00074D6D" w:rsidRDefault="00A84C70" w:rsidP="00A41F68">
      <w:pPr>
        <w:pStyle w:val="Titel"/>
        <w:rPr>
          <w:lang w:val="en-GB"/>
        </w:rPr>
      </w:pPr>
      <w:bookmarkStart w:id="0" w:name="_GoBack"/>
      <w:bookmarkEnd w:id="0"/>
      <w:r w:rsidRPr="00074D6D">
        <w:rPr>
          <w:highlight w:val="yellow"/>
          <w:lang w:val="en-GB"/>
        </w:rPr>
        <w:t>Data process</w:t>
      </w:r>
      <w:r w:rsidR="00705F50" w:rsidRPr="00074D6D">
        <w:rPr>
          <w:highlight w:val="yellow"/>
          <w:lang w:val="en-GB"/>
        </w:rPr>
        <w:t>ing agreement: Stichting VU / [name processor</w:t>
      </w:r>
      <w:r w:rsidRPr="00074D6D">
        <w:rPr>
          <w:highlight w:val="yellow"/>
          <w:lang w:val="en-GB"/>
        </w:rPr>
        <w:t>]</w:t>
      </w:r>
      <w:r w:rsidR="001F32B1" w:rsidRPr="00074D6D">
        <w:rPr>
          <w:lang w:val="en-GB"/>
        </w:rPr>
        <w:t xml:space="preserve"> </w:t>
      </w:r>
    </w:p>
    <w:p w:rsidR="001F5E7F" w:rsidRPr="00074D6D" w:rsidRDefault="00705F50" w:rsidP="001F5E7F">
      <w:pPr>
        <w:rPr>
          <w:b/>
          <w:sz w:val="24"/>
          <w:lang w:val="en-GB"/>
        </w:rPr>
      </w:pPr>
      <w:r w:rsidRPr="00074D6D">
        <w:rPr>
          <w:b/>
          <w:sz w:val="24"/>
          <w:highlight w:val="yellow"/>
          <w:lang w:val="en-GB"/>
        </w:rPr>
        <w:t>[</w:t>
      </w:r>
      <w:r w:rsidR="005544AA" w:rsidRPr="00074D6D">
        <w:rPr>
          <w:b/>
          <w:sz w:val="24"/>
          <w:highlight w:val="yellow"/>
          <w:lang w:val="en-GB"/>
        </w:rPr>
        <w:t>Subject agreement</w:t>
      </w:r>
      <w:r w:rsidR="001F5E7F" w:rsidRPr="00074D6D">
        <w:rPr>
          <w:b/>
          <w:sz w:val="24"/>
          <w:highlight w:val="yellow"/>
          <w:lang w:val="en-GB"/>
        </w:rPr>
        <w:t>]</w:t>
      </w:r>
    </w:p>
    <w:p w:rsidR="00A41F68" w:rsidRPr="00074D6D" w:rsidRDefault="005544AA" w:rsidP="005544AA">
      <w:pPr>
        <w:pStyle w:val="Kop1"/>
        <w:numPr>
          <w:ilvl w:val="0"/>
          <w:numId w:val="0"/>
        </w:numPr>
        <w:ind w:left="431" w:hanging="431"/>
        <w:rPr>
          <w:lang w:val="en-GB"/>
        </w:rPr>
      </w:pPr>
      <w:r w:rsidRPr="00074D6D">
        <w:rPr>
          <w:lang w:val="en-GB"/>
        </w:rPr>
        <w:t>THE UNDERSIGNED:</w:t>
      </w:r>
    </w:p>
    <w:p w:rsidR="005544AA" w:rsidRPr="00074D6D" w:rsidRDefault="005544AA" w:rsidP="005544AA">
      <w:pPr>
        <w:pStyle w:val="Lijstalinea"/>
        <w:numPr>
          <w:ilvl w:val="0"/>
          <w:numId w:val="25"/>
        </w:numPr>
        <w:spacing w:after="200" w:line="240" w:lineRule="atLeast"/>
        <w:contextualSpacing/>
        <w:rPr>
          <w:b/>
          <w:i/>
          <w:szCs w:val="21"/>
          <w:lang w:val="en-GB"/>
        </w:rPr>
      </w:pPr>
      <w:r w:rsidRPr="00074D6D">
        <w:rPr>
          <w:spacing w:val="-3"/>
          <w:szCs w:val="21"/>
          <w:lang w:val="en-GB"/>
        </w:rPr>
        <w:t xml:space="preserve">Stichting VU, </w:t>
      </w:r>
      <w:r w:rsidRPr="00074D6D">
        <w:rPr>
          <w:szCs w:val="21"/>
          <w:lang w:val="en-GB"/>
        </w:rPr>
        <w:t>maintaining Vrije Universiteit Amsterdam as a privately run university in accordance with the Higher Education and Research Act of The Netherlands (‘</w:t>
      </w:r>
      <w:r w:rsidRPr="00074D6D">
        <w:rPr>
          <w:i/>
          <w:szCs w:val="21"/>
          <w:lang w:val="en-GB"/>
        </w:rPr>
        <w:t>Wet op het hoger onderwijs en wetenschappelijk onderzoek’)</w:t>
      </w:r>
      <w:r w:rsidRPr="00074D6D">
        <w:rPr>
          <w:szCs w:val="21"/>
          <w:lang w:val="en-GB"/>
        </w:rPr>
        <w:t xml:space="preserve">, having its registered office at De Boelelaan 1105, 1081 HV Amsterdam, registered in the Chamber of Commerce register under the number 53815211, duly represented in this matter by </w:t>
      </w:r>
      <w:r w:rsidRPr="00074D6D">
        <w:rPr>
          <w:szCs w:val="21"/>
          <w:highlight w:val="yellow"/>
          <w:lang w:val="en-GB"/>
        </w:rPr>
        <w:t>[name + position]</w:t>
      </w:r>
      <w:r w:rsidRPr="00074D6D">
        <w:rPr>
          <w:szCs w:val="21"/>
          <w:lang w:val="en-GB"/>
        </w:rPr>
        <w:t>, hereinafter referred to as the “</w:t>
      </w:r>
      <w:r w:rsidRPr="00074D6D">
        <w:rPr>
          <w:b/>
          <w:szCs w:val="21"/>
          <w:lang w:val="en-GB"/>
        </w:rPr>
        <w:t>Controller</w:t>
      </w:r>
      <w:r w:rsidRPr="00074D6D">
        <w:rPr>
          <w:szCs w:val="21"/>
          <w:lang w:val="en-GB"/>
        </w:rPr>
        <w:t>”;</w:t>
      </w:r>
    </w:p>
    <w:p w:rsidR="005544AA" w:rsidRPr="00074D6D" w:rsidRDefault="005544AA" w:rsidP="005544AA">
      <w:pPr>
        <w:pStyle w:val="Lijstalinea"/>
        <w:spacing w:line="240" w:lineRule="atLeast"/>
        <w:rPr>
          <w:szCs w:val="21"/>
          <w:lang w:val="en-GB"/>
        </w:rPr>
      </w:pPr>
    </w:p>
    <w:p w:rsidR="005544AA" w:rsidRPr="00074D6D" w:rsidRDefault="005544AA" w:rsidP="005544AA">
      <w:pPr>
        <w:pStyle w:val="Lijstalinea"/>
        <w:spacing w:line="240" w:lineRule="atLeast"/>
        <w:rPr>
          <w:szCs w:val="21"/>
          <w:lang w:val="en-GB"/>
        </w:rPr>
      </w:pPr>
      <w:r w:rsidRPr="00074D6D">
        <w:rPr>
          <w:szCs w:val="21"/>
          <w:lang w:val="en-GB"/>
        </w:rPr>
        <w:t>and</w:t>
      </w:r>
    </w:p>
    <w:p w:rsidR="005544AA" w:rsidRPr="00074D6D" w:rsidRDefault="005544AA" w:rsidP="005544AA">
      <w:pPr>
        <w:pStyle w:val="Lijstalinea"/>
        <w:spacing w:line="240" w:lineRule="atLeast"/>
        <w:rPr>
          <w:b/>
          <w:i/>
          <w:szCs w:val="21"/>
          <w:lang w:val="en-GB"/>
        </w:rPr>
      </w:pPr>
    </w:p>
    <w:p w:rsidR="005544AA" w:rsidRPr="00074D6D" w:rsidRDefault="005544AA" w:rsidP="005544AA">
      <w:pPr>
        <w:pStyle w:val="Lijstalinea"/>
        <w:numPr>
          <w:ilvl w:val="0"/>
          <w:numId w:val="25"/>
        </w:numPr>
        <w:spacing w:after="200" w:line="240" w:lineRule="atLeast"/>
        <w:contextualSpacing/>
        <w:rPr>
          <w:b/>
          <w:i/>
          <w:szCs w:val="21"/>
          <w:lang w:val="en-GB"/>
        </w:rPr>
      </w:pPr>
      <w:r w:rsidRPr="00074D6D">
        <w:rPr>
          <w:szCs w:val="21"/>
          <w:highlight w:val="yellow"/>
          <w:lang w:val="en-GB"/>
        </w:rPr>
        <w:t>[Name of Processor]</w:t>
      </w:r>
      <w:r w:rsidRPr="00074D6D">
        <w:rPr>
          <w:szCs w:val="21"/>
          <w:lang w:val="en-GB"/>
        </w:rPr>
        <w:t xml:space="preserve">, having its registered office at </w:t>
      </w:r>
      <w:r w:rsidRPr="00074D6D">
        <w:rPr>
          <w:szCs w:val="21"/>
          <w:highlight w:val="yellow"/>
          <w:lang w:val="en-GB"/>
        </w:rPr>
        <w:t>[street and number][(postcode)] [place]</w:t>
      </w:r>
      <w:r w:rsidRPr="00074D6D">
        <w:rPr>
          <w:szCs w:val="21"/>
          <w:lang w:val="en-GB"/>
        </w:rPr>
        <w:t xml:space="preserve">, registered in the Chamber of Commerce register under the number </w:t>
      </w:r>
      <w:r w:rsidRPr="00074D6D">
        <w:rPr>
          <w:szCs w:val="21"/>
          <w:highlight w:val="yellow"/>
          <w:lang w:val="en-GB"/>
        </w:rPr>
        <w:t>[Chamber of Commerce number]</w:t>
      </w:r>
      <w:r w:rsidRPr="00074D6D">
        <w:rPr>
          <w:szCs w:val="21"/>
          <w:lang w:val="en-GB"/>
        </w:rPr>
        <w:t>, duly</w:t>
      </w:r>
      <w:r w:rsidR="003636FF" w:rsidRPr="00074D6D">
        <w:rPr>
          <w:szCs w:val="21"/>
          <w:lang w:val="en-GB"/>
        </w:rPr>
        <w:t xml:space="preserve"> represented in this matter by </w:t>
      </w:r>
      <w:r w:rsidR="003636FF" w:rsidRPr="00074D6D">
        <w:rPr>
          <w:szCs w:val="21"/>
          <w:highlight w:val="yellow"/>
          <w:lang w:val="en-GB"/>
        </w:rPr>
        <w:t>[name + position]</w:t>
      </w:r>
      <w:r w:rsidRPr="00074D6D">
        <w:rPr>
          <w:szCs w:val="21"/>
          <w:lang w:val="en-GB"/>
        </w:rPr>
        <w:t>, hereinafter referred to as the “</w:t>
      </w:r>
      <w:r w:rsidRPr="00074D6D">
        <w:rPr>
          <w:b/>
          <w:bCs/>
          <w:szCs w:val="21"/>
          <w:lang w:val="en-GB"/>
        </w:rPr>
        <w:t>Processor</w:t>
      </w:r>
      <w:r w:rsidRPr="00074D6D">
        <w:rPr>
          <w:szCs w:val="21"/>
          <w:lang w:val="en-GB"/>
        </w:rPr>
        <w:t>”</w:t>
      </w:r>
    </w:p>
    <w:p w:rsidR="005544AA" w:rsidRPr="00074D6D" w:rsidRDefault="005544AA" w:rsidP="005544AA">
      <w:pPr>
        <w:pStyle w:val="Lijstalinea"/>
        <w:spacing w:line="240" w:lineRule="atLeast"/>
        <w:rPr>
          <w:b/>
          <w:i/>
          <w:szCs w:val="21"/>
          <w:lang w:val="en-GB"/>
        </w:rPr>
      </w:pPr>
    </w:p>
    <w:p w:rsidR="005544AA" w:rsidRPr="00074D6D" w:rsidRDefault="005544AA" w:rsidP="005544AA">
      <w:pPr>
        <w:pStyle w:val="Lijstalinea"/>
        <w:spacing w:line="240" w:lineRule="atLeast"/>
        <w:rPr>
          <w:b/>
          <w:i/>
          <w:szCs w:val="21"/>
          <w:lang w:val="en-GB"/>
        </w:rPr>
      </w:pPr>
      <w:r w:rsidRPr="00074D6D">
        <w:rPr>
          <w:szCs w:val="21"/>
          <w:lang w:val="en-GB"/>
        </w:rPr>
        <w:t>Hereinafter jointly referred to as the “</w:t>
      </w:r>
      <w:r w:rsidRPr="00074D6D">
        <w:rPr>
          <w:b/>
          <w:szCs w:val="21"/>
          <w:lang w:val="en-GB"/>
        </w:rPr>
        <w:t>Parties</w:t>
      </w:r>
      <w:r w:rsidRPr="00074D6D">
        <w:rPr>
          <w:szCs w:val="21"/>
          <w:lang w:val="en-GB"/>
        </w:rPr>
        <w:t>” and individually as the “</w:t>
      </w:r>
      <w:r w:rsidRPr="00074D6D">
        <w:rPr>
          <w:b/>
          <w:szCs w:val="21"/>
          <w:lang w:val="en-GB"/>
        </w:rPr>
        <w:t>Party</w:t>
      </w:r>
      <w:r w:rsidRPr="00074D6D">
        <w:rPr>
          <w:szCs w:val="21"/>
          <w:lang w:val="en-GB"/>
        </w:rPr>
        <w:t xml:space="preserve">”. </w:t>
      </w:r>
    </w:p>
    <w:p w:rsidR="00FA2176" w:rsidRPr="00074D6D" w:rsidRDefault="00FA2176" w:rsidP="00FA2176">
      <w:pPr>
        <w:rPr>
          <w:lang w:val="en-GB"/>
        </w:rPr>
      </w:pPr>
    </w:p>
    <w:p w:rsidR="00A41F68" w:rsidRPr="00074D6D" w:rsidRDefault="00A84C70" w:rsidP="00A84C70">
      <w:pPr>
        <w:spacing w:line="240" w:lineRule="atLeast"/>
        <w:rPr>
          <w:rFonts w:asciiTheme="minorHAnsi" w:hAnsiTheme="minorHAnsi" w:cs="Arial"/>
          <w:b/>
          <w:szCs w:val="21"/>
          <w:lang w:val="en-GB"/>
        </w:rPr>
      </w:pPr>
      <w:r w:rsidRPr="00074D6D">
        <w:rPr>
          <w:rFonts w:asciiTheme="minorHAnsi" w:hAnsiTheme="minorHAnsi" w:cs="Arial"/>
          <w:b/>
          <w:bCs/>
          <w:szCs w:val="21"/>
          <w:lang w:val="en-GB"/>
        </w:rPr>
        <w:t>DECLARE THAT THEY HAVE AGREED AS FOLLOWS:</w:t>
      </w:r>
    </w:p>
    <w:p w:rsidR="00A41F68" w:rsidRPr="00074D6D" w:rsidRDefault="005544AA" w:rsidP="00A84C70">
      <w:pPr>
        <w:pStyle w:val="Kop1"/>
        <w:rPr>
          <w:lang w:val="en-GB"/>
        </w:rPr>
      </w:pPr>
      <w:r w:rsidRPr="00074D6D">
        <w:rPr>
          <w:lang w:val="en-GB"/>
        </w:rPr>
        <w:t>Subject matter of this Data Processing Agreement</w:t>
      </w:r>
    </w:p>
    <w:p w:rsidR="005544AA" w:rsidRPr="00074D6D" w:rsidRDefault="005544AA" w:rsidP="00CD1CD6">
      <w:pPr>
        <w:pStyle w:val="Lijstalinea"/>
        <w:numPr>
          <w:ilvl w:val="1"/>
          <w:numId w:val="22"/>
        </w:numPr>
        <w:rPr>
          <w:lang w:val="en-GB"/>
        </w:rPr>
      </w:pPr>
      <w:r w:rsidRPr="00074D6D">
        <w:rPr>
          <w:rFonts w:asciiTheme="minorHAnsi" w:hAnsiTheme="minorHAnsi"/>
          <w:szCs w:val="21"/>
          <w:lang w:val="en-GB"/>
        </w:rPr>
        <w:t>This data processing agreement (hereinafter: “</w:t>
      </w:r>
      <w:r w:rsidRPr="00074D6D">
        <w:rPr>
          <w:rFonts w:asciiTheme="minorHAnsi" w:hAnsiTheme="minorHAnsi"/>
          <w:b/>
          <w:szCs w:val="21"/>
          <w:lang w:val="en-GB"/>
        </w:rPr>
        <w:t>Data Processing Agreement</w:t>
      </w:r>
      <w:r w:rsidRPr="00074D6D">
        <w:rPr>
          <w:rFonts w:asciiTheme="minorHAnsi" w:hAnsiTheme="minorHAnsi"/>
          <w:szCs w:val="21"/>
          <w:lang w:val="en-GB"/>
        </w:rPr>
        <w:t xml:space="preserve">”) applies exclusively to the processing of personal data pertaining to the agreement </w:t>
      </w:r>
      <w:r w:rsidRPr="00074D6D">
        <w:rPr>
          <w:rFonts w:asciiTheme="minorHAnsi" w:hAnsiTheme="minorHAnsi"/>
          <w:szCs w:val="21"/>
          <w:highlight w:val="yellow"/>
          <w:lang w:val="en-GB"/>
        </w:rPr>
        <w:t>[name of agreement]</w:t>
      </w:r>
      <w:r w:rsidRPr="00074D6D">
        <w:rPr>
          <w:rFonts w:asciiTheme="minorHAnsi" w:hAnsiTheme="minorHAnsi"/>
          <w:szCs w:val="21"/>
          <w:lang w:val="en-GB"/>
        </w:rPr>
        <w:t xml:space="preserve"> of </w:t>
      </w:r>
      <w:r w:rsidRPr="00074D6D">
        <w:rPr>
          <w:rFonts w:asciiTheme="minorHAnsi" w:hAnsiTheme="minorHAnsi"/>
          <w:szCs w:val="21"/>
          <w:highlight w:val="yellow"/>
          <w:lang w:val="en-GB"/>
        </w:rPr>
        <w:t>[date]</w:t>
      </w:r>
      <w:r w:rsidRPr="00074D6D">
        <w:rPr>
          <w:rFonts w:asciiTheme="minorHAnsi" w:hAnsiTheme="minorHAnsi"/>
          <w:szCs w:val="21"/>
          <w:lang w:val="en-GB"/>
        </w:rPr>
        <w:t xml:space="preserve"> between the Parties for the performance of agreed services (hereinafter: the “</w:t>
      </w:r>
      <w:r w:rsidRPr="00074D6D">
        <w:rPr>
          <w:rFonts w:asciiTheme="minorHAnsi" w:hAnsiTheme="minorHAnsi"/>
          <w:b/>
          <w:szCs w:val="21"/>
          <w:lang w:val="en-GB"/>
        </w:rPr>
        <w:t>Agreement</w:t>
      </w:r>
      <w:r w:rsidRPr="00074D6D">
        <w:rPr>
          <w:rFonts w:asciiTheme="minorHAnsi" w:hAnsiTheme="minorHAnsi"/>
          <w:szCs w:val="21"/>
          <w:lang w:val="en-GB"/>
        </w:rPr>
        <w:t xml:space="preserve">”). </w:t>
      </w:r>
    </w:p>
    <w:p w:rsidR="005544AA" w:rsidRPr="00074D6D" w:rsidRDefault="005544AA" w:rsidP="00CD1CD6">
      <w:pPr>
        <w:pStyle w:val="Lijstalinea"/>
        <w:numPr>
          <w:ilvl w:val="1"/>
          <w:numId w:val="22"/>
        </w:numPr>
        <w:rPr>
          <w:lang w:val="en-GB"/>
        </w:rPr>
      </w:pPr>
      <w:r w:rsidRPr="00074D6D">
        <w:rPr>
          <w:rFonts w:asciiTheme="minorHAnsi" w:hAnsiTheme="minorHAnsi"/>
          <w:szCs w:val="21"/>
          <w:lang w:val="en-GB"/>
        </w:rPr>
        <w:t>Definitions used in the General Data Protection Regulation (EU) 2016/679 (hereinafter: “</w:t>
      </w:r>
      <w:r w:rsidRPr="00074D6D">
        <w:rPr>
          <w:rFonts w:asciiTheme="minorHAnsi" w:hAnsiTheme="minorHAnsi"/>
          <w:b/>
          <w:bCs/>
          <w:szCs w:val="21"/>
          <w:lang w:val="en-GB"/>
        </w:rPr>
        <w:t>GDPR</w:t>
      </w:r>
      <w:r w:rsidRPr="00074D6D">
        <w:rPr>
          <w:rFonts w:asciiTheme="minorHAnsi" w:hAnsiTheme="minorHAnsi"/>
          <w:szCs w:val="21"/>
          <w:lang w:val="en-GB"/>
        </w:rPr>
        <w:t>”) such as: “</w:t>
      </w:r>
      <w:r w:rsidRPr="00074D6D">
        <w:rPr>
          <w:rFonts w:asciiTheme="minorHAnsi" w:hAnsiTheme="minorHAnsi"/>
          <w:b/>
          <w:bCs/>
          <w:szCs w:val="21"/>
          <w:lang w:val="en-GB"/>
        </w:rPr>
        <w:t>data subjects</w:t>
      </w:r>
      <w:r w:rsidRPr="00074D6D">
        <w:rPr>
          <w:rFonts w:asciiTheme="minorHAnsi" w:hAnsiTheme="minorHAnsi"/>
          <w:szCs w:val="21"/>
          <w:lang w:val="en-GB"/>
        </w:rPr>
        <w:t>”, “</w:t>
      </w:r>
      <w:r w:rsidRPr="00074D6D">
        <w:rPr>
          <w:rFonts w:asciiTheme="minorHAnsi" w:hAnsiTheme="minorHAnsi"/>
          <w:b/>
          <w:bCs/>
          <w:szCs w:val="21"/>
          <w:lang w:val="en-GB"/>
        </w:rPr>
        <w:t>personal data</w:t>
      </w:r>
      <w:r w:rsidRPr="00074D6D">
        <w:rPr>
          <w:rFonts w:asciiTheme="minorHAnsi" w:hAnsiTheme="minorHAnsi"/>
          <w:szCs w:val="21"/>
          <w:lang w:val="en-GB"/>
        </w:rPr>
        <w:t>”, “</w:t>
      </w:r>
      <w:r w:rsidRPr="00074D6D">
        <w:rPr>
          <w:rFonts w:asciiTheme="minorHAnsi" w:hAnsiTheme="minorHAnsi"/>
          <w:b/>
          <w:bCs/>
          <w:szCs w:val="21"/>
          <w:lang w:val="en-GB"/>
        </w:rPr>
        <w:t>processing</w:t>
      </w:r>
      <w:r w:rsidRPr="00074D6D">
        <w:rPr>
          <w:rFonts w:asciiTheme="minorHAnsi" w:hAnsiTheme="minorHAnsi"/>
          <w:szCs w:val="21"/>
          <w:lang w:val="en-GB"/>
        </w:rPr>
        <w:t>”, “</w:t>
      </w:r>
      <w:r w:rsidRPr="00074D6D">
        <w:rPr>
          <w:rFonts w:asciiTheme="minorHAnsi" w:hAnsiTheme="minorHAnsi"/>
          <w:b/>
          <w:bCs/>
          <w:szCs w:val="21"/>
          <w:lang w:val="en-GB"/>
        </w:rPr>
        <w:t>processor</w:t>
      </w:r>
      <w:r w:rsidRPr="00074D6D">
        <w:rPr>
          <w:rFonts w:asciiTheme="minorHAnsi" w:hAnsiTheme="minorHAnsi"/>
          <w:szCs w:val="21"/>
          <w:lang w:val="en-GB"/>
        </w:rPr>
        <w:t>” and “</w:t>
      </w:r>
      <w:r w:rsidRPr="00074D6D">
        <w:rPr>
          <w:rFonts w:asciiTheme="minorHAnsi" w:hAnsiTheme="minorHAnsi"/>
          <w:b/>
          <w:bCs/>
          <w:szCs w:val="21"/>
          <w:lang w:val="en-GB"/>
        </w:rPr>
        <w:t>controller</w:t>
      </w:r>
      <w:r w:rsidRPr="00074D6D">
        <w:rPr>
          <w:rFonts w:asciiTheme="minorHAnsi" w:hAnsiTheme="minorHAnsi"/>
          <w:szCs w:val="21"/>
          <w:lang w:val="en-GB"/>
        </w:rPr>
        <w:t>” have the meanings attributed to them in the GDPR</w:t>
      </w:r>
    </w:p>
    <w:p w:rsidR="00A41F68" w:rsidRPr="00074D6D" w:rsidRDefault="005544AA" w:rsidP="00CD1CD6">
      <w:pPr>
        <w:pStyle w:val="Lijstalinea"/>
        <w:numPr>
          <w:ilvl w:val="1"/>
          <w:numId w:val="22"/>
        </w:numPr>
        <w:rPr>
          <w:lang w:val="en-GB"/>
        </w:rPr>
      </w:pPr>
      <w:r w:rsidRPr="00074D6D">
        <w:rPr>
          <w:rFonts w:asciiTheme="minorHAnsi" w:hAnsiTheme="minorHAnsi"/>
          <w:szCs w:val="21"/>
          <w:lang w:val="en-GB"/>
        </w:rPr>
        <w:t xml:space="preserve">The Processor may process personal data for the purposes of the provision of the services on behalf of the Controller as specified in the Agreement. An overview of the processing activities, the processing objectives, the categories of data subjects and the (categories of) personal data is included in </w:t>
      </w:r>
      <w:r w:rsidRPr="00074D6D">
        <w:rPr>
          <w:rFonts w:asciiTheme="minorHAnsi" w:hAnsiTheme="minorHAnsi"/>
          <w:b/>
          <w:szCs w:val="21"/>
          <w:u w:val="single"/>
          <w:lang w:val="en-GB"/>
        </w:rPr>
        <w:t>Annex 1</w:t>
      </w:r>
      <w:r w:rsidRPr="00074D6D">
        <w:rPr>
          <w:rFonts w:asciiTheme="minorHAnsi" w:hAnsiTheme="minorHAnsi"/>
          <w:szCs w:val="21"/>
          <w:lang w:val="en-GB"/>
        </w:rPr>
        <w:t xml:space="preserve"> of this Data Processing Agreement.</w:t>
      </w:r>
    </w:p>
    <w:p w:rsidR="00451994" w:rsidRPr="00074D6D" w:rsidRDefault="005544AA" w:rsidP="005544AA">
      <w:pPr>
        <w:pStyle w:val="Kop1"/>
        <w:rPr>
          <w:lang w:val="en-GB"/>
        </w:rPr>
      </w:pPr>
      <w:r w:rsidRPr="00074D6D">
        <w:rPr>
          <w:lang w:val="en-GB"/>
        </w:rPr>
        <w:t>The Controller and the Processor</w:t>
      </w:r>
    </w:p>
    <w:p w:rsidR="000D68DB" w:rsidRPr="00074D6D" w:rsidRDefault="005544AA" w:rsidP="000D68DB">
      <w:pPr>
        <w:pStyle w:val="Lijstalinea"/>
        <w:numPr>
          <w:ilvl w:val="1"/>
          <w:numId w:val="22"/>
        </w:numPr>
        <w:rPr>
          <w:lang w:val="en-GB"/>
        </w:rPr>
      </w:pPr>
      <w:r w:rsidRPr="00074D6D">
        <w:rPr>
          <w:rFonts w:asciiTheme="minorHAnsi" w:hAnsiTheme="minorHAnsi"/>
          <w:szCs w:val="21"/>
          <w:lang w:val="en-GB"/>
        </w:rPr>
        <w:t>The Processor shall act as processor on behalf of the Controller. The Controller shall act as the controller.</w:t>
      </w:r>
      <w:r w:rsidR="000D68DB" w:rsidRPr="00074D6D">
        <w:rPr>
          <w:lang w:val="en-GB"/>
        </w:rPr>
        <w:t xml:space="preserve"> </w:t>
      </w:r>
    </w:p>
    <w:p w:rsidR="000D68DB" w:rsidRPr="00074D6D" w:rsidRDefault="005544AA" w:rsidP="005544AA">
      <w:pPr>
        <w:pStyle w:val="Lijstalinea"/>
        <w:numPr>
          <w:ilvl w:val="1"/>
          <w:numId w:val="22"/>
        </w:numPr>
        <w:rPr>
          <w:lang w:val="en-GB"/>
        </w:rPr>
      </w:pPr>
      <w:r w:rsidRPr="00074D6D">
        <w:rPr>
          <w:rFonts w:asciiTheme="minorHAnsi" w:hAnsiTheme="minorHAnsi"/>
          <w:szCs w:val="21"/>
          <w:lang w:val="en-GB"/>
        </w:rPr>
        <w:t>The Processor guarantees that it shall process data on behalf of the Controller solely in the manner required – and to the extent necessary – for the provision of the services specified in the Agreement referred to in article 1 of this Data Processing Agreement. Any other processing shall be performed solely on the explicit instructions of the Controller or in accordance with a legal obligation. Under no circumstances shall the Processor process personal data for its own purposes.</w:t>
      </w:r>
    </w:p>
    <w:p w:rsidR="00D21A3E" w:rsidRPr="00074D6D" w:rsidRDefault="00D21A3E">
      <w:pPr>
        <w:rPr>
          <w:kern w:val="21"/>
          <w:lang w:val="en-GB"/>
        </w:rPr>
      </w:pPr>
      <w:r w:rsidRPr="00074D6D">
        <w:rPr>
          <w:lang w:val="en-GB"/>
        </w:rPr>
        <w:br w:type="page"/>
      </w:r>
    </w:p>
    <w:p w:rsidR="000D68DB" w:rsidRPr="00074D6D" w:rsidRDefault="005544AA" w:rsidP="000D68DB">
      <w:pPr>
        <w:pStyle w:val="Lijstalinea"/>
        <w:numPr>
          <w:ilvl w:val="1"/>
          <w:numId w:val="22"/>
        </w:numPr>
        <w:rPr>
          <w:lang w:val="en-GB"/>
        </w:rPr>
      </w:pPr>
      <w:r w:rsidRPr="00074D6D">
        <w:rPr>
          <w:rFonts w:asciiTheme="minorHAnsi" w:hAnsiTheme="minorHAnsi"/>
          <w:szCs w:val="21"/>
          <w:lang w:val="en-GB"/>
        </w:rPr>
        <w:lastRenderedPageBreak/>
        <w:t>The Processor shall follow all reasonable documented instructions from the Controller in relation to the processing of the personal data. The Processor shall notify the Controller immediately if it is of the opinion that instructions are contrary to the applicable legislation relating to the processing of personal data or to any agreement between the Parties.</w:t>
      </w:r>
      <w:r w:rsidR="000D68DB" w:rsidRPr="00074D6D">
        <w:rPr>
          <w:lang w:val="en-GB"/>
        </w:rPr>
        <w:t xml:space="preserve"> </w:t>
      </w:r>
    </w:p>
    <w:p w:rsidR="005544AA" w:rsidRPr="00074D6D" w:rsidRDefault="005544AA" w:rsidP="005544AA">
      <w:pPr>
        <w:pStyle w:val="Lijstalinea"/>
        <w:numPr>
          <w:ilvl w:val="1"/>
          <w:numId w:val="22"/>
        </w:numPr>
        <w:rPr>
          <w:lang w:val="en-GB"/>
        </w:rPr>
      </w:pPr>
      <w:r w:rsidRPr="00074D6D">
        <w:rPr>
          <w:lang w:val="en-GB"/>
        </w:rPr>
        <w:t>The Processor shall process the personal data in a proper and careful manner in accordance with the GDPR and any other applicable legislation relating to the processing of personal data. The Parties enter into the agreement with a view to benefiting from the Processor’s expertise with regard to the processing of personal data for the purposes set out in Annex 1 of this Data Processing Agreement. The Processor is permitted to use the resources it deems necessary to achieve that objective as it sees fit.</w:t>
      </w:r>
    </w:p>
    <w:p w:rsidR="000D68DB" w:rsidRPr="00074D6D" w:rsidRDefault="005544AA" w:rsidP="000D68DB">
      <w:pPr>
        <w:pStyle w:val="Lijstalinea"/>
        <w:numPr>
          <w:ilvl w:val="1"/>
          <w:numId w:val="22"/>
        </w:numPr>
        <w:rPr>
          <w:lang w:val="en-GB"/>
        </w:rPr>
      </w:pPr>
      <w:r w:rsidRPr="00074D6D">
        <w:rPr>
          <w:rFonts w:asciiTheme="minorHAnsi" w:hAnsiTheme="minorHAnsi"/>
          <w:szCs w:val="21"/>
          <w:lang w:val="en-GB"/>
        </w:rPr>
        <w:t xml:space="preserve">The Processor shall not transfer any personal data to </w:t>
      </w:r>
      <w:r w:rsidR="00B0111E" w:rsidRPr="00074D6D">
        <w:rPr>
          <w:rFonts w:asciiTheme="minorHAnsi" w:hAnsiTheme="minorHAnsi"/>
          <w:szCs w:val="21"/>
          <w:lang w:val="en-GB"/>
        </w:rPr>
        <w:t xml:space="preserve">(organisations established in) </w:t>
      </w:r>
      <w:r w:rsidRPr="00074D6D">
        <w:rPr>
          <w:rFonts w:asciiTheme="minorHAnsi" w:hAnsiTheme="minorHAnsi"/>
          <w:szCs w:val="21"/>
          <w:lang w:val="en-GB"/>
        </w:rPr>
        <w:t>countries outside the European Economic Area (“</w:t>
      </w:r>
      <w:r w:rsidRPr="00074D6D">
        <w:rPr>
          <w:rFonts w:asciiTheme="minorHAnsi" w:hAnsiTheme="minorHAnsi"/>
          <w:b/>
          <w:bCs/>
          <w:szCs w:val="21"/>
          <w:lang w:val="en-GB"/>
        </w:rPr>
        <w:t>EEA</w:t>
      </w:r>
      <w:r w:rsidRPr="00074D6D">
        <w:rPr>
          <w:rFonts w:asciiTheme="minorHAnsi" w:hAnsiTheme="minorHAnsi"/>
          <w:szCs w:val="21"/>
          <w:lang w:val="en-GB"/>
        </w:rPr>
        <w:t>”)</w:t>
      </w:r>
      <w:r w:rsidR="00A75B40" w:rsidRPr="00074D6D">
        <w:rPr>
          <w:rFonts w:asciiTheme="minorHAnsi" w:hAnsiTheme="minorHAnsi"/>
          <w:szCs w:val="21"/>
          <w:lang w:val="en-GB"/>
        </w:rPr>
        <w:t xml:space="preserve"> or international organisations</w:t>
      </w:r>
      <w:r w:rsidRPr="00074D6D">
        <w:rPr>
          <w:rFonts w:asciiTheme="minorHAnsi" w:hAnsiTheme="minorHAnsi"/>
          <w:szCs w:val="21"/>
          <w:lang w:val="en-GB"/>
        </w:rPr>
        <w:t>, unless:</w:t>
      </w:r>
    </w:p>
    <w:p w:rsidR="008D587E" w:rsidRPr="00074D6D" w:rsidRDefault="00B0111E" w:rsidP="008D587E">
      <w:pPr>
        <w:pStyle w:val="Lijstalinea"/>
        <w:numPr>
          <w:ilvl w:val="2"/>
          <w:numId w:val="22"/>
        </w:numPr>
        <w:rPr>
          <w:lang w:val="en-GB"/>
        </w:rPr>
      </w:pPr>
      <w:r w:rsidRPr="00074D6D">
        <w:rPr>
          <w:lang w:val="en-GB"/>
        </w:rPr>
        <w:t>it concerns</w:t>
      </w:r>
      <w:r w:rsidR="008D587E" w:rsidRPr="00074D6D">
        <w:rPr>
          <w:lang w:val="en-GB"/>
        </w:rPr>
        <w:t xml:space="preserve"> </w:t>
      </w:r>
      <w:r w:rsidRPr="00074D6D">
        <w:rPr>
          <w:lang w:val="en-GB"/>
        </w:rPr>
        <w:t xml:space="preserve">a </w:t>
      </w:r>
      <w:r w:rsidR="008D587E" w:rsidRPr="00074D6D">
        <w:rPr>
          <w:lang w:val="en-GB"/>
        </w:rPr>
        <w:t xml:space="preserve">third country </w:t>
      </w:r>
      <w:r w:rsidRPr="00074D6D">
        <w:rPr>
          <w:lang w:val="en-GB"/>
        </w:rPr>
        <w:t xml:space="preserve">of which </w:t>
      </w:r>
      <w:r w:rsidR="008D587E" w:rsidRPr="00074D6D">
        <w:rPr>
          <w:lang w:val="en-GB"/>
        </w:rPr>
        <w:t xml:space="preserve">the European Commission has decided that the third country, </w:t>
      </w:r>
      <w:r w:rsidRPr="00074D6D">
        <w:rPr>
          <w:lang w:val="en-GB"/>
        </w:rPr>
        <w:t>one or more</w:t>
      </w:r>
      <w:r w:rsidR="008D587E" w:rsidRPr="00074D6D">
        <w:rPr>
          <w:lang w:val="en-GB"/>
        </w:rPr>
        <w:t xml:space="preserve"> territor</w:t>
      </w:r>
      <w:r w:rsidRPr="00074D6D">
        <w:rPr>
          <w:lang w:val="en-GB"/>
        </w:rPr>
        <w:t>ies</w:t>
      </w:r>
      <w:r w:rsidR="008D587E" w:rsidRPr="00074D6D">
        <w:rPr>
          <w:lang w:val="en-GB"/>
        </w:rPr>
        <w:t xml:space="preserve"> or one or more specified sectors within that third country, or the international organisation in question</w:t>
      </w:r>
      <w:r w:rsidRPr="00074D6D">
        <w:rPr>
          <w:lang w:val="en-GB"/>
        </w:rPr>
        <w:t>,</w:t>
      </w:r>
      <w:r w:rsidR="008D587E" w:rsidRPr="00074D6D">
        <w:rPr>
          <w:lang w:val="en-GB"/>
        </w:rPr>
        <w:t xml:space="preserve"> ensures an adequate level of protection</w:t>
      </w:r>
      <w:r w:rsidRPr="00074D6D">
        <w:rPr>
          <w:lang w:val="en-GB"/>
        </w:rPr>
        <w:t xml:space="preserve"> </w:t>
      </w:r>
      <w:r w:rsidR="008D587E" w:rsidRPr="00074D6D">
        <w:rPr>
          <w:lang w:val="en-GB"/>
        </w:rPr>
        <w:t>as stated in article 45 GDPR</w:t>
      </w:r>
      <w:r w:rsidRPr="00074D6D">
        <w:rPr>
          <w:lang w:val="en-GB"/>
        </w:rPr>
        <w:t xml:space="preserve"> </w:t>
      </w:r>
      <w:r w:rsidR="008D587E" w:rsidRPr="00074D6D">
        <w:rPr>
          <w:lang w:val="en-GB"/>
        </w:rPr>
        <w:t>and the transfer complies with any</w:t>
      </w:r>
      <w:r w:rsidRPr="00074D6D">
        <w:rPr>
          <w:lang w:val="en-GB"/>
        </w:rPr>
        <w:t xml:space="preserve"> possible</w:t>
      </w:r>
      <w:r w:rsidR="008D587E" w:rsidRPr="00074D6D">
        <w:rPr>
          <w:lang w:val="en-GB"/>
        </w:rPr>
        <w:t xml:space="preserve"> conditions </w:t>
      </w:r>
      <w:r w:rsidRPr="00074D6D">
        <w:rPr>
          <w:lang w:val="en-GB"/>
        </w:rPr>
        <w:t>attached to</w:t>
      </w:r>
      <w:r w:rsidR="008D587E" w:rsidRPr="00074D6D">
        <w:rPr>
          <w:lang w:val="en-GB"/>
        </w:rPr>
        <w:t xml:space="preserve"> the adequacy decision (such as </w:t>
      </w:r>
      <w:r w:rsidR="00074D6D" w:rsidRPr="00074D6D">
        <w:rPr>
          <w:lang w:val="en-GB"/>
        </w:rPr>
        <w:t>only commercial organisations in Canada</w:t>
      </w:r>
      <w:r w:rsidR="008D587E" w:rsidRPr="00074D6D">
        <w:rPr>
          <w:lang w:val="en-GB"/>
        </w:rPr>
        <w:t>). Processor shall inform</w:t>
      </w:r>
      <w:r w:rsidR="00A75B40" w:rsidRPr="00074D6D">
        <w:rPr>
          <w:lang w:val="en-GB"/>
        </w:rPr>
        <w:t xml:space="preserve"> Controller</w:t>
      </w:r>
      <w:r w:rsidR="008D587E" w:rsidRPr="00074D6D">
        <w:rPr>
          <w:lang w:val="en-GB"/>
        </w:rPr>
        <w:t xml:space="preserve"> in writing prior to the </w:t>
      </w:r>
      <w:r w:rsidR="00A75B40" w:rsidRPr="00074D6D">
        <w:rPr>
          <w:lang w:val="en-GB"/>
        </w:rPr>
        <w:t>transfer;</w:t>
      </w:r>
    </w:p>
    <w:p w:rsidR="000D68DB" w:rsidRPr="00074D6D" w:rsidRDefault="005544AA" w:rsidP="000D68DB">
      <w:pPr>
        <w:pStyle w:val="Lijstalinea"/>
        <w:numPr>
          <w:ilvl w:val="2"/>
          <w:numId w:val="22"/>
        </w:numPr>
        <w:rPr>
          <w:lang w:val="en-GB"/>
        </w:rPr>
      </w:pPr>
      <w:r w:rsidRPr="00074D6D">
        <w:rPr>
          <w:szCs w:val="21"/>
          <w:lang w:val="en-GB"/>
        </w:rPr>
        <w:t xml:space="preserve">the Processor has obtained express prior written </w:t>
      </w:r>
      <w:r w:rsidR="00B0111E" w:rsidRPr="00074D6D">
        <w:rPr>
          <w:szCs w:val="21"/>
          <w:lang w:val="en-GB"/>
        </w:rPr>
        <w:t xml:space="preserve">approval </w:t>
      </w:r>
      <w:r w:rsidRPr="00074D6D">
        <w:rPr>
          <w:szCs w:val="21"/>
          <w:lang w:val="en-GB"/>
        </w:rPr>
        <w:t>of the Controller</w:t>
      </w:r>
      <w:r w:rsidR="00F1103D" w:rsidRPr="00074D6D">
        <w:rPr>
          <w:szCs w:val="21"/>
          <w:lang w:val="en-GB"/>
        </w:rPr>
        <w:t xml:space="preserve"> and the conditions laid down in article 46 GDPR or article 49 GDPR are met.</w:t>
      </w:r>
      <w:r w:rsidRPr="00074D6D">
        <w:rPr>
          <w:szCs w:val="21"/>
          <w:lang w:val="en-GB"/>
        </w:rPr>
        <w:t xml:space="preserve"> The Controller has the right to attach further conditions to its </w:t>
      </w:r>
      <w:r w:rsidR="00B0111E" w:rsidRPr="00074D6D">
        <w:rPr>
          <w:szCs w:val="21"/>
          <w:lang w:val="en-GB"/>
        </w:rPr>
        <w:t xml:space="preserve">approval </w:t>
      </w:r>
      <w:r w:rsidRPr="00074D6D">
        <w:rPr>
          <w:szCs w:val="21"/>
          <w:lang w:val="en-GB"/>
        </w:rPr>
        <w:t xml:space="preserve">for this </w:t>
      </w:r>
      <w:r w:rsidR="00F1103D" w:rsidRPr="00074D6D">
        <w:rPr>
          <w:szCs w:val="21"/>
          <w:lang w:val="en-GB"/>
        </w:rPr>
        <w:t xml:space="preserve">transfer </w:t>
      </w:r>
      <w:r w:rsidRPr="00074D6D">
        <w:rPr>
          <w:szCs w:val="21"/>
          <w:lang w:val="en-GB"/>
        </w:rPr>
        <w:t>at any time; or</w:t>
      </w:r>
    </w:p>
    <w:p w:rsidR="000D68DB" w:rsidRPr="00074D6D" w:rsidRDefault="005544AA" w:rsidP="000D68DB">
      <w:pPr>
        <w:pStyle w:val="Lijstalinea"/>
        <w:numPr>
          <w:ilvl w:val="2"/>
          <w:numId w:val="22"/>
        </w:numPr>
        <w:rPr>
          <w:lang w:val="en-GB"/>
        </w:rPr>
      </w:pPr>
      <w:r w:rsidRPr="00074D6D">
        <w:rPr>
          <w:szCs w:val="21"/>
          <w:lang w:val="en-GB"/>
        </w:rPr>
        <w:t xml:space="preserve">the Processor is </w:t>
      </w:r>
      <w:r w:rsidR="00B0111E" w:rsidRPr="00074D6D">
        <w:rPr>
          <w:szCs w:val="21"/>
          <w:lang w:val="en-GB"/>
        </w:rPr>
        <w:t xml:space="preserve">legally </w:t>
      </w:r>
      <w:r w:rsidRPr="00074D6D">
        <w:rPr>
          <w:szCs w:val="21"/>
          <w:lang w:val="en-GB"/>
        </w:rPr>
        <w:t>required by Union or Member State law</w:t>
      </w:r>
      <w:r w:rsidR="00B0111E" w:rsidRPr="00074D6D">
        <w:rPr>
          <w:szCs w:val="21"/>
          <w:lang w:val="en-GB"/>
        </w:rPr>
        <w:t xml:space="preserve"> to transfer personal data outside of the EEA</w:t>
      </w:r>
      <w:r w:rsidRPr="00074D6D">
        <w:rPr>
          <w:szCs w:val="21"/>
          <w:lang w:val="en-GB"/>
        </w:rPr>
        <w:t xml:space="preserve">. In that case, the Processor shall inform the Controller’s employee referred to in </w:t>
      </w:r>
      <w:r w:rsidRPr="00074D6D">
        <w:rPr>
          <w:b/>
          <w:bCs/>
          <w:szCs w:val="21"/>
          <w:u w:val="single"/>
          <w:lang w:val="en-GB"/>
        </w:rPr>
        <w:t>Annex 2</w:t>
      </w:r>
      <w:r w:rsidRPr="00074D6D">
        <w:rPr>
          <w:szCs w:val="21"/>
          <w:lang w:val="en-GB"/>
        </w:rPr>
        <w:t xml:space="preserve"> of that legal requirement before </w:t>
      </w:r>
      <w:r w:rsidR="00B0111E" w:rsidRPr="00074D6D">
        <w:rPr>
          <w:szCs w:val="21"/>
          <w:lang w:val="en-GB"/>
        </w:rPr>
        <w:t>transferring the data</w:t>
      </w:r>
      <w:r w:rsidRPr="00074D6D">
        <w:rPr>
          <w:szCs w:val="21"/>
          <w:lang w:val="en-GB"/>
        </w:rPr>
        <w:t>, unless that law prohibits such information on important grounds of public interest.</w:t>
      </w:r>
    </w:p>
    <w:p w:rsidR="000D68DB" w:rsidRPr="00074D6D" w:rsidRDefault="005544AA" w:rsidP="000D68DB">
      <w:pPr>
        <w:pStyle w:val="Lijstalinea"/>
        <w:numPr>
          <w:ilvl w:val="1"/>
          <w:numId w:val="22"/>
        </w:numPr>
        <w:rPr>
          <w:lang w:val="en-GB"/>
        </w:rPr>
      </w:pPr>
      <w:r w:rsidRPr="00074D6D">
        <w:rPr>
          <w:rFonts w:asciiTheme="minorHAnsi" w:hAnsiTheme="minorHAnsi"/>
          <w:szCs w:val="21"/>
          <w:lang w:val="en-GB"/>
        </w:rPr>
        <w:t>Without prejudice to any other contractual duty of confidentiality it may have, the Processor guarantees that it shall treat all personal data in strict confidence and shall inform any of its employees, agents and/or sub-processors involved in the processing of the personal data of the confidential nature of the information and the personal data. The Processor shall require these persons and parties to sign an adequate confidentiality agreement and ensure that they comply with the terms of this Data Processing Agreement and shall, on request, provide the Controller with copies of said agreements. The Processor is prohibited from divulging, providing or otherwise making available the personal data to third parties except with the prior written consent of the Controller, or if this is required or permitted pursuant to the assignment set out in the Agreement.</w:t>
      </w:r>
      <w:r w:rsidR="000D68DB" w:rsidRPr="00074D6D">
        <w:rPr>
          <w:lang w:val="en-GB"/>
        </w:rPr>
        <w:t xml:space="preserve"> </w:t>
      </w:r>
    </w:p>
    <w:p w:rsidR="000D68DB" w:rsidRPr="00074D6D" w:rsidRDefault="005544AA" w:rsidP="000D68DB">
      <w:pPr>
        <w:pStyle w:val="Lijstalinea"/>
        <w:numPr>
          <w:ilvl w:val="1"/>
          <w:numId w:val="22"/>
        </w:numPr>
        <w:rPr>
          <w:lang w:val="en-GB"/>
        </w:rPr>
      </w:pPr>
      <w:r w:rsidRPr="00074D6D">
        <w:rPr>
          <w:rFonts w:asciiTheme="minorHAnsi" w:hAnsiTheme="minorHAnsi"/>
          <w:szCs w:val="21"/>
          <w:lang w:val="en-GB"/>
        </w:rPr>
        <w:t>The Processor shall provide its full cooperation to the Controller in (i) allowing access by data subjects to their personal data, after approval by and on the instructions of the Controller, (ii) deleting or correcting personal data, (iii) demonstrating that personal data have been deleted or corrected if they are incorrect (or, if the Controller disagrees that personal data are incorrect, in documenting the fact that the data subject regards the personal data as incorrect), and (iv) otherwise enabling the Controller to comply with its obligations under the GDPR and any other applicable legislation relating to the processing of personal data.</w:t>
      </w:r>
      <w:r w:rsidR="000D68DB" w:rsidRPr="00074D6D">
        <w:rPr>
          <w:lang w:val="en-GB"/>
        </w:rPr>
        <w:t xml:space="preserve"> </w:t>
      </w:r>
    </w:p>
    <w:p w:rsidR="00451994" w:rsidRPr="00074D6D" w:rsidRDefault="005544AA" w:rsidP="005544AA">
      <w:pPr>
        <w:pStyle w:val="Lijstalinea"/>
        <w:numPr>
          <w:ilvl w:val="1"/>
          <w:numId w:val="22"/>
        </w:numPr>
        <w:rPr>
          <w:lang w:val="en-GB"/>
        </w:rPr>
      </w:pPr>
      <w:r w:rsidRPr="00074D6D">
        <w:rPr>
          <w:lang w:val="en-GB"/>
        </w:rPr>
        <w:t>The Processor shall strictly separate the personal data it stores or processes for the Controller from the personal data that it processes for itself or on behalf of third parties.</w:t>
      </w:r>
    </w:p>
    <w:p w:rsidR="005B2C36" w:rsidRPr="00074D6D" w:rsidRDefault="005B2C36">
      <w:pPr>
        <w:rPr>
          <w:rFonts w:cs="Arial"/>
          <w:b/>
          <w:bCs/>
          <w:caps/>
          <w:kern w:val="32"/>
          <w:lang w:val="en-GB"/>
        </w:rPr>
      </w:pPr>
      <w:r w:rsidRPr="00074D6D">
        <w:rPr>
          <w:lang w:val="en-GB"/>
        </w:rPr>
        <w:br w:type="page"/>
      </w:r>
    </w:p>
    <w:p w:rsidR="00451994" w:rsidRPr="00074D6D" w:rsidRDefault="005544AA" w:rsidP="005544AA">
      <w:pPr>
        <w:pStyle w:val="Kop1"/>
        <w:rPr>
          <w:lang w:val="en-GB"/>
        </w:rPr>
      </w:pPr>
      <w:r w:rsidRPr="00074D6D">
        <w:rPr>
          <w:lang w:val="en-GB"/>
        </w:rPr>
        <w:lastRenderedPageBreak/>
        <w:t>Security of personal data and monitoring</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Without prejudice to the security standards agreed elsewhere by the Parties, the Processor shall take appropriate technical and organisational security measures, taking into account the state of the art, the costs of implementation and the nature, scope, context and purposes of processing as well as the risk of varying likelihood and severity for the rights and freedoms of natural persons, in order to protect the personal data against accidental or unlawful destruction, loss, alteration, unauthorised disclosure of, or access to, personal data transmitted, stored or otherwise processed. These measures shall in any case include:</w:t>
      </w:r>
    </w:p>
    <w:p w:rsidR="005544AA" w:rsidRPr="00074D6D" w:rsidRDefault="005544AA" w:rsidP="005544AA">
      <w:pPr>
        <w:pStyle w:val="Lijstalinea"/>
        <w:numPr>
          <w:ilvl w:val="2"/>
          <w:numId w:val="22"/>
        </w:numPr>
        <w:rPr>
          <w:lang w:val="en-GB"/>
        </w:rPr>
      </w:pPr>
      <w:r w:rsidRPr="00074D6D">
        <w:rPr>
          <w:lang w:val="en-GB"/>
        </w:rPr>
        <w:t xml:space="preserve">measures to ensure that only authorised personnel have access to the personal data for the purposes set out in </w:t>
      </w:r>
      <w:r w:rsidRPr="00074D6D">
        <w:rPr>
          <w:b/>
          <w:u w:val="single"/>
          <w:lang w:val="en-GB"/>
        </w:rPr>
        <w:t xml:space="preserve">Annex </w:t>
      </w:r>
      <w:r w:rsidR="00B525F4" w:rsidRPr="00074D6D">
        <w:rPr>
          <w:b/>
          <w:u w:val="single"/>
          <w:lang w:val="en-GB"/>
        </w:rPr>
        <w:t>1</w:t>
      </w:r>
      <w:r w:rsidRPr="00074D6D">
        <w:rPr>
          <w:lang w:val="en-GB"/>
        </w:rPr>
        <w:t xml:space="preserve">; </w:t>
      </w:r>
    </w:p>
    <w:p w:rsidR="005544AA" w:rsidRPr="00074D6D" w:rsidRDefault="005544AA" w:rsidP="00402E40">
      <w:pPr>
        <w:pStyle w:val="Lijstalinea"/>
        <w:numPr>
          <w:ilvl w:val="2"/>
          <w:numId w:val="22"/>
        </w:numPr>
        <w:rPr>
          <w:lang w:val="en-GB"/>
        </w:rPr>
      </w:pPr>
      <w:r w:rsidRPr="00074D6D">
        <w:rPr>
          <w:rFonts w:asciiTheme="minorHAnsi" w:hAnsiTheme="minorHAnsi"/>
          <w:szCs w:val="21"/>
          <w:lang w:val="en-GB"/>
        </w:rPr>
        <w:t>measures to identify weak links in the personal data processing systems used to provide the services for the Controller;</w:t>
      </w:r>
    </w:p>
    <w:p w:rsidR="00451994" w:rsidRPr="00074D6D" w:rsidRDefault="005544AA" w:rsidP="00402E40">
      <w:pPr>
        <w:pStyle w:val="Lijstalinea"/>
        <w:numPr>
          <w:ilvl w:val="2"/>
          <w:numId w:val="22"/>
        </w:numPr>
        <w:rPr>
          <w:lang w:val="en-GB"/>
        </w:rPr>
      </w:pPr>
      <w:r w:rsidRPr="00074D6D">
        <w:rPr>
          <w:rFonts w:asciiTheme="minorHAnsi" w:hAnsiTheme="minorHAnsi"/>
          <w:szCs w:val="21"/>
          <w:lang w:val="en-GB"/>
        </w:rPr>
        <w:t xml:space="preserve">the measures agreed by the Parties and set out in </w:t>
      </w:r>
      <w:r w:rsidRPr="00074D6D">
        <w:rPr>
          <w:rFonts w:asciiTheme="minorHAnsi" w:hAnsiTheme="minorHAnsi"/>
          <w:b/>
          <w:szCs w:val="21"/>
          <w:u w:val="single"/>
          <w:lang w:val="en-GB"/>
        </w:rPr>
        <w:t>Annex 3</w:t>
      </w:r>
      <w:r w:rsidRPr="00074D6D">
        <w:rPr>
          <w:rFonts w:asciiTheme="minorHAnsi" w:hAnsiTheme="minorHAnsi"/>
          <w:szCs w:val="21"/>
          <w:lang w:val="en-GB"/>
        </w:rPr>
        <w:t>.</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The Processor shall at all times have an appropriate written security policy in place for the processing of personal data, which shall in any case include the measures set out in article 3.1.</w:t>
      </w:r>
      <w:r w:rsidR="00402E40" w:rsidRPr="00074D6D">
        <w:rPr>
          <w:lang w:val="en-GB"/>
        </w:rPr>
        <w:t xml:space="preserve"> </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The Controller is entitled to monitor compliance with the measures referred to in articles 3.1 and 3.2. The Processor shall, on request by the Controller, allow the Controller to investigate compliance with the measures at least once a year at a time to be agreed by the Parties, and further if the Controller considers there is cause to do so in response to actual or suspected incidents relating to information or privacy. The Processor shall comply with any reasonable instructions concerning changes to the security policy issued by the Controller following such an inspection within a reasonable period.</w:t>
      </w:r>
      <w:r w:rsidR="00402E40" w:rsidRPr="00074D6D">
        <w:rPr>
          <w:lang w:val="en-GB"/>
        </w:rPr>
        <w:t xml:space="preserve"> </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The Processor shall provide all reasonable cooperation with an audit as referred to in article 3.3, and at its own expense.</w:t>
      </w:r>
    </w:p>
    <w:p w:rsidR="00451994" w:rsidRPr="00074D6D" w:rsidRDefault="005544AA" w:rsidP="00402E40">
      <w:pPr>
        <w:pStyle w:val="Lijstalinea"/>
        <w:numPr>
          <w:ilvl w:val="1"/>
          <w:numId w:val="22"/>
        </w:numPr>
        <w:rPr>
          <w:lang w:val="en-GB"/>
        </w:rPr>
      </w:pPr>
      <w:r w:rsidRPr="00074D6D">
        <w:rPr>
          <w:rFonts w:asciiTheme="minorHAnsi" w:hAnsiTheme="minorHAnsi"/>
          <w:szCs w:val="21"/>
          <w:lang w:val="en-GB"/>
        </w:rPr>
        <w:t>The Parties acknowledge that security requirements are constantly changing and that effective security requires frequent evaluation and regular improvement of outdated security measures. The Processor shall therefore constantly evaluate and refine, supplement or improve the measures implemented on the basis of this article in order to ensure that it remains in compliance with its obligations under article 3 of this Agreement.</w:t>
      </w:r>
    </w:p>
    <w:p w:rsidR="00451994" w:rsidRPr="00074D6D" w:rsidRDefault="005544AA" w:rsidP="00402E40">
      <w:pPr>
        <w:pStyle w:val="Kop1"/>
        <w:rPr>
          <w:lang w:val="en-GB"/>
        </w:rPr>
      </w:pPr>
      <w:r w:rsidRPr="00074D6D">
        <w:rPr>
          <w:rFonts w:asciiTheme="minorHAnsi" w:hAnsiTheme="minorHAnsi"/>
          <w:szCs w:val="21"/>
          <w:lang w:val="en-GB"/>
        </w:rPr>
        <w:t>Monitoring, duty to provide information and incident management</w:t>
      </w:r>
    </w:p>
    <w:p w:rsidR="00D21A3E" w:rsidRPr="00074D6D" w:rsidRDefault="005544AA" w:rsidP="0019281F">
      <w:pPr>
        <w:pStyle w:val="Lijstalinea"/>
        <w:numPr>
          <w:ilvl w:val="1"/>
          <w:numId w:val="22"/>
        </w:numPr>
        <w:rPr>
          <w:lang w:val="en-GB"/>
        </w:rPr>
      </w:pPr>
      <w:r w:rsidRPr="00074D6D">
        <w:rPr>
          <w:rFonts w:asciiTheme="minorHAnsi" w:hAnsiTheme="minorHAnsi"/>
          <w:szCs w:val="21"/>
          <w:lang w:val="en-GB"/>
        </w:rPr>
        <w:t>The Processor shall actively monitor for infringements of the security measures and report on the results of the monitoring to the Controller in accordance with the terms of this article 4 within the prescribed statutory periods.</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The Processor is obliged to notify the Controller immediately in the event that an incident relating to the processing of the personal data and involving security measures occurs, has occurred or could occur and at the same time provide all relevant information regarding the nature of the incident, the risk that data have been or could be unlawfully processed and the measures that have been or will be implemented to resolve the incident or to minimize the consequences/damage.</w:t>
      </w:r>
      <w:r w:rsidR="00402E40" w:rsidRPr="00074D6D">
        <w:rPr>
          <w:lang w:val="en-GB"/>
        </w:rPr>
        <w:t xml:space="preserve"> </w:t>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t>The Processor shall at all times cooperate with and follow any instructions of the Controller designed to enable the Controller to carry out a thorough investigation of the incident and formulate a correct response and implement appropriate follow-up measures with respect to the incident.</w:t>
      </w:r>
      <w:r w:rsidR="00402E40" w:rsidRPr="00074D6D">
        <w:rPr>
          <w:lang w:val="en-GB"/>
        </w:rPr>
        <w:t xml:space="preserve"> </w:t>
      </w:r>
    </w:p>
    <w:p w:rsidR="005B2C36" w:rsidRPr="00074D6D" w:rsidRDefault="005B2C36">
      <w:pPr>
        <w:rPr>
          <w:rFonts w:asciiTheme="minorHAnsi" w:hAnsiTheme="minorHAnsi"/>
          <w:kern w:val="21"/>
          <w:szCs w:val="21"/>
          <w:lang w:val="en-GB"/>
        </w:rPr>
      </w:pPr>
      <w:r w:rsidRPr="00074D6D">
        <w:rPr>
          <w:rFonts w:asciiTheme="minorHAnsi" w:hAnsiTheme="minorHAnsi"/>
          <w:szCs w:val="21"/>
          <w:lang w:val="en-GB"/>
        </w:rPr>
        <w:br w:type="page"/>
      </w:r>
    </w:p>
    <w:p w:rsidR="00402E40" w:rsidRPr="00074D6D" w:rsidRDefault="005544AA" w:rsidP="00402E40">
      <w:pPr>
        <w:pStyle w:val="Lijstalinea"/>
        <w:numPr>
          <w:ilvl w:val="1"/>
          <w:numId w:val="22"/>
        </w:numPr>
        <w:rPr>
          <w:lang w:val="en-GB"/>
        </w:rPr>
      </w:pPr>
      <w:r w:rsidRPr="00074D6D">
        <w:rPr>
          <w:rFonts w:asciiTheme="minorHAnsi" w:hAnsiTheme="minorHAnsi"/>
          <w:szCs w:val="21"/>
          <w:lang w:val="en-GB"/>
        </w:rPr>
        <w:lastRenderedPageBreak/>
        <w:t>“</w:t>
      </w:r>
      <w:r w:rsidRPr="00074D6D">
        <w:rPr>
          <w:rFonts w:asciiTheme="minorHAnsi" w:hAnsiTheme="minorHAnsi"/>
          <w:b/>
          <w:szCs w:val="21"/>
          <w:lang w:val="en-GB"/>
        </w:rPr>
        <w:t>Incidents</w:t>
      </w:r>
      <w:r w:rsidRPr="00074D6D">
        <w:rPr>
          <w:rFonts w:asciiTheme="minorHAnsi" w:hAnsiTheme="minorHAnsi"/>
          <w:szCs w:val="21"/>
          <w:lang w:val="en-GB"/>
        </w:rPr>
        <w:t>” shall in any case include</w:t>
      </w:r>
      <w:r w:rsidR="00402E40" w:rsidRPr="00074D6D">
        <w:rPr>
          <w:lang w:val="en-GB"/>
        </w:rPr>
        <w:t>:</w:t>
      </w:r>
    </w:p>
    <w:p w:rsidR="005544AA" w:rsidRPr="00074D6D" w:rsidRDefault="005544AA" w:rsidP="005544AA">
      <w:pPr>
        <w:pStyle w:val="Lijstalinea"/>
        <w:numPr>
          <w:ilvl w:val="2"/>
          <w:numId w:val="22"/>
        </w:numPr>
        <w:rPr>
          <w:lang w:val="en-GB"/>
        </w:rPr>
      </w:pPr>
      <w:r w:rsidRPr="00074D6D">
        <w:rPr>
          <w:lang w:val="en-GB"/>
        </w:rPr>
        <w:t>a complaint, request for information or otherwise, from a natural person relating to the processing of personal data by the Processor;</w:t>
      </w:r>
    </w:p>
    <w:p w:rsidR="005544AA" w:rsidRPr="00074D6D" w:rsidRDefault="005544AA" w:rsidP="005544AA">
      <w:pPr>
        <w:pStyle w:val="Lijstalinea"/>
        <w:numPr>
          <w:ilvl w:val="2"/>
          <w:numId w:val="22"/>
        </w:numPr>
        <w:rPr>
          <w:lang w:val="en-GB"/>
        </w:rPr>
      </w:pPr>
      <w:r w:rsidRPr="00074D6D">
        <w:rPr>
          <w:lang w:val="en-GB"/>
        </w:rPr>
        <w:t>an investigation into or the seizure by government officials of the personal data or a suspicion that such will occur, unless the Processor is legally not permitted to report this to the Controller;</w:t>
      </w:r>
    </w:p>
    <w:p w:rsidR="005544AA" w:rsidRPr="00074D6D" w:rsidRDefault="005544AA" w:rsidP="005544AA">
      <w:pPr>
        <w:pStyle w:val="Lijstalinea"/>
        <w:numPr>
          <w:ilvl w:val="2"/>
          <w:numId w:val="22"/>
        </w:numPr>
        <w:rPr>
          <w:lang w:val="en-GB"/>
        </w:rPr>
      </w:pPr>
      <w:r w:rsidRPr="00074D6D">
        <w:rPr>
          <w:lang w:val="en-GB"/>
        </w:rPr>
        <w:t xml:space="preserve">any unauthorised access to, processing, alteration or loss of or any form of unlawful processing of the personal data; </w:t>
      </w:r>
    </w:p>
    <w:p w:rsidR="005544AA" w:rsidRPr="00074D6D" w:rsidRDefault="005544AA" w:rsidP="005544AA">
      <w:pPr>
        <w:pStyle w:val="Lijstalinea"/>
        <w:numPr>
          <w:ilvl w:val="2"/>
          <w:numId w:val="22"/>
        </w:numPr>
        <w:rPr>
          <w:lang w:val="en-GB"/>
        </w:rPr>
      </w:pPr>
      <w:r w:rsidRPr="00074D6D">
        <w:rPr>
          <w:lang w:val="en-GB"/>
        </w:rPr>
        <w:t>breach of security and/or confidentiality, as described in articles 3 and 4 of this Data Processing Agreement, which leads to the accidental or unlawful destruction, loss, alteration or unauthorised disclosure of, or access to, the personal data, or any indication that such a breach has occurred or will occur.</w:t>
      </w:r>
    </w:p>
    <w:p w:rsidR="005544AA" w:rsidRPr="00074D6D" w:rsidRDefault="005544AA" w:rsidP="005544AA">
      <w:pPr>
        <w:pStyle w:val="Lijstalinea"/>
        <w:numPr>
          <w:ilvl w:val="1"/>
          <w:numId w:val="22"/>
        </w:numPr>
        <w:rPr>
          <w:lang w:val="en-GB"/>
        </w:rPr>
      </w:pPr>
      <w:r w:rsidRPr="00074D6D">
        <w:rPr>
          <w:lang w:val="en-GB"/>
        </w:rPr>
        <w:t xml:space="preserve">The Processor shall at all times have written procedures in place that enable it to provide the Controller with an immediate reaction to an incident and to cooperate effectively with the Controller in dealing with the incident and shall, on request, provide the Controller with a copy of those procedures. </w:t>
      </w:r>
    </w:p>
    <w:p w:rsidR="005544AA" w:rsidRPr="00074D6D" w:rsidRDefault="005544AA" w:rsidP="005544AA">
      <w:pPr>
        <w:pStyle w:val="Lijstalinea"/>
        <w:numPr>
          <w:ilvl w:val="1"/>
          <w:numId w:val="22"/>
        </w:numPr>
        <w:rPr>
          <w:lang w:val="en-GB"/>
        </w:rPr>
      </w:pPr>
      <w:r w:rsidRPr="00074D6D">
        <w:rPr>
          <w:lang w:val="en-GB"/>
        </w:rPr>
        <w:t xml:space="preserve">Notifications made pursuant to this article shall be sent to the employee of the Controller named in Annex 2 or, where applicable, to such other employee whose identity may be notified in writing by the Controller during the term of this Data Processing Agreement. </w:t>
      </w:r>
    </w:p>
    <w:p w:rsidR="00451994" w:rsidRPr="00074D6D" w:rsidRDefault="005544AA" w:rsidP="005544AA">
      <w:pPr>
        <w:pStyle w:val="Lijstalinea"/>
        <w:numPr>
          <w:ilvl w:val="1"/>
          <w:numId w:val="22"/>
        </w:numPr>
        <w:rPr>
          <w:lang w:val="en-GB"/>
        </w:rPr>
      </w:pPr>
      <w:r w:rsidRPr="00074D6D">
        <w:rPr>
          <w:lang w:val="en-GB"/>
        </w:rPr>
        <w:t>The Controller shall, if it considers it necessary, notify data subjects, regulators and other third parties about incidents. The Processor is not permitted to disclose information about incidents to data subjects or other third parties, except where the Processor is legally obliged to do so.</w:t>
      </w:r>
    </w:p>
    <w:p w:rsidR="00451994" w:rsidRPr="00074D6D" w:rsidRDefault="005544AA" w:rsidP="00D21A3E">
      <w:pPr>
        <w:pStyle w:val="Kop1"/>
        <w:rPr>
          <w:lang w:val="en-GB"/>
        </w:rPr>
      </w:pPr>
      <w:r w:rsidRPr="00074D6D">
        <w:rPr>
          <w:lang w:val="en-GB"/>
        </w:rPr>
        <w:t>Use of subcontractors</w:t>
      </w:r>
    </w:p>
    <w:p w:rsidR="005544AA" w:rsidRPr="00074D6D" w:rsidRDefault="005544AA" w:rsidP="005544AA">
      <w:pPr>
        <w:pStyle w:val="Lijstalinea"/>
        <w:numPr>
          <w:ilvl w:val="1"/>
          <w:numId w:val="22"/>
        </w:numPr>
        <w:rPr>
          <w:lang w:val="en-GB"/>
        </w:rPr>
      </w:pPr>
      <w:r w:rsidRPr="00074D6D">
        <w:rPr>
          <w:lang w:val="en-GB"/>
        </w:rPr>
        <w:t>The Processor shall not outsource activities that wholly or partially consist of the processing of personal data or require that personal data are processed to a third party (“</w:t>
      </w:r>
      <w:r w:rsidRPr="00074D6D">
        <w:rPr>
          <w:b/>
          <w:lang w:val="en-GB"/>
        </w:rPr>
        <w:t>sub-processor</w:t>
      </w:r>
      <w:r w:rsidRPr="00074D6D">
        <w:rPr>
          <w:lang w:val="en-GB"/>
        </w:rPr>
        <w:t xml:space="preserve">”) without the prior written consent of the Controller. </w:t>
      </w:r>
    </w:p>
    <w:p w:rsidR="005544AA" w:rsidRPr="00074D6D" w:rsidRDefault="005544AA" w:rsidP="005544AA">
      <w:pPr>
        <w:pStyle w:val="Lijstalinea"/>
        <w:numPr>
          <w:ilvl w:val="1"/>
          <w:numId w:val="22"/>
        </w:numPr>
        <w:rPr>
          <w:lang w:val="en-GB"/>
        </w:rPr>
      </w:pPr>
      <w:r w:rsidRPr="00074D6D">
        <w:rPr>
          <w:lang w:val="en-GB"/>
        </w:rPr>
        <w:t xml:space="preserve">The Processor shall impose the same or stricter obligations on the sub-processor as it is required to meet itself under this Data Processing Agreement and the law and shall monitor the third party’s compliance with those obligations. </w:t>
      </w:r>
    </w:p>
    <w:p w:rsidR="005544AA" w:rsidRPr="00074D6D" w:rsidRDefault="005544AA" w:rsidP="005544AA">
      <w:pPr>
        <w:pStyle w:val="Lijstalinea"/>
        <w:numPr>
          <w:ilvl w:val="1"/>
          <w:numId w:val="22"/>
        </w:numPr>
        <w:rPr>
          <w:lang w:val="en-GB"/>
        </w:rPr>
      </w:pPr>
      <w:r w:rsidRPr="00074D6D">
        <w:rPr>
          <w:lang w:val="en-GB"/>
        </w:rPr>
        <w:t>Notwithstanding the Controller’s consent to the hiring of a third party, the Processor shall remain fully liable towards the Controller for the consequences of the outsourcing of work to a sub-processor. Regardless of the Controller’s consent to the outsourcing of work to a sub-processor, permission is required for the use of sub-processors in a country outside the EEA without an appropriate level of security in accordance with article 2.5 of this Data Processing Agreement.</w:t>
      </w:r>
    </w:p>
    <w:p w:rsidR="00402E40" w:rsidRPr="00074D6D" w:rsidRDefault="005B2C36" w:rsidP="00402E40">
      <w:pPr>
        <w:pStyle w:val="Kop1"/>
        <w:rPr>
          <w:lang w:val="en-GB"/>
        </w:rPr>
      </w:pPr>
      <w:r w:rsidRPr="00074D6D">
        <w:rPr>
          <w:lang w:val="en-GB"/>
        </w:rPr>
        <w:t>Indemnity</w:t>
      </w:r>
    </w:p>
    <w:p w:rsidR="005B2C36" w:rsidRPr="00074D6D" w:rsidRDefault="005B2C36" w:rsidP="005B2C36">
      <w:pPr>
        <w:pStyle w:val="Lijstalinea"/>
        <w:numPr>
          <w:ilvl w:val="1"/>
          <w:numId w:val="22"/>
        </w:numPr>
        <w:rPr>
          <w:lang w:val="en-GB"/>
        </w:rPr>
      </w:pPr>
      <w:r w:rsidRPr="00074D6D">
        <w:rPr>
          <w:lang w:val="en-GB"/>
        </w:rPr>
        <w:t>The Processor indemnifies the Controller against all claims and actions by third parties and for any losses, damage or costs, including administrative fines and periodic penalty payments, incurred or sustained by the Controller and directly or indirectly ensuing from or caused by the failure of the Processor or a sub-processor to comply with its obligations under this Data Processing Agreement and/or any breach by the Processor or a sub-processor of any legislation applying to the processing of personal data in connection with the Agreement, including in any event the GDPR.</w:t>
      </w:r>
    </w:p>
    <w:p w:rsidR="00402E40" w:rsidRPr="00074D6D" w:rsidRDefault="005B2C36" w:rsidP="005B2C36">
      <w:pPr>
        <w:pStyle w:val="Kop1"/>
        <w:rPr>
          <w:lang w:val="en-GB"/>
        </w:rPr>
      </w:pPr>
      <w:r w:rsidRPr="00074D6D">
        <w:rPr>
          <w:lang w:val="en-GB"/>
        </w:rPr>
        <w:lastRenderedPageBreak/>
        <w:t>Duration and termination</w:t>
      </w:r>
    </w:p>
    <w:p w:rsidR="005B2C36" w:rsidRPr="00074D6D" w:rsidRDefault="005B2C36" w:rsidP="005B2C36">
      <w:pPr>
        <w:pStyle w:val="Lijstalinea"/>
        <w:numPr>
          <w:ilvl w:val="1"/>
          <w:numId w:val="22"/>
        </w:numPr>
        <w:rPr>
          <w:lang w:val="en-GB"/>
        </w:rPr>
      </w:pPr>
      <w:r w:rsidRPr="00074D6D">
        <w:rPr>
          <w:lang w:val="en-GB"/>
        </w:rPr>
        <w:t xml:space="preserve">This Data Processing Agreement shall take effect on </w:t>
      </w:r>
      <w:r w:rsidRPr="00074D6D">
        <w:rPr>
          <w:highlight w:val="yellow"/>
          <w:lang w:val="en-GB"/>
        </w:rPr>
        <w:t>[date]</w:t>
      </w:r>
      <w:r w:rsidRPr="00074D6D">
        <w:rPr>
          <w:lang w:val="en-GB"/>
        </w:rPr>
        <w:t xml:space="preserve"> and is entere</w:t>
      </w:r>
      <w:r w:rsidR="00A575C4" w:rsidRPr="00074D6D">
        <w:rPr>
          <w:lang w:val="en-GB"/>
        </w:rPr>
        <w:t>d into for the duration of the A</w:t>
      </w:r>
      <w:r w:rsidRPr="00074D6D">
        <w:rPr>
          <w:lang w:val="en-GB"/>
        </w:rPr>
        <w:t xml:space="preserve">greement. </w:t>
      </w:r>
    </w:p>
    <w:p w:rsidR="00451994" w:rsidRPr="00074D6D" w:rsidRDefault="005B2C36" w:rsidP="005B2C36">
      <w:pPr>
        <w:pStyle w:val="Lijstalinea"/>
        <w:numPr>
          <w:ilvl w:val="1"/>
          <w:numId w:val="22"/>
        </w:numPr>
        <w:rPr>
          <w:lang w:val="en-GB"/>
        </w:rPr>
      </w:pPr>
      <w:r w:rsidRPr="00074D6D">
        <w:rPr>
          <w:lang w:val="en-GB"/>
        </w:rPr>
        <w:t>Obligations which are by their nature intended to remain in force after termination of this Data Processing Agreement shall continue to apply after termination of the agreement. The relevant obligations include those arising from the provisions concerning confidentiality, liability and the law governing the</w:t>
      </w:r>
      <w:r w:rsidR="00BB62F2" w:rsidRPr="00074D6D">
        <w:rPr>
          <w:lang w:val="en-GB"/>
        </w:rPr>
        <w:t xml:space="preserve"> Data Processing Agreement</w:t>
      </w:r>
      <w:r w:rsidRPr="00074D6D">
        <w:rPr>
          <w:lang w:val="en-GB"/>
        </w:rPr>
        <w:t>.</w:t>
      </w:r>
    </w:p>
    <w:p w:rsidR="00D21A3E" w:rsidRPr="00074D6D" w:rsidRDefault="005B2C36" w:rsidP="00D21A3E">
      <w:pPr>
        <w:pStyle w:val="Kop1"/>
        <w:rPr>
          <w:lang w:val="en-GB"/>
        </w:rPr>
      </w:pPr>
      <w:r w:rsidRPr="00074D6D">
        <w:rPr>
          <w:rFonts w:asciiTheme="minorHAnsi" w:hAnsiTheme="minorHAnsi"/>
          <w:szCs w:val="21"/>
          <w:lang w:val="en-GB"/>
        </w:rPr>
        <w:t>Retention periods, return and destruction of personal data</w:t>
      </w:r>
    </w:p>
    <w:p w:rsidR="005B2C36" w:rsidRPr="00074D6D" w:rsidRDefault="005B2C36" w:rsidP="005B2C36">
      <w:pPr>
        <w:pStyle w:val="Lijstalinea"/>
        <w:numPr>
          <w:ilvl w:val="1"/>
          <w:numId w:val="22"/>
        </w:numPr>
        <w:rPr>
          <w:lang w:val="en-GB"/>
        </w:rPr>
      </w:pPr>
      <w:r w:rsidRPr="00074D6D">
        <w:rPr>
          <w:lang w:val="en-GB"/>
        </w:rPr>
        <w:t xml:space="preserve">The Processor shall not retain the personal data for any longer than is strictly necessary, and in any case not beyond the termination of this Data Processing Agreement or, if the Parties have agreed a period for which the data shall be retained, not longer than that period. </w:t>
      </w:r>
    </w:p>
    <w:p w:rsidR="005B2C36" w:rsidRPr="00074D6D" w:rsidRDefault="005B2C36" w:rsidP="005B2C36">
      <w:pPr>
        <w:pStyle w:val="Lijstalinea"/>
        <w:numPr>
          <w:ilvl w:val="1"/>
          <w:numId w:val="22"/>
        </w:numPr>
        <w:rPr>
          <w:lang w:val="en-GB"/>
        </w:rPr>
      </w:pPr>
      <w:r w:rsidRPr="00074D6D">
        <w:rPr>
          <w:lang w:val="en-GB"/>
        </w:rPr>
        <w:t>On termination of this Data Processing Agreement, or where applicable at the end of the agreed retention period, or at the written request of the Controller, the Processor shall destroy or return the personal data to the Controller, at the discretion of the Controller, unless Union or Member State law requires storage of the personal data. At the request of the Controller, the Processor shall furnish evidence that the data have been destroyed or deleted.</w:t>
      </w:r>
    </w:p>
    <w:p w:rsidR="00D21A3E" w:rsidRPr="00074D6D" w:rsidRDefault="005B2C36" w:rsidP="005B2C36">
      <w:pPr>
        <w:pStyle w:val="Lijstalinea"/>
        <w:numPr>
          <w:ilvl w:val="1"/>
          <w:numId w:val="22"/>
        </w:numPr>
        <w:rPr>
          <w:rFonts w:cs="Arial"/>
          <w:b/>
          <w:bCs/>
          <w:caps/>
          <w:kern w:val="32"/>
          <w:lang w:val="en-GB"/>
        </w:rPr>
      </w:pPr>
      <w:r w:rsidRPr="00074D6D">
        <w:rPr>
          <w:lang w:val="en-GB"/>
        </w:rPr>
        <w:t xml:space="preserve">On termination of the Data Processing Agreement, the Processor shall notify all third parties involved in processing personal data of the termination of the Data Processing Agreement and shall ensure that all involved third parties destroy or return the personal data to the Controller, at the discretion of the Controller. </w:t>
      </w:r>
    </w:p>
    <w:p w:rsidR="00451994" w:rsidRPr="00074D6D" w:rsidRDefault="005B2C36" w:rsidP="005B2C36">
      <w:pPr>
        <w:pStyle w:val="Kop1"/>
        <w:rPr>
          <w:lang w:val="en-GB"/>
        </w:rPr>
      </w:pPr>
      <w:r w:rsidRPr="00074D6D">
        <w:rPr>
          <w:lang w:val="en-GB"/>
        </w:rPr>
        <w:t>Final provisions</w:t>
      </w:r>
    </w:p>
    <w:p w:rsidR="005B2C36" w:rsidRPr="00074D6D" w:rsidRDefault="005B2C36" w:rsidP="005B2C36">
      <w:pPr>
        <w:pStyle w:val="Lijstalinea"/>
        <w:numPr>
          <w:ilvl w:val="1"/>
          <w:numId w:val="22"/>
        </w:numPr>
        <w:rPr>
          <w:lang w:val="en-GB"/>
        </w:rPr>
      </w:pPr>
      <w:r w:rsidRPr="00074D6D">
        <w:rPr>
          <w:lang w:val="en-GB"/>
        </w:rPr>
        <w:t xml:space="preserve">In the event of a conflict between the provisions in this Data Processing Agreement and provisions of the Agreement, the provisions of the Data Processing Agreement shall prevail. </w:t>
      </w:r>
    </w:p>
    <w:p w:rsidR="00FA2176" w:rsidRPr="00074D6D" w:rsidRDefault="005B2C36" w:rsidP="005B2C36">
      <w:pPr>
        <w:pStyle w:val="Lijstalinea"/>
        <w:numPr>
          <w:ilvl w:val="1"/>
          <w:numId w:val="22"/>
        </w:numPr>
        <w:rPr>
          <w:lang w:val="en-GB"/>
        </w:rPr>
      </w:pPr>
      <w:r w:rsidRPr="00074D6D">
        <w:rPr>
          <w:lang w:val="en-GB"/>
        </w:rPr>
        <w:t>This Data Processing Agreement is governed by the law of the Netherlands. The competent court in Amsterdam shall have exclusive jurisdiction to hear disputes concerning or connected with this Data Processing Agreement.</w:t>
      </w:r>
    </w:p>
    <w:p w:rsidR="005B2C36" w:rsidRPr="00074D6D" w:rsidRDefault="005B2C36" w:rsidP="005B2C36">
      <w:pPr>
        <w:pStyle w:val="Lijstalinea"/>
        <w:ind w:left="576"/>
        <w:rPr>
          <w:lang w:val="en-GB"/>
        </w:rPr>
      </w:pP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851"/>
        <w:gridCol w:w="3827"/>
      </w:tblGrid>
      <w:tr w:rsidR="00451994" w:rsidRPr="00074D6D" w:rsidTr="00D268F7">
        <w:tc>
          <w:tcPr>
            <w:tcW w:w="3652" w:type="dxa"/>
          </w:tcPr>
          <w:p w:rsidR="00451994" w:rsidRPr="00074D6D" w:rsidRDefault="00451994" w:rsidP="00D268F7">
            <w:pPr>
              <w:rPr>
                <w:rFonts w:cs="Arial"/>
                <w:szCs w:val="18"/>
                <w:lang w:val="en-GB" w:eastAsia="en-US"/>
              </w:rPr>
            </w:pPr>
            <w:r w:rsidRPr="00074D6D">
              <w:rPr>
                <w:rFonts w:cs="Arial"/>
                <w:szCs w:val="18"/>
                <w:lang w:val="en-GB" w:eastAsia="en-US"/>
              </w:rPr>
              <w:t>Stichting VU</w:t>
            </w:r>
          </w:p>
          <w:p w:rsidR="00451994" w:rsidRPr="00074D6D" w:rsidRDefault="00451994" w:rsidP="00D268F7">
            <w:pPr>
              <w:rPr>
                <w:rFonts w:cs="Arial"/>
                <w:szCs w:val="18"/>
                <w:lang w:val="en-GB" w:eastAsia="en-US"/>
              </w:rPr>
            </w:pPr>
          </w:p>
          <w:p w:rsidR="00451994" w:rsidRPr="00074D6D" w:rsidRDefault="005B2C36" w:rsidP="00D268F7">
            <w:pPr>
              <w:rPr>
                <w:rFonts w:cs="Arial"/>
                <w:szCs w:val="18"/>
                <w:lang w:val="en-GB" w:eastAsia="en-US"/>
              </w:rPr>
            </w:pPr>
            <w:r w:rsidRPr="00074D6D">
              <w:rPr>
                <w:rFonts w:cs="Arial"/>
                <w:szCs w:val="18"/>
                <w:lang w:val="en-GB" w:eastAsia="en-US"/>
              </w:rPr>
              <w:t>Name</w:t>
            </w:r>
            <w:r w:rsidR="00451994" w:rsidRPr="00074D6D">
              <w:rPr>
                <w:rFonts w:cs="Arial"/>
                <w:szCs w:val="18"/>
                <w:lang w:val="en-GB" w:eastAsia="en-US"/>
              </w:rPr>
              <w:t xml:space="preserve">: </w:t>
            </w:r>
            <w:r w:rsidR="003636FF" w:rsidRPr="00074D6D">
              <w:rPr>
                <w:rFonts w:cs="Arial"/>
                <w:szCs w:val="18"/>
                <w:highlight w:val="yellow"/>
                <w:lang w:val="en-GB" w:eastAsia="en-US"/>
              </w:rPr>
              <w:t>[complete</w:t>
            </w:r>
            <w:r w:rsidR="00451994" w:rsidRPr="00074D6D">
              <w:rPr>
                <w:rFonts w:cs="Arial"/>
                <w:szCs w:val="18"/>
                <w:highlight w:val="yellow"/>
                <w:lang w:val="en-GB" w:eastAsia="en-US"/>
              </w:rPr>
              <w:t>]</w:t>
            </w:r>
          </w:p>
          <w:p w:rsidR="00451994" w:rsidRPr="00074D6D" w:rsidRDefault="005B2C36" w:rsidP="00D268F7">
            <w:pPr>
              <w:rPr>
                <w:rFonts w:cs="Arial"/>
                <w:szCs w:val="18"/>
                <w:lang w:val="en-GB" w:eastAsia="en-US"/>
              </w:rPr>
            </w:pPr>
            <w:r w:rsidRPr="00074D6D">
              <w:rPr>
                <w:rFonts w:cs="Arial"/>
                <w:szCs w:val="18"/>
                <w:lang w:val="en-GB" w:eastAsia="en-US"/>
              </w:rPr>
              <w:t>Position</w:t>
            </w:r>
            <w:r w:rsidR="00451994" w:rsidRPr="00074D6D">
              <w:rPr>
                <w:rFonts w:cs="Arial"/>
                <w:szCs w:val="18"/>
                <w:lang w:val="en-GB" w:eastAsia="en-US"/>
              </w:rPr>
              <w:t xml:space="preserve">: </w:t>
            </w:r>
            <w:r w:rsidR="003636FF" w:rsidRPr="00074D6D">
              <w:rPr>
                <w:rFonts w:cs="Arial"/>
                <w:szCs w:val="18"/>
                <w:highlight w:val="yellow"/>
                <w:lang w:val="en-GB" w:eastAsia="en-US"/>
              </w:rPr>
              <w:t>[complete</w:t>
            </w:r>
            <w:r w:rsidR="00451994" w:rsidRPr="00074D6D">
              <w:rPr>
                <w:rFonts w:cs="Arial"/>
                <w:szCs w:val="18"/>
                <w:highlight w:val="yellow"/>
                <w:lang w:val="en-GB" w:eastAsia="en-US"/>
              </w:rPr>
              <w:t>]</w:t>
            </w:r>
            <w:r w:rsidRPr="00074D6D">
              <w:rPr>
                <w:rFonts w:cs="Arial"/>
                <w:szCs w:val="18"/>
                <w:lang w:val="en-GB" w:eastAsia="en-US"/>
              </w:rPr>
              <w:br/>
              <w:t>Place</w:t>
            </w:r>
            <w:r w:rsidR="00451994" w:rsidRPr="00074D6D">
              <w:rPr>
                <w:rFonts w:cs="Arial"/>
                <w:szCs w:val="18"/>
                <w:lang w:val="en-GB" w:eastAsia="en-US"/>
              </w:rPr>
              <w:t xml:space="preserve">: </w:t>
            </w:r>
            <w:r w:rsidR="003636FF" w:rsidRPr="00074D6D">
              <w:rPr>
                <w:rFonts w:cs="Arial"/>
                <w:szCs w:val="18"/>
                <w:highlight w:val="yellow"/>
                <w:lang w:val="en-GB" w:eastAsia="en-US"/>
              </w:rPr>
              <w:t>[complete</w:t>
            </w:r>
            <w:r w:rsidR="00451994" w:rsidRPr="00074D6D">
              <w:rPr>
                <w:rFonts w:cs="Arial"/>
                <w:szCs w:val="18"/>
                <w:highlight w:val="yellow"/>
                <w:lang w:val="en-GB" w:eastAsia="en-US"/>
              </w:rPr>
              <w:t>]</w:t>
            </w: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p w:rsidR="00451994" w:rsidRPr="00074D6D" w:rsidRDefault="005B2C36" w:rsidP="00D268F7">
            <w:pPr>
              <w:rPr>
                <w:rFonts w:cs="Arial"/>
                <w:szCs w:val="18"/>
                <w:lang w:val="en-GB" w:eastAsia="en-US"/>
              </w:rPr>
            </w:pPr>
            <w:r w:rsidRPr="00074D6D">
              <w:rPr>
                <w:rFonts w:cs="Arial"/>
                <w:szCs w:val="18"/>
                <w:lang w:val="en-GB" w:eastAsia="en-US"/>
              </w:rPr>
              <w:t>Date signed: ______________________</w:t>
            </w: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p w:rsidR="00451994" w:rsidRPr="00074D6D" w:rsidRDefault="00451994" w:rsidP="00D268F7">
            <w:pPr>
              <w:rPr>
                <w:rFonts w:cs="Arial"/>
                <w:szCs w:val="18"/>
                <w:lang w:val="en-GB" w:eastAsia="en-US"/>
              </w:rPr>
            </w:pPr>
          </w:p>
        </w:tc>
        <w:tc>
          <w:tcPr>
            <w:tcW w:w="851" w:type="dxa"/>
            <w:tcBorders>
              <w:bottom w:val="nil"/>
            </w:tcBorders>
          </w:tcPr>
          <w:p w:rsidR="00451994" w:rsidRPr="00074D6D" w:rsidRDefault="00451994" w:rsidP="00D268F7">
            <w:pPr>
              <w:rPr>
                <w:rFonts w:cs="Arial"/>
                <w:szCs w:val="18"/>
                <w:lang w:val="en-GB" w:eastAsia="en-US"/>
              </w:rPr>
            </w:pPr>
          </w:p>
        </w:tc>
        <w:tc>
          <w:tcPr>
            <w:tcW w:w="3827" w:type="dxa"/>
          </w:tcPr>
          <w:p w:rsidR="00451994" w:rsidRPr="00074D6D" w:rsidRDefault="00705F50" w:rsidP="00D268F7">
            <w:pPr>
              <w:rPr>
                <w:rFonts w:cs="Arial"/>
                <w:szCs w:val="18"/>
                <w:lang w:val="en-GB" w:eastAsia="en-US"/>
              </w:rPr>
            </w:pPr>
            <w:r w:rsidRPr="00074D6D">
              <w:rPr>
                <w:rFonts w:cs="Arial"/>
                <w:szCs w:val="18"/>
                <w:highlight w:val="yellow"/>
                <w:lang w:val="en-GB" w:eastAsia="en-US"/>
              </w:rPr>
              <w:t>[</w:t>
            </w:r>
            <w:r w:rsidR="005B2C36" w:rsidRPr="00074D6D">
              <w:rPr>
                <w:rFonts w:cs="Arial"/>
                <w:szCs w:val="18"/>
                <w:highlight w:val="yellow"/>
                <w:lang w:val="en-GB" w:eastAsia="en-US"/>
              </w:rPr>
              <w:t>N</w:t>
            </w:r>
            <w:r w:rsidRPr="00074D6D">
              <w:rPr>
                <w:rFonts w:cs="Arial"/>
                <w:szCs w:val="18"/>
                <w:highlight w:val="yellow"/>
                <w:lang w:val="en-GB" w:eastAsia="en-US"/>
              </w:rPr>
              <w:t>ame Processor</w:t>
            </w:r>
            <w:r w:rsidR="00451994" w:rsidRPr="00074D6D">
              <w:rPr>
                <w:rFonts w:cs="Arial"/>
                <w:szCs w:val="18"/>
                <w:highlight w:val="yellow"/>
                <w:lang w:val="en-GB" w:eastAsia="en-US"/>
              </w:rPr>
              <w:t>]</w:t>
            </w:r>
          </w:p>
          <w:p w:rsidR="00451994" w:rsidRPr="00074D6D" w:rsidRDefault="00451994" w:rsidP="00D268F7">
            <w:pPr>
              <w:rPr>
                <w:rFonts w:cs="Arial"/>
                <w:szCs w:val="18"/>
                <w:lang w:val="en-GB" w:eastAsia="en-US"/>
              </w:rPr>
            </w:pPr>
          </w:p>
          <w:p w:rsidR="005B2C36" w:rsidRPr="00074D6D" w:rsidRDefault="005B2C36" w:rsidP="005B2C36">
            <w:pPr>
              <w:rPr>
                <w:rFonts w:cs="Arial"/>
                <w:szCs w:val="18"/>
                <w:lang w:val="en-GB" w:eastAsia="en-US"/>
              </w:rPr>
            </w:pPr>
            <w:r w:rsidRPr="00074D6D">
              <w:rPr>
                <w:rFonts w:cs="Arial"/>
                <w:szCs w:val="18"/>
                <w:lang w:val="en-GB" w:eastAsia="en-US"/>
              </w:rPr>
              <w:t xml:space="preserve">Name: </w:t>
            </w:r>
            <w:r w:rsidR="003636FF" w:rsidRPr="00074D6D">
              <w:rPr>
                <w:rFonts w:cs="Arial"/>
                <w:szCs w:val="18"/>
                <w:highlight w:val="yellow"/>
                <w:lang w:val="en-GB" w:eastAsia="en-US"/>
              </w:rPr>
              <w:t>[complete]</w:t>
            </w:r>
          </w:p>
          <w:p w:rsidR="005B2C36" w:rsidRPr="00074D6D" w:rsidRDefault="005B2C36" w:rsidP="005B2C36">
            <w:pPr>
              <w:rPr>
                <w:rFonts w:cs="Arial"/>
                <w:szCs w:val="18"/>
                <w:lang w:val="en-GB" w:eastAsia="en-US"/>
              </w:rPr>
            </w:pPr>
            <w:r w:rsidRPr="00074D6D">
              <w:rPr>
                <w:rFonts w:cs="Arial"/>
                <w:szCs w:val="18"/>
                <w:lang w:val="en-GB" w:eastAsia="en-US"/>
              </w:rPr>
              <w:t xml:space="preserve">Position: </w:t>
            </w:r>
            <w:r w:rsidR="003636FF" w:rsidRPr="00074D6D">
              <w:rPr>
                <w:rFonts w:cs="Arial"/>
                <w:szCs w:val="18"/>
                <w:highlight w:val="yellow"/>
                <w:lang w:val="en-GB" w:eastAsia="en-US"/>
              </w:rPr>
              <w:t>[complete</w:t>
            </w:r>
            <w:r w:rsidRPr="00074D6D">
              <w:rPr>
                <w:rFonts w:cs="Arial"/>
                <w:szCs w:val="18"/>
                <w:highlight w:val="yellow"/>
                <w:lang w:val="en-GB" w:eastAsia="en-US"/>
              </w:rPr>
              <w:t>]</w:t>
            </w:r>
            <w:r w:rsidRPr="00074D6D">
              <w:rPr>
                <w:rFonts w:cs="Arial"/>
                <w:szCs w:val="18"/>
                <w:lang w:val="en-GB" w:eastAsia="en-US"/>
              </w:rPr>
              <w:br/>
              <w:t xml:space="preserve">Place: </w:t>
            </w:r>
            <w:r w:rsidR="003636FF" w:rsidRPr="00074D6D">
              <w:rPr>
                <w:rFonts w:cs="Arial"/>
                <w:szCs w:val="18"/>
                <w:highlight w:val="yellow"/>
                <w:lang w:val="en-GB" w:eastAsia="en-US"/>
              </w:rPr>
              <w:t>[complete</w:t>
            </w:r>
            <w:r w:rsidRPr="00074D6D">
              <w:rPr>
                <w:rFonts w:cs="Arial"/>
                <w:szCs w:val="18"/>
                <w:highlight w:val="yellow"/>
                <w:lang w:val="en-GB" w:eastAsia="en-US"/>
              </w:rPr>
              <w:t>]</w:t>
            </w:r>
          </w:p>
          <w:p w:rsidR="00451994" w:rsidRPr="00074D6D" w:rsidRDefault="00451994" w:rsidP="00D268F7">
            <w:pPr>
              <w:rPr>
                <w:rFonts w:cs="Arial"/>
                <w:szCs w:val="18"/>
                <w:lang w:val="en-GB" w:eastAsia="en-US"/>
              </w:rPr>
            </w:pPr>
            <w:r w:rsidRPr="00074D6D">
              <w:rPr>
                <w:rFonts w:cs="Arial"/>
                <w:szCs w:val="18"/>
                <w:lang w:val="en-GB" w:eastAsia="en-US"/>
              </w:rPr>
              <w:br/>
            </w:r>
            <w:r w:rsidRPr="00074D6D">
              <w:rPr>
                <w:rFonts w:cs="Arial"/>
                <w:szCs w:val="18"/>
                <w:lang w:val="en-GB" w:eastAsia="en-US"/>
              </w:rPr>
              <w:br/>
            </w:r>
            <w:r w:rsidR="005B2C36" w:rsidRPr="00074D6D">
              <w:rPr>
                <w:rFonts w:cs="Arial"/>
                <w:szCs w:val="18"/>
                <w:lang w:val="en-GB" w:eastAsia="en-US"/>
              </w:rPr>
              <w:t>Date signed</w:t>
            </w:r>
            <w:r w:rsidRPr="00074D6D">
              <w:rPr>
                <w:rFonts w:cs="Arial"/>
                <w:szCs w:val="18"/>
                <w:lang w:val="en-GB" w:eastAsia="en-US"/>
              </w:rPr>
              <w:t xml:space="preserve">: </w:t>
            </w:r>
            <w:r w:rsidR="005B2C36" w:rsidRPr="00074D6D">
              <w:rPr>
                <w:rFonts w:cs="Arial"/>
                <w:szCs w:val="18"/>
                <w:lang w:val="en-GB" w:eastAsia="en-US"/>
              </w:rPr>
              <w:t>_</w:t>
            </w:r>
            <w:r w:rsidRPr="00074D6D">
              <w:rPr>
                <w:rFonts w:cs="Arial"/>
                <w:szCs w:val="18"/>
                <w:lang w:val="en-GB" w:eastAsia="en-US"/>
              </w:rPr>
              <w:t>______________________</w:t>
            </w:r>
          </w:p>
          <w:p w:rsidR="00451994" w:rsidRPr="00074D6D" w:rsidRDefault="00451994" w:rsidP="00D268F7">
            <w:pPr>
              <w:rPr>
                <w:rFonts w:cs="Arial"/>
                <w:szCs w:val="18"/>
                <w:lang w:val="en-GB" w:eastAsia="en-US"/>
              </w:rPr>
            </w:pPr>
          </w:p>
        </w:tc>
      </w:tr>
    </w:tbl>
    <w:p w:rsidR="00451994" w:rsidRPr="00074D6D" w:rsidRDefault="00451994" w:rsidP="00451994">
      <w:pPr>
        <w:rPr>
          <w:lang w:val="en-GB"/>
        </w:rPr>
      </w:pPr>
    </w:p>
    <w:p w:rsidR="0078721B" w:rsidRPr="00074D6D" w:rsidRDefault="00A84C70">
      <w:pPr>
        <w:rPr>
          <w:lang w:val="en-GB"/>
        </w:rPr>
      </w:pPr>
      <w:r w:rsidRPr="00826E97">
        <w:rPr>
          <w:noProof/>
        </w:rPr>
        <mc:AlternateContent>
          <mc:Choice Requires="wps">
            <w:drawing>
              <wp:anchor distT="0" distB="0" distL="114300" distR="114300" simplePos="0" relativeHeight="251659264" behindDoc="0" locked="0" layoutInCell="1" allowOverlap="1">
                <wp:simplePos x="0" y="0"/>
                <wp:positionH relativeFrom="column">
                  <wp:posOffset>3395345</wp:posOffset>
                </wp:positionH>
                <wp:positionV relativeFrom="paragraph">
                  <wp:posOffset>300990</wp:posOffset>
                </wp:positionV>
                <wp:extent cx="3190875" cy="90487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3190875" cy="904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7D63" id="Rechthoek 2" o:spid="_x0000_s1026" style="position:absolute;margin-left:267.35pt;margin-top:23.7pt;width:251.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" fillcolor="white [3212]" strokecolor="white [3212]" strokeweight="2pt"/>
            </w:pict>
          </mc:Fallback>
        </mc:AlternateContent>
      </w:r>
      <w:r w:rsidR="0078721B" w:rsidRPr="00074D6D">
        <w:rPr>
          <w:lang w:val="en-GB"/>
        </w:rPr>
        <w:br w:type="page"/>
      </w:r>
    </w:p>
    <w:p w:rsidR="00A41F68" w:rsidRPr="00074D6D" w:rsidRDefault="005B2C36" w:rsidP="0078721B">
      <w:pPr>
        <w:pStyle w:val="Kop1"/>
        <w:numPr>
          <w:ilvl w:val="0"/>
          <w:numId w:val="0"/>
        </w:numPr>
        <w:rPr>
          <w:lang w:val="en-GB"/>
        </w:rPr>
      </w:pPr>
      <w:r w:rsidRPr="00074D6D">
        <w:rPr>
          <w:lang w:val="en-GB"/>
        </w:rPr>
        <w:lastRenderedPageBreak/>
        <w:t>ANNEX 1: Description of the processing, processing objectives, data subject categories and personal data to be processed</w:t>
      </w:r>
    </w:p>
    <w:p w:rsidR="00705F50" w:rsidRPr="00074D6D" w:rsidRDefault="00705F50" w:rsidP="00705F50">
      <w:pPr>
        <w:rPr>
          <w:lang w:val="en-GB"/>
        </w:rPr>
      </w:pPr>
    </w:p>
    <w:p w:rsidR="005B2C36" w:rsidRPr="00074D6D" w:rsidRDefault="005B2C36" w:rsidP="005B2C36">
      <w:pPr>
        <w:pStyle w:val="Kop2"/>
        <w:rPr>
          <w:lang w:val="en-GB"/>
        </w:rPr>
      </w:pPr>
      <w:r w:rsidRPr="00074D6D">
        <w:rPr>
          <w:lang w:val="en-GB"/>
        </w:rPr>
        <w:t>Description of the processing</w:t>
      </w:r>
    </w:p>
    <w:p w:rsidR="005B2C36" w:rsidRPr="00074D6D" w:rsidRDefault="005B2C36" w:rsidP="005B2C36">
      <w:pPr>
        <w:rPr>
          <w:rFonts w:cs="Arial"/>
          <w:bCs/>
          <w:iCs/>
          <w:szCs w:val="28"/>
          <w:lang w:val="en-GB"/>
        </w:rPr>
      </w:pPr>
      <w:r w:rsidRPr="00074D6D">
        <w:rPr>
          <w:rFonts w:cs="Arial"/>
          <w:bCs/>
          <w:iCs/>
          <w:szCs w:val="28"/>
          <w:highlight w:val="yellow"/>
          <w:lang w:val="en-GB"/>
        </w:rPr>
        <w:t>[Please describe shortly the processing activities of the Processor]</w:t>
      </w: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pStyle w:val="Kop2"/>
        <w:rPr>
          <w:lang w:val="en-GB"/>
        </w:rPr>
      </w:pPr>
      <w:r w:rsidRPr="00074D6D">
        <w:rPr>
          <w:lang w:val="en-GB"/>
        </w:rPr>
        <w:t>Processing objectives</w:t>
      </w:r>
    </w:p>
    <w:p w:rsidR="005B2C36" w:rsidRPr="00074D6D" w:rsidRDefault="005B2C36" w:rsidP="005B2C36">
      <w:pPr>
        <w:rPr>
          <w:rFonts w:cs="Arial"/>
          <w:bCs/>
          <w:iCs/>
          <w:szCs w:val="28"/>
          <w:lang w:val="en-GB"/>
        </w:rPr>
      </w:pPr>
      <w:r w:rsidRPr="00074D6D">
        <w:rPr>
          <w:rFonts w:cs="Arial"/>
          <w:bCs/>
          <w:iCs/>
          <w:szCs w:val="28"/>
          <w:lang w:val="en-GB"/>
        </w:rPr>
        <w:t xml:space="preserve">The personal data will be processed by Processor on behalf of the Controller with the following objectives: </w:t>
      </w:r>
    </w:p>
    <w:p w:rsidR="005B2C36" w:rsidRPr="00074D6D" w:rsidRDefault="00705F50" w:rsidP="005B2C36">
      <w:pPr>
        <w:rPr>
          <w:rFonts w:cs="Arial"/>
          <w:bCs/>
          <w:iCs/>
          <w:szCs w:val="28"/>
          <w:lang w:val="en-GB"/>
        </w:rPr>
      </w:pPr>
      <w:r w:rsidRPr="00074D6D">
        <w:rPr>
          <w:rFonts w:cs="Arial"/>
          <w:bCs/>
          <w:iCs/>
          <w:szCs w:val="28"/>
          <w:highlight w:val="yellow"/>
          <w:lang w:val="en-GB"/>
        </w:rPr>
        <w:t>[</w:t>
      </w:r>
      <w:r w:rsidR="003636FF" w:rsidRPr="00074D6D">
        <w:rPr>
          <w:rFonts w:cs="Arial"/>
          <w:bCs/>
          <w:iCs/>
          <w:szCs w:val="28"/>
          <w:highlight w:val="yellow"/>
          <w:lang w:val="en-GB"/>
        </w:rPr>
        <w:t>complete</w:t>
      </w:r>
      <w:r w:rsidR="005B2C36" w:rsidRPr="00074D6D">
        <w:rPr>
          <w:rFonts w:cs="Arial"/>
          <w:bCs/>
          <w:iCs/>
          <w:szCs w:val="28"/>
          <w:highlight w:val="yellow"/>
          <w:lang w:val="en-GB"/>
        </w:rPr>
        <w:t>]</w:t>
      </w: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pStyle w:val="Kop2"/>
        <w:rPr>
          <w:lang w:val="en-GB"/>
        </w:rPr>
      </w:pPr>
      <w:r w:rsidRPr="00074D6D">
        <w:rPr>
          <w:lang w:val="en-GB"/>
        </w:rPr>
        <w:t>Categories of data subjects</w:t>
      </w:r>
    </w:p>
    <w:p w:rsidR="005B2C36" w:rsidRPr="00074D6D" w:rsidRDefault="005B2C36" w:rsidP="005B2C36">
      <w:pPr>
        <w:rPr>
          <w:rFonts w:cs="Arial"/>
          <w:bCs/>
          <w:iCs/>
          <w:szCs w:val="28"/>
          <w:lang w:val="en-GB"/>
        </w:rPr>
      </w:pPr>
      <w:r w:rsidRPr="00074D6D">
        <w:rPr>
          <w:rFonts w:cs="Arial"/>
          <w:bCs/>
          <w:iCs/>
          <w:szCs w:val="28"/>
          <w:lang w:val="en-GB"/>
        </w:rPr>
        <w:t>The personal data of the following categories of data subjects will be processed by Processor on behalf of the Controller:</w:t>
      </w:r>
    </w:p>
    <w:p w:rsidR="003636FF" w:rsidRPr="00074D6D" w:rsidRDefault="003636FF" w:rsidP="003636FF">
      <w:pPr>
        <w:rPr>
          <w:rFonts w:cs="Arial"/>
          <w:bCs/>
          <w:iCs/>
          <w:szCs w:val="28"/>
          <w:lang w:val="en-GB"/>
        </w:rPr>
      </w:pPr>
      <w:r w:rsidRPr="00074D6D">
        <w:rPr>
          <w:rFonts w:cs="Arial"/>
          <w:bCs/>
          <w:iCs/>
          <w:szCs w:val="28"/>
          <w:highlight w:val="yellow"/>
          <w:lang w:val="en-GB"/>
        </w:rPr>
        <w:t>[complete]</w:t>
      </w: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rPr>
          <w:rFonts w:cs="Arial"/>
          <w:bCs/>
          <w:iCs/>
          <w:szCs w:val="28"/>
          <w:lang w:val="en-GB"/>
        </w:rPr>
      </w:pPr>
    </w:p>
    <w:p w:rsidR="005B2C36" w:rsidRPr="00074D6D" w:rsidRDefault="005B2C36" w:rsidP="005B2C36">
      <w:pPr>
        <w:pStyle w:val="Kop2"/>
        <w:rPr>
          <w:lang w:val="en-GB"/>
        </w:rPr>
      </w:pPr>
      <w:r w:rsidRPr="00074D6D">
        <w:rPr>
          <w:lang w:val="en-GB"/>
        </w:rPr>
        <w:t xml:space="preserve">(Categories of) Personal data </w:t>
      </w:r>
    </w:p>
    <w:p w:rsidR="0078721B" w:rsidRPr="00074D6D" w:rsidRDefault="005B2C36" w:rsidP="005B2C36">
      <w:pPr>
        <w:rPr>
          <w:lang w:val="en-GB"/>
        </w:rPr>
      </w:pPr>
      <w:r w:rsidRPr="00074D6D">
        <w:rPr>
          <w:rFonts w:cs="Arial"/>
          <w:bCs/>
          <w:iCs/>
          <w:szCs w:val="28"/>
          <w:lang w:val="en-GB"/>
        </w:rPr>
        <w:t>The following (categories) of personal data will be processed by Processor on behalf of the Controller:</w:t>
      </w:r>
    </w:p>
    <w:p w:rsidR="003636FF" w:rsidRPr="00074D6D" w:rsidRDefault="003636FF" w:rsidP="003636FF">
      <w:pPr>
        <w:rPr>
          <w:rFonts w:cs="Arial"/>
          <w:bCs/>
          <w:iCs/>
          <w:szCs w:val="28"/>
          <w:lang w:val="en-GB"/>
        </w:rPr>
      </w:pPr>
      <w:r w:rsidRPr="00074D6D">
        <w:rPr>
          <w:rFonts w:cs="Arial"/>
          <w:bCs/>
          <w:iCs/>
          <w:szCs w:val="28"/>
          <w:highlight w:val="yellow"/>
          <w:lang w:val="en-GB"/>
        </w:rPr>
        <w:t>[complete]</w:t>
      </w:r>
    </w:p>
    <w:p w:rsidR="00705F50" w:rsidRPr="00074D6D" w:rsidRDefault="00705F50" w:rsidP="00705F50">
      <w:pPr>
        <w:rPr>
          <w:rFonts w:cs="Arial"/>
          <w:bCs/>
          <w:iCs/>
          <w:szCs w:val="28"/>
          <w:lang w:val="en-GB"/>
        </w:rPr>
      </w:pPr>
    </w:p>
    <w:p w:rsidR="005B2C36" w:rsidRPr="00074D6D" w:rsidRDefault="005B2C36" w:rsidP="005B2C36">
      <w:pPr>
        <w:rPr>
          <w:lang w:val="en-GB"/>
        </w:rPr>
      </w:pPr>
    </w:p>
    <w:p w:rsidR="005B2C36" w:rsidRPr="00074D6D" w:rsidRDefault="005B2C36">
      <w:pPr>
        <w:rPr>
          <w:lang w:val="en-GB"/>
        </w:rPr>
      </w:pPr>
      <w:r w:rsidRPr="00074D6D">
        <w:rPr>
          <w:lang w:val="en-GB"/>
        </w:rPr>
        <w:br w:type="page"/>
      </w:r>
    </w:p>
    <w:p w:rsidR="0078721B" w:rsidRPr="00074D6D" w:rsidRDefault="00705F50" w:rsidP="0078721B">
      <w:pPr>
        <w:pStyle w:val="Kop1"/>
        <w:numPr>
          <w:ilvl w:val="0"/>
          <w:numId w:val="0"/>
        </w:numPr>
        <w:rPr>
          <w:lang w:val="en-GB"/>
        </w:rPr>
      </w:pPr>
      <w:r w:rsidRPr="00074D6D">
        <w:rPr>
          <w:lang w:val="en-GB"/>
        </w:rPr>
        <w:lastRenderedPageBreak/>
        <w:t>ANNEX</w:t>
      </w:r>
      <w:r w:rsidR="0078721B" w:rsidRPr="00074D6D">
        <w:rPr>
          <w:lang w:val="en-GB"/>
        </w:rPr>
        <w:t xml:space="preserve"> 2: Contact</w:t>
      </w:r>
      <w:r w:rsidR="005B2C36" w:rsidRPr="00074D6D">
        <w:rPr>
          <w:lang w:val="en-GB"/>
        </w:rPr>
        <w:t xml:space="preserve"> details</w:t>
      </w:r>
    </w:p>
    <w:p w:rsidR="00705F50" w:rsidRPr="00074D6D" w:rsidRDefault="00705F50" w:rsidP="00705F50">
      <w:pPr>
        <w:rPr>
          <w:lang w:val="en-GB"/>
        </w:rPr>
      </w:pPr>
    </w:p>
    <w:p w:rsidR="0078721B" w:rsidRPr="00074D6D" w:rsidRDefault="005B2C36" w:rsidP="0078721B">
      <w:pPr>
        <w:pStyle w:val="Kop2"/>
        <w:rPr>
          <w:lang w:val="en-GB"/>
        </w:rPr>
      </w:pPr>
      <w:r w:rsidRPr="00074D6D">
        <w:rPr>
          <w:lang w:val="en-GB"/>
        </w:rPr>
        <w:t>First</w:t>
      </w:r>
      <w:r w:rsidR="007D7E01" w:rsidRPr="00074D6D">
        <w:rPr>
          <w:lang w:val="en-GB"/>
        </w:rPr>
        <w:t xml:space="preserve"> c</w:t>
      </w:r>
      <w:r w:rsidR="0078721B" w:rsidRPr="00074D6D">
        <w:rPr>
          <w:lang w:val="en-GB"/>
        </w:rPr>
        <w:t>ontact VU:</w:t>
      </w:r>
    </w:p>
    <w:p w:rsidR="0078721B" w:rsidRPr="00074D6D" w:rsidRDefault="005B2C36" w:rsidP="0078721B">
      <w:pPr>
        <w:rPr>
          <w:rFonts w:cs="Arial"/>
          <w:bCs/>
          <w:iCs/>
          <w:szCs w:val="28"/>
          <w:lang w:val="en-GB"/>
        </w:rPr>
      </w:pPr>
      <w:r w:rsidRPr="00074D6D">
        <w:rPr>
          <w:lang w:val="en-GB"/>
        </w:rPr>
        <w:t>Name</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5B2C36" w:rsidP="0078721B">
      <w:pPr>
        <w:rPr>
          <w:rFonts w:cs="Arial"/>
          <w:bCs/>
          <w:iCs/>
          <w:szCs w:val="28"/>
          <w:lang w:val="en-GB"/>
        </w:rPr>
      </w:pPr>
      <w:r w:rsidRPr="00074D6D">
        <w:rPr>
          <w:lang w:val="en-GB"/>
        </w:rPr>
        <w:t>Position</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78721B" w:rsidP="0078721B">
      <w:pPr>
        <w:rPr>
          <w:rFonts w:cs="Arial"/>
          <w:bCs/>
          <w:iCs/>
          <w:szCs w:val="28"/>
          <w:lang w:val="en-GB"/>
        </w:rPr>
      </w:pPr>
      <w:r w:rsidRPr="00074D6D">
        <w:rPr>
          <w:lang w:val="en-GB"/>
        </w:rPr>
        <w:t xml:space="preserve">E-mail: </w:t>
      </w:r>
      <w:r w:rsidR="003636FF" w:rsidRPr="00074D6D">
        <w:rPr>
          <w:rFonts w:cs="Arial"/>
          <w:bCs/>
          <w:iCs/>
          <w:szCs w:val="28"/>
          <w:highlight w:val="yellow"/>
          <w:lang w:val="en-GB"/>
        </w:rPr>
        <w:t>[complete]</w:t>
      </w:r>
    </w:p>
    <w:p w:rsidR="0078721B" w:rsidRPr="00074D6D" w:rsidRDefault="005B2C36" w:rsidP="0078721B">
      <w:pPr>
        <w:rPr>
          <w:rFonts w:cs="Arial"/>
          <w:bCs/>
          <w:iCs/>
          <w:szCs w:val="28"/>
          <w:lang w:val="en-GB"/>
        </w:rPr>
      </w:pPr>
      <w:r w:rsidRPr="00074D6D">
        <w:rPr>
          <w:lang w:val="en-GB"/>
        </w:rPr>
        <w:t>Telephone</w:t>
      </w:r>
      <w:r w:rsidR="00705F50" w:rsidRPr="00074D6D">
        <w:rPr>
          <w:lang w:val="en-GB"/>
        </w:rPr>
        <w:t xml:space="preserve">: </w:t>
      </w:r>
      <w:r w:rsidR="003636FF" w:rsidRPr="00074D6D">
        <w:rPr>
          <w:rFonts w:cs="Arial"/>
          <w:bCs/>
          <w:iCs/>
          <w:szCs w:val="28"/>
          <w:highlight w:val="yellow"/>
          <w:lang w:val="en-GB"/>
        </w:rPr>
        <w:t>[complete]</w:t>
      </w:r>
    </w:p>
    <w:p w:rsidR="007D7E01" w:rsidRPr="00074D6D" w:rsidRDefault="007D7E01" w:rsidP="0078721B">
      <w:pPr>
        <w:rPr>
          <w:lang w:val="en-GB"/>
        </w:rPr>
      </w:pPr>
    </w:p>
    <w:p w:rsidR="007D7E01" w:rsidRPr="00074D6D" w:rsidRDefault="005B2C36" w:rsidP="007D7E01">
      <w:pPr>
        <w:pStyle w:val="Kop2"/>
        <w:rPr>
          <w:lang w:val="en-GB"/>
        </w:rPr>
      </w:pPr>
      <w:r w:rsidRPr="00074D6D">
        <w:rPr>
          <w:lang w:val="en-GB"/>
        </w:rPr>
        <w:t>Second</w:t>
      </w:r>
      <w:r w:rsidR="00074D6D" w:rsidRPr="00074D6D">
        <w:rPr>
          <w:lang w:val="en-GB"/>
        </w:rPr>
        <w:t xml:space="preserve"> line of</w:t>
      </w:r>
      <w:r w:rsidRPr="00074D6D">
        <w:rPr>
          <w:lang w:val="en-GB"/>
        </w:rPr>
        <w:t xml:space="preserve"> contact</w:t>
      </w:r>
      <w:r w:rsidR="007D7E01" w:rsidRPr="00074D6D">
        <w:rPr>
          <w:lang w:val="en-GB"/>
        </w:rPr>
        <w:t xml:space="preserve"> VU:</w:t>
      </w:r>
    </w:p>
    <w:p w:rsidR="00074D6D" w:rsidRPr="00826E97" w:rsidRDefault="00826E97" w:rsidP="00074D6D">
      <w:pPr>
        <w:rPr>
          <w:lang w:val="en-GB"/>
        </w:rPr>
      </w:pPr>
      <w:r>
        <w:rPr>
          <w:lang w:val="en-GB"/>
        </w:rPr>
        <w:t>Position</w:t>
      </w:r>
      <w:r w:rsidR="00074D6D" w:rsidRPr="00826E97">
        <w:rPr>
          <w:lang w:val="en-GB"/>
        </w:rPr>
        <w:t>: Data Protection Officer</w:t>
      </w:r>
    </w:p>
    <w:p w:rsidR="00074D6D" w:rsidRPr="00826E97" w:rsidRDefault="00074D6D" w:rsidP="00074D6D">
      <w:pPr>
        <w:rPr>
          <w:lang w:val="en-GB"/>
        </w:rPr>
      </w:pPr>
      <w:r w:rsidRPr="00826E97">
        <w:rPr>
          <w:lang w:val="en-GB"/>
        </w:rPr>
        <w:t xml:space="preserve">E-mail: </w:t>
      </w:r>
      <w:hyperlink r:id="rId9" w:history="1">
        <w:r w:rsidRPr="00826E97">
          <w:rPr>
            <w:rStyle w:val="Hyperlink"/>
            <w:lang w:val="en-GB"/>
          </w:rPr>
          <w:t>functionarisgegevensbescherming@vu.nl</w:t>
        </w:r>
      </w:hyperlink>
    </w:p>
    <w:p w:rsidR="00074D6D" w:rsidRPr="00826E97" w:rsidRDefault="00074D6D" w:rsidP="00074D6D">
      <w:pPr>
        <w:rPr>
          <w:lang w:val="en-GB"/>
        </w:rPr>
      </w:pPr>
    </w:p>
    <w:p w:rsidR="00074D6D" w:rsidRPr="00826E97" w:rsidRDefault="00074D6D" w:rsidP="00074D6D">
      <w:pPr>
        <w:rPr>
          <w:lang w:val="en-GB"/>
        </w:rPr>
      </w:pPr>
      <w:r w:rsidRPr="00826E97">
        <w:rPr>
          <w:lang w:val="en-GB"/>
        </w:rPr>
        <w:t>Position: Security and Operations Control Center</w:t>
      </w:r>
    </w:p>
    <w:p w:rsidR="0078721B" w:rsidRPr="00074D6D" w:rsidRDefault="00074D6D" w:rsidP="0078721B">
      <w:pPr>
        <w:rPr>
          <w:lang w:val="en-GB"/>
        </w:rPr>
      </w:pPr>
      <w:r w:rsidRPr="00826E97">
        <w:rPr>
          <w:lang w:val="en-GB"/>
        </w:rPr>
        <w:t xml:space="preserve">E-mail: </w:t>
      </w:r>
      <w:hyperlink r:id="rId10" w:history="1">
        <w:r w:rsidRPr="00826E97">
          <w:rPr>
            <w:rStyle w:val="Hyperlink"/>
            <w:lang w:val="en-GB"/>
          </w:rPr>
          <w:t>socc.secure@vu.nl</w:t>
        </w:r>
      </w:hyperlink>
    </w:p>
    <w:p w:rsidR="005B2C36" w:rsidRPr="00074D6D" w:rsidRDefault="005B2C36" w:rsidP="0078721B">
      <w:pPr>
        <w:rPr>
          <w:lang w:val="en-GB"/>
        </w:rPr>
      </w:pPr>
    </w:p>
    <w:p w:rsidR="0078721B" w:rsidRPr="00074D6D" w:rsidRDefault="005B2C36" w:rsidP="0078721B">
      <w:pPr>
        <w:pStyle w:val="Kop2"/>
        <w:rPr>
          <w:lang w:val="en-GB"/>
        </w:rPr>
      </w:pPr>
      <w:r w:rsidRPr="00074D6D">
        <w:rPr>
          <w:lang w:val="en-GB"/>
        </w:rPr>
        <w:t>First contact</w:t>
      </w:r>
      <w:r w:rsidR="0078721B" w:rsidRPr="00074D6D">
        <w:rPr>
          <w:lang w:val="en-GB"/>
        </w:rPr>
        <w:t>:</w:t>
      </w:r>
    </w:p>
    <w:p w:rsidR="0078721B" w:rsidRPr="00074D6D" w:rsidRDefault="005B2C36" w:rsidP="0078721B">
      <w:pPr>
        <w:rPr>
          <w:rFonts w:cs="Arial"/>
          <w:bCs/>
          <w:iCs/>
          <w:szCs w:val="28"/>
          <w:lang w:val="en-GB"/>
        </w:rPr>
      </w:pPr>
      <w:r w:rsidRPr="00074D6D">
        <w:rPr>
          <w:lang w:val="en-GB"/>
        </w:rPr>
        <w:t>Name</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5B2C36" w:rsidP="0078721B">
      <w:pPr>
        <w:rPr>
          <w:rFonts w:cs="Arial"/>
          <w:bCs/>
          <w:iCs/>
          <w:szCs w:val="28"/>
          <w:lang w:val="en-GB"/>
        </w:rPr>
      </w:pPr>
      <w:r w:rsidRPr="00074D6D">
        <w:rPr>
          <w:lang w:val="en-GB"/>
        </w:rPr>
        <w:t>Position</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78721B" w:rsidP="0078721B">
      <w:pPr>
        <w:rPr>
          <w:rFonts w:cs="Arial"/>
          <w:bCs/>
          <w:iCs/>
          <w:szCs w:val="28"/>
          <w:lang w:val="en-GB"/>
        </w:rPr>
      </w:pPr>
      <w:r w:rsidRPr="00074D6D">
        <w:rPr>
          <w:lang w:val="en-GB"/>
        </w:rPr>
        <w:t xml:space="preserve">E-mail: </w:t>
      </w:r>
      <w:r w:rsidR="003636FF" w:rsidRPr="00074D6D">
        <w:rPr>
          <w:rFonts w:cs="Arial"/>
          <w:bCs/>
          <w:iCs/>
          <w:szCs w:val="28"/>
          <w:highlight w:val="yellow"/>
          <w:lang w:val="en-GB"/>
        </w:rPr>
        <w:t>[complete]</w:t>
      </w:r>
    </w:p>
    <w:p w:rsidR="0078721B" w:rsidRPr="00074D6D" w:rsidRDefault="005B2C36" w:rsidP="0078721B">
      <w:pPr>
        <w:rPr>
          <w:rFonts w:cs="Arial"/>
          <w:bCs/>
          <w:iCs/>
          <w:szCs w:val="28"/>
          <w:lang w:val="en-GB"/>
        </w:rPr>
      </w:pPr>
      <w:r w:rsidRPr="00074D6D">
        <w:rPr>
          <w:lang w:val="en-GB"/>
        </w:rPr>
        <w:t>Telephone</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78721B" w:rsidP="0078721B">
      <w:pPr>
        <w:rPr>
          <w:lang w:val="en-GB"/>
        </w:rPr>
      </w:pPr>
    </w:p>
    <w:p w:rsidR="0078721B" w:rsidRPr="00074D6D" w:rsidRDefault="005B2C36" w:rsidP="0078721B">
      <w:pPr>
        <w:pStyle w:val="Kop2"/>
        <w:rPr>
          <w:lang w:val="en-GB"/>
        </w:rPr>
      </w:pPr>
      <w:r w:rsidRPr="00074D6D">
        <w:rPr>
          <w:lang w:val="en-GB"/>
        </w:rPr>
        <w:t>Second contact</w:t>
      </w:r>
      <w:r w:rsidR="0078721B" w:rsidRPr="00074D6D">
        <w:rPr>
          <w:lang w:val="en-GB"/>
        </w:rPr>
        <w:t>:</w:t>
      </w:r>
    </w:p>
    <w:p w:rsidR="0078721B" w:rsidRPr="00074D6D" w:rsidRDefault="005B2C36" w:rsidP="0078721B">
      <w:pPr>
        <w:rPr>
          <w:rFonts w:cs="Arial"/>
          <w:bCs/>
          <w:iCs/>
          <w:szCs w:val="28"/>
          <w:lang w:val="en-GB"/>
        </w:rPr>
      </w:pPr>
      <w:r w:rsidRPr="00074D6D">
        <w:rPr>
          <w:lang w:val="en-GB"/>
        </w:rPr>
        <w:t>Name</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5B2C36" w:rsidP="0078721B">
      <w:pPr>
        <w:rPr>
          <w:rFonts w:cs="Arial"/>
          <w:bCs/>
          <w:iCs/>
          <w:szCs w:val="28"/>
          <w:lang w:val="en-GB"/>
        </w:rPr>
      </w:pPr>
      <w:r w:rsidRPr="00074D6D">
        <w:rPr>
          <w:lang w:val="en-GB"/>
        </w:rPr>
        <w:t>Position</w:t>
      </w:r>
      <w:r w:rsidR="0078721B" w:rsidRPr="00074D6D">
        <w:rPr>
          <w:lang w:val="en-GB"/>
        </w:rPr>
        <w:t xml:space="preserve">: </w:t>
      </w:r>
      <w:r w:rsidR="003636FF" w:rsidRPr="00074D6D">
        <w:rPr>
          <w:rFonts w:cs="Arial"/>
          <w:bCs/>
          <w:iCs/>
          <w:szCs w:val="28"/>
          <w:highlight w:val="yellow"/>
          <w:lang w:val="en-GB"/>
        </w:rPr>
        <w:t>[complete]</w:t>
      </w:r>
    </w:p>
    <w:p w:rsidR="0078721B" w:rsidRPr="00074D6D" w:rsidRDefault="0078721B" w:rsidP="0078721B">
      <w:pPr>
        <w:rPr>
          <w:rFonts w:cs="Arial"/>
          <w:bCs/>
          <w:iCs/>
          <w:szCs w:val="28"/>
          <w:lang w:val="en-GB"/>
        </w:rPr>
      </w:pPr>
      <w:r w:rsidRPr="00074D6D">
        <w:rPr>
          <w:lang w:val="en-GB"/>
        </w:rPr>
        <w:t xml:space="preserve">E-mail: </w:t>
      </w:r>
      <w:r w:rsidR="003636FF" w:rsidRPr="00074D6D">
        <w:rPr>
          <w:rFonts w:cs="Arial"/>
          <w:bCs/>
          <w:iCs/>
          <w:szCs w:val="28"/>
          <w:highlight w:val="yellow"/>
          <w:lang w:val="en-GB"/>
        </w:rPr>
        <w:t>[complete]</w:t>
      </w:r>
    </w:p>
    <w:p w:rsidR="003636FF" w:rsidRPr="00074D6D" w:rsidRDefault="005B2C36" w:rsidP="003636FF">
      <w:pPr>
        <w:rPr>
          <w:rFonts w:cs="Arial"/>
          <w:bCs/>
          <w:iCs/>
          <w:szCs w:val="28"/>
          <w:lang w:val="en-GB"/>
        </w:rPr>
      </w:pPr>
      <w:r w:rsidRPr="00074D6D">
        <w:rPr>
          <w:lang w:val="en-GB"/>
        </w:rPr>
        <w:t>Telephone</w:t>
      </w:r>
      <w:r w:rsidR="0078721B" w:rsidRPr="00074D6D">
        <w:rPr>
          <w:lang w:val="en-GB"/>
        </w:rPr>
        <w:t xml:space="preserve">: </w:t>
      </w:r>
      <w:r w:rsidR="003636FF" w:rsidRPr="00074D6D">
        <w:rPr>
          <w:rFonts w:cs="Arial"/>
          <w:bCs/>
          <w:iCs/>
          <w:szCs w:val="28"/>
          <w:highlight w:val="yellow"/>
          <w:lang w:val="en-GB"/>
        </w:rPr>
        <w:t>[complete]</w:t>
      </w:r>
    </w:p>
    <w:p w:rsidR="00640DF3" w:rsidRPr="00074D6D" w:rsidRDefault="00640DF3" w:rsidP="00640DF3">
      <w:pPr>
        <w:rPr>
          <w:rFonts w:cs="Arial"/>
          <w:bCs/>
          <w:iCs/>
          <w:szCs w:val="28"/>
          <w:lang w:val="en-GB"/>
        </w:rPr>
      </w:pPr>
    </w:p>
    <w:p w:rsidR="0078721B" w:rsidRPr="00074D6D" w:rsidRDefault="0078721B" w:rsidP="0078721B">
      <w:pPr>
        <w:rPr>
          <w:lang w:val="en-GB"/>
        </w:rPr>
      </w:pPr>
    </w:p>
    <w:p w:rsidR="00F603C5" w:rsidRPr="00074D6D" w:rsidRDefault="00F603C5">
      <w:pPr>
        <w:rPr>
          <w:lang w:val="en-GB"/>
        </w:rPr>
      </w:pPr>
      <w:r w:rsidRPr="00074D6D">
        <w:rPr>
          <w:lang w:val="en-GB"/>
        </w:rPr>
        <w:br w:type="page"/>
      </w:r>
    </w:p>
    <w:p w:rsidR="00F603C5" w:rsidRPr="00074D6D" w:rsidRDefault="00705F50" w:rsidP="00F603C5">
      <w:pPr>
        <w:pStyle w:val="Kop1"/>
        <w:numPr>
          <w:ilvl w:val="0"/>
          <w:numId w:val="0"/>
        </w:numPr>
        <w:rPr>
          <w:lang w:val="en-GB"/>
        </w:rPr>
      </w:pPr>
      <w:r w:rsidRPr="00074D6D">
        <w:rPr>
          <w:lang w:val="en-GB"/>
        </w:rPr>
        <w:lastRenderedPageBreak/>
        <w:t>ANNEX</w:t>
      </w:r>
      <w:r w:rsidR="00F603C5" w:rsidRPr="00074D6D">
        <w:rPr>
          <w:lang w:val="en-GB"/>
        </w:rPr>
        <w:t xml:space="preserve"> 3: </w:t>
      </w:r>
      <w:r w:rsidR="005B2C36" w:rsidRPr="00074D6D">
        <w:rPr>
          <w:lang w:val="en-GB"/>
        </w:rPr>
        <w:t>Security measures</w:t>
      </w:r>
    </w:p>
    <w:p w:rsidR="00705F50" w:rsidRPr="00074D6D" w:rsidRDefault="00705F50" w:rsidP="00705F50">
      <w:pPr>
        <w:rPr>
          <w:lang w:val="en-GB"/>
        </w:rPr>
      </w:pPr>
    </w:p>
    <w:p w:rsidR="0078721B" w:rsidRPr="00074D6D" w:rsidRDefault="00F603C5" w:rsidP="0078721B">
      <w:pPr>
        <w:rPr>
          <w:lang w:val="en-GB"/>
        </w:rPr>
      </w:pPr>
      <w:r w:rsidRPr="00074D6D">
        <w:rPr>
          <w:highlight w:val="yellow"/>
          <w:lang w:val="en-GB"/>
        </w:rPr>
        <w:t>[</w:t>
      </w:r>
      <w:r w:rsidR="005B2C36" w:rsidRPr="00074D6D">
        <w:rPr>
          <w:highlight w:val="yellow"/>
          <w:lang w:val="en-GB"/>
        </w:rPr>
        <w:t>Insert agreed security measures</w:t>
      </w:r>
      <w:r w:rsidRPr="00074D6D">
        <w:rPr>
          <w:highlight w:val="yellow"/>
          <w:lang w:val="en-GB"/>
        </w:rPr>
        <w:t>]</w:t>
      </w:r>
    </w:p>
    <w:sectPr w:rsidR="0078721B" w:rsidRPr="00074D6D" w:rsidSect="00A84C70">
      <w:headerReference w:type="default" r:id="rId11"/>
      <w:footerReference w:type="default" r:id="rId12"/>
      <w:headerReference w:type="first" r:id="rId13"/>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EC" w:rsidRPr="000E2A4A" w:rsidRDefault="003023EC" w:rsidP="000B48C7">
      <w:pPr>
        <w:rPr>
          <w:sz w:val="19"/>
        </w:rPr>
      </w:pPr>
      <w:r>
        <w:separator/>
      </w:r>
    </w:p>
  </w:endnote>
  <w:endnote w:type="continuationSeparator" w:id="0">
    <w:p w:rsidR="003023EC" w:rsidRPr="000E2A4A" w:rsidRDefault="003023EC"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12"/>
      <w:gridCol w:w="1701"/>
      <w:gridCol w:w="142"/>
      <w:gridCol w:w="1559"/>
    </w:tblGrid>
    <w:tr w:rsidR="00A84C70" w:rsidRPr="00A84C70" w:rsidTr="000624D3">
      <w:trPr>
        <w:trHeight w:hRule="exact" w:val="711"/>
      </w:trPr>
      <w:tc>
        <w:tcPr>
          <w:tcW w:w="5812" w:type="dxa"/>
        </w:tcPr>
        <w:p w:rsidR="00A84C70" w:rsidRPr="00A84C70" w:rsidRDefault="00705F50" w:rsidP="00A84C70">
          <w:pPr>
            <w:pStyle w:val="ContactinfoBold"/>
            <w:rPr>
              <w:szCs w:val="16"/>
              <w:lang w:val="en-GB"/>
            </w:rPr>
          </w:pPr>
          <w:r w:rsidRPr="00705F50">
            <w:rPr>
              <w:szCs w:val="16"/>
              <w:highlight w:val="yellow"/>
              <w:lang w:val="en-GB"/>
            </w:rPr>
            <w:t>Data processing agreement: Stichting VU / [name processor]</w:t>
          </w:r>
        </w:p>
        <w:p w:rsidR="00A84C70" w:rsidRPr="00A84C70" w:rsidRDefault="00705F50" w:rsidP="00A84C70">
          <w:pPr>
            <w:pStyle w:val="ContactinfoBold"/>
            <w:rPr>
              <w:szCs w:val="16"/>
              <w:lang w:val="en-GB"/>
            </w:rPr>
          </w:pPr>
          <w:r w:rsidRPr="00705F50">
            <w:rPr>
              <w:szCs w:val="16"/>
              <w:highlight w:val="yellow"/>
              <w:lang w:val="en-GB"/>
            </w:rPr>
            <w:t>[Subject agreement]</w:t>
          </w:r>
        </w:p>
        <w:p w:rsidR="00A84C70" w:rsidRPr="00A84C70" w:rsidRDefault="00A84C70" w:rsidP="00074D6D">
          <w:pPr>
            <w:pStyle w:val="ContactinfoBold"/>
            <w:rPr>
              <w:szCs w:val="16"/>
              <w:lang w:val="en-GB"/>
            </w:rPr>
          </w:pPr>
          <w:r w:rsidRPr="00A84C70">
            <w:rPr>
              <w:caps w:val="0"/>
              <w:szCs w:val="16"/>
              <w:lang w:val="en-GB"/>
            </w:rPr>
            <w:t>Version:</w:t>
          </w:r>
          <w:r w:rsidRPr="00A84C70">
            <w:rPr>
              <w:szCs w:val="16"/>
              <w:lang w:val="en-GB"/>
            </w:rPr>
            <w:t xml:space="preserve"> </w:t>
          </w:r>
          <w:sdt>
            <w:sdtPr>
              <w:rPr>
                <w:szCs w:val="16"/>
                <w:lang w:val="en-GB"/>
              </w:rPr>
              <w:id w:val="1973556274"/>
              <w:placeholder>
                <w:docPart w:val="CB9B4872453A43188C1AED2B45AA35D8"/>
              </w:placeholder>
              <w:dataBinding w:prefixMappings="xmlns:ns0='http://www.keyscript.nl/huisstijl/UxDocumentForm' " w:xpath="/ns0:variabelen[1]/ns0:UxDocumentForm[1]/ns0:uxVersieField[1]" w:storeItemID="{8887E843-549F-466A-83BA-C256EDE4163D}"/>
              <w:text/>
            </w:sdtPr>
            <w:sdtEndPr/>
            <w:sdtContent>
              <w:r w:rsidR="00074D6D">
                <w:rPr>
                  <w:szCs w:val="16"/>
                  <w:lang w:val="en-GB"/>
                </w:rPr>
                <w:t>4.1</w:t>
              </w:r>
            </w:sdtContent>
          </w:sdt>
        </w:p>
      </w:tc>
      <w:tc>
        <w:tcPr>
          <w:tcW w:w="1701" w:type="dxa"/>
          <w:tcBorders>
            <w:bottom w:val="single" w:sz="4" w:space="0" w:color="auto"/>
          </w:tcBorders>
        </w:tcPr>
        <w:p w:rsidR="00A84C70" w:rsidRPr="00A84C70" w:rsidRDefault="00A84C70" w:rsidP="00705F50">
          <w:pPr>
            <w:pStyle w:val="Contactinfo8"/>
            <w:rPr>
              <w:sz w:val="16"/>
              <w:szCs w:val="16"/>
              <w:lang w:val="en-GB"/>
            </w:rPr>
          </w:pPr>
          <w:r w:rsidRPr="00A84C70">
            <w:rPr>
              <w:sz w:val="16"/>
              <w:szCs w:val="16"/>
              <w:lang w:val="en-GB"/>
            </w:rPr>
            <w:t>Initial Stichting VU</w:t>
          </w:r>
        </w:p>
      </w:tc>
      <w:tc>
        <w:tcPr>
          <w:tcW w:w="142" w:type="dxa"/>
        </w:tcPr>
        <w:p w:rsidR="00A84C70" w:rsidRPr="00A84C70" w:rsidRDefault="00A84C70" w:rsidP="00A84C70">
          <w:pPr>
            <w:pStyle w:val="Versie"/>
            <w:rPr>
              <w:szCs w:val="16"/>
              <w:lang w:val="en-GB"/>
            </w:rPr>
          </w:pPr>
        </w:p>
      </w:tc>
      <w:tc>
        <w:tcPr>
          <w:tcW w:w="1559" w:type="dxa"/>
          <w:tcBorders>
            <w:bottom w:val="single" w:sz="4" w:space="0" w:color="auto"/>
          </w:tcBorders>
        </w:tcPr>
        <w:p w:rsidR="00A84C70" w:rsidRPr="00A84C70" w:rsidRDefault="00A84C70" w:rsidP="00705F50">
          <w:pPr>
            <w:pStyle w:val="Versie"/>
            <w:jc w:val="left"/>
            <w:rPr>
              <w:szCs w:val="16"/>
              <w:lang w:val="en-GB"/>
            </w:rPr>
          </w:pPr>
          <w:r w:rsidRPr="00A84C70">
            <w:rPr>
              <w:szCs w:val="16"/>
              <w:lang w:val="en-GB"/>
            </w:rPr>
            <w:t>Initial Processor</w:t>
          </w:r>
        </w:p>
      </w:tc>
    </w:tr>
  </w:tbl>
  <w:p w:rsidR="00F82620" w:rsidRPr="00A84C70" w:rsidRDefault="00F82620" w:rsidP="00A84C70">
    <w:pPr>
      <w:pStyle w:val="Voettekst"/>
      <w:rPr>
        <w:sz w:val="1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EC" w:rsidRPr="000E2A4A" w:rsidRDefault="003023EC" w:rsidP="000B48C7">
      <w:pPr>
        <w:rPr>
          <w:sz w:val="19"/>
        </w:rPr>
      </w:pPr>
      <w:r>
        <w:separator/>
      </w:r>
    </w:p>
  </w:footnote>
  <w:footnote w:type="continuationSeparator" w:id="0">
    <w:p w:rsidR="003023EC" w:rsidRPr="000E2A4A" w:rsidRDefault="003023EC"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71" w:rsidRDefault="00580B71" w:rsidP="00464E34">
    <w:pPr>
      <w:pStyle w:val="Koptekst"/>
      <w:spacing w:before="340" w:after="1260"/>
    </w:pPr>
    <w:r w:rsidRPr="00FF05E1">
      <w:rPr>
        <w:noProof/>
      </w:rPr>
      <w:drawing>
        <wp:anchor distT="0" distB="0" distL="114300" distR="114300" simplePos="0" relativeHeight="251654656" behindDoc="1" locked="0" layoutInCell="1" allowOverlap="1" wp14:anchorId="5FD39320" wp14:editId="52C02E7B">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7B5AED">
      <w:rPr>
        <w:noProof/>
      </w:rPr>
      <w:t>1</w:t>
    </w:r>
    <w:r w:rsidR="000B61FA">
      <w:rPr>
        <w:noProof/>
      </w:rPr>
      <w:fldChar w:fldCharType="end"/>
    </w:r>
    <w:r>
      <w:t>/</w:t>
    </w:r>
    <w:r w:rsidR="00F75B2C">
      <w:rPr>
        <w:noProof/>
      </w:rPr>
      <w:fldChar w:fldCharType="begin"/>
    </w:r>
    <w:r w:rsidR="00F75B2C">
      <w:rPr>
        <w:noProof/>
      </w:rPr>
      <w:instrText xml:space="preserve"> NUMPAGES   \* MERGEFORMAT </w:instrText>
    </w:r>
    <w:r w:rsidR="00F75B2C">
      <w:rPr>
        <w:noProof/>
      </w:rPr>
      <w:fldChar w:fldCharType="separate"/>
    </w:r>
    <w:r w:rsidR="007B5AED">
      <w:rPr>
        <w:noProof/>
      </w:rPr>
      <w:t>8</w:t>
    </w:r>
    <w:r w:rsidR="00F75B2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71" w:rsidRDefault="00960E05" w:rsidP="00464E34">
    <w:pPr>
      <w:pStyle w:val="Koptekst"/>
      <w:spacing w:after="1600"/>
    </w:pPr>
    <w:r>
      <w:rPr>
        <w:noProof/>
      </w:rPr>
      <w:drawing>
        <wp:anchor distT="0" distB="0" distL="114300" distR="114300" simplePos="0" relativeHeight="251651584" behindDoc="1" locked="0" layoutInCell="1" allowOverlap="1">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033698"/>
    <w:multiLevelType w:val="multilevel"/>
    <w:tmpl w:val="BE4AA8F8"/>
    <w:lvl w:ilvl="0">
      <w:start w:val="1"/>
      <w:numFmt w:val="decimal"/>
      <w:pStyle w:val="Kop1"/>
      <w:lvlText w:val="Artic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lowerLetter"/>
      <w:lvlText w:val="%3."/>
      <w:lvlJc w:val="left"/>
      <w:pPr>
        <w:tabs>
          <w:tab w:val="num" w:pos="1134"/>
        </w:tabs>
        <w:ind w:left="1435" w:hanging="301"/>
      </w:pPr>
      <w:rPr>
        <w:rFonts w:hint="default"/>
        <w:lang w:val="nl-N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3DE63DB"/>
    <w:multiLevelType w:val="multilevel"/>
    <w:tmpl w:val="42CC18D0"/>
    <w:lvl w:ilvl="0">
      <w:start w:val="1"/>
      <w:numFmt w:val="decimal"/>
      <w:lvlText w:val="%1."/>
      <w:lvlJc w:val="left"/>
      <w:pPr>
        <w:ind w:left="720" w:hanging="360"/>
      </w:pPr>
      <w:rPr>
        <w:rFonts w:hint="default"/>
        <w:b w:val="0"/>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170FEF"/>
    <w:multiLevelType w:val="multilevel"/>
    <w:tmpl w:val="FC1E95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0"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4"/>
  </w:num>
  <w:num w:numId="3">
    <w:abstractNumId w:val="12"/>
  </w:num>
  <w:num w:numId="4">
    <w:abstractNumId w:val="20"/>
  </w:num>
  <w:num w:numId="5">
    <w:abstractNumId w:val="19"/>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8"/>
  </w:num>
  <w:num w:numId="19">
    <w:abstractNumId w:val="18"/>
  </w:num>
  <w:num w:numId="20">
    <w:abstractNumId w:val="18"/>
  </w:num>
  <w:num w:numId="21">
    <w:abstractNumId w:val="11"/>
  </w:num>
  <w:num w:numId="22">
    <w:abstractNumId w:val="13"/>
  </w:num>
  <w:num w:numId="23">
    <w:abstractNumId w:val="10"/>
  </w:num>
  <w:num w:numId="24">
    <w:abstractNumId w:val="17"/>
  </w:num>
  <w:num w:numId="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BE678F"/>
    <w:rsid w:val="0002570C"/>
    <w:rsid w:val="000329F9"/>
    <w:rsid w:val="000352B9"/>
    <w:rsid w:val="00050471"/>
    <w:rsid w:val="000529A7"/>
    <w:rsid w:val="00053C64"/>
    <w:rsid w:val="000625D2"/>
    <w:rsid w:val="00063EF6"/>
    <w:rsid w:val="00074941"/>
    <w:rsid w:val="00074D6D"/>
    <w:rsid w:val="00097B05"/>
    <w:rsid w:val="000A0A48"/>
    <w:rsid w:val="000A1488"/>
    <w:rsid w:val="000A1CC2"/>
    <w:rsid w:val="000A4950"/>
    <w:rsid w:val="000B48C7"/>
    <w:rsid w:val="000B51AB"/>
    <w:rsid w:val="000B61FA"/>
    <w:rsid w:val="000C656E"/>
    <w:rsid w:val="000D68DB"/>
    <w:rsid w:val="000D73D1"/>
    <w:rsid w:val="000E7701"/>
    <w:rsid w:val="001022DB"/>
    <w:rsid w:val="00123AA9"/>
    <w:rsid w:val="00124D16"/>
    <w:rsid w:val="00127591"/>
    <w:rsid w:val="00147002"/>
    <w:rsid w:val="00147EBB"/>
    <w:rsid w:val="00166E83"/>
    <w:rsid w:val="0017001D"/>
    <w:rsid w:val="001712F9"/>
    <w:rsid w:val="0017363A"/>
    <w:rsid w:val="001806BB"/>
    <w:rsid w:val="00181572"/>
    <w:rsid w:val="00187507"/>
    <w:rsid w:val="00195C04"/>
    <w:rsid w:val="001A061A"/>
    <w:rsid w:val="001C5880"/>
    <w:rsid w:val="001D1728"/>
    <w:rsid w:val="001D375B"/>
    <w:rsid w:val="001E0608"/>
    <w:rsid w:val="001E0E8E"/>
    <w:rsid w:val="001E4956"/>
    <w:rsid w:val="001F32B1"/>
    <w:rsid w:val="001F5E7F"/>
    <w:rsid w:val="00204087"/>
    <w:rsid w:val="00207681"/>
    <w:rsid w:val="00207BF4"/>
    <w:rsid w:val="00212C98"/>
    <w:rsid w:val="00213CF4"/>
    <w:rsid w:val="002163AB"/>
    <w:rsid w:val="00217D28"/>
    <w:rsid w:val="002207C8"/>
    <w:rsid w:val="0022616E"/>
    <w:rsid w:val="00245962"/>
    <w:rsid w:val="00263FE7"/>
    <w:rsid w:val="00264574"/>
    <w:rsid w:val="00274108"/>
    <w:rsid w:val="00280257"/>
    <w:rsid w:val="00281334"/>
    <w:rsid w:val="002933A4"/>
    <w:rsid w:val="002947A1"/>
    <w:rsid w:val="002A280F"/>
    <w:rsid w:val="002A59F3"/>
    <w:rsid w:val="002B0B27"/>
    <w:rsid w:val="002C5CFE"/>
    <w:rsid w:val="002D1204"/>
    <w:rsid w:val="002D3545"/>
    <w:rsid w:val="002E481B"/>
    <w:rsid w:val="002F4C46"/>
    <w:rsid w:val="002F4DE0"/>
    <w:rsid w:val="003023EC"/>
    <w:rsid w:val="00313A4F"/>
    <w:rsid w:val="00313FDE"/>
    <w:rsid w:val="00315E01"/>
    <w:rsid w:val="00317665"/>
    <w:rsid w:val="00327E87"/>
    <w:rsid w:val="0033320E"/>
    <w:rsid w:val="00333548"/>
    <w:rsid w:val="00342B67"/>
    <w:rsid w:val="0034617E"/>
    <w:rsid w:val="003463C4"/>
    <w:rsid w:val="003474C9"/>
    <w:rsid w:val="00357EE3"/>
    <w:rsid w:val="00361F20"/>
    <w:rsid w:val="003636FF"/>
    <w:rsid w:val="003723B0"/>
    <w:rsid w:val="00372DFC"/>
    <w:rsid w:val="00380B56"/>
    <w:rsid w:val="00393CD9"/>
    <w:rsid w:val="003A6F97"/>
    <w:rsid w:val="003B117C"/>
    <w:rsid w:val="003C72DC"/>
    <w:rsid w:val="003D4BAD"/>
    <w:rsid w:val="003E10E3"/>
    <w:rsid w:val="003E3D79"/>
    <w:rsid w:val="003E4F2A"/>
    <w:rsid w:val="003E7E86"/>
    <w:rsid w:val="003F47D2"/>
    <w:rsid w:val="003F7811"/>
    <w:rsid w:val="00402DCE"/>
    <w:rsid w:val="00402E40"/>
    <w:rsid w:val="00411E08"/>
    <w:rsid w:val="00431546"/>
    <w:rsid w:val="00451994"/>
    <w:rsid w:val="00464558"/>
    <w:rsid w:val="00464E34"/>
    <w:rsid w:val="00466F48"/>
    <w:rsid w:val="004708E9"/>
    <w:rsid w:val="00472D2F"/>
    <w:rsid w:val="00475397"/>
    <w:rsid w:val="0048279E"/>
    <w:rsid w:val="0049310B"/>
    <w:rsid w:val="004964CF"/>
    <w:rsid w:val="004D4E48"/>
    <w:rsid w:val="004E111F"/>
    <w:rsid w:val="004E1A83"/>
    <w:rsid w:val="005006F1"/>
    <w:rsid w:val="00507DD7"/>
    <w:rsid w:val="005544AA"/>
    <w:rsid w:val="0056771E"/>
    <w:rsid w:val="00580B71"/>
    <w:rsid w:val="00582E22"/>
    <w:rsid w:val="005928EF"/>
    <w:rsid w:val="0059668F"/>
    <w:rsid w:val="005A3130"/>
    <w:rsid w:val="005B0FD7"/>
    <w:rsid w:val="005B2A92"/>
    <w:rsid w:val="005B2C36"/>
    <w:rsid w:val="005B775F"/>
    <w:rsid w:val="005C031C"/>
    <w:rsid w:val="005C099E"/>
    <w:rsid w:val="005C28A5"/>
    <w:rsid w:val="005D13C4"/>
    <w:rsid w:val="005D3AEA"/>
    <w:rsid w:val="005D6664"/>
    <w:rsid w:val="005F574F"/>
    <w:rsid w:val="00607178"/>
    <w:rsid w:val="006166FA"/>
    <w:rsid w:val="00622F87"/>
    <w:rsid w:val="00624D04"/>
    <w:rsid w:val="006303D0"/>
    <w:rsid w:val="00636EAE"/>
    <w:rsid w:val="00637F73"/>
    <w:rsid w:val="00640DF3"/>
    <w:rsid w:val="00644984"/>
    <w:rsid w:val="00644B2B"/>
    <w:rsid w:val="00644FD6"/>
    <w:rsid w:val="00653AAD"/>
    <w:rsid w:val="00653DDD"/>
    <w:rsid w:val="006545DC"/>
    <w:rsid w:val="00655596"/>
    <w:rsid w:val="00667082"/>
    <w:rsid w:val="006A0B68"/>
    <w:rsid w:val="006C7744"/>
    <w:rsid w:val="006D4BDD"/>
    <w:rsid w:val="006E4137"/>
    <w:rsid w:val="006F08A7"/>
    <w:rsid w:val="006F36E9"/>
    <w:rsid w:val="006F3AA2"/>
    <w:rsid w:val="006F5F8D"/>
    <w:rsid w:val="00700798"/>
    <w:rsid w:val="007055EB"/>
    <w:rsid w:val="00705F50"/>
    <w:rsid w:val="007146EB"/>
    <w:rsid w:val="00720755"/>
    <w:rsid w:val="00730A35"/>
    <w:rsid w:val="00733164"/>
    <w:rsid w:val="00737203"/>
    <w:rsid w:val="00751EC1"/>
    <w:rsid w:val="00752A9E"/>
    <w:rsid w:val="00766A6E"/>
    <w:rsid w:val="007708A8"/>
    <w:rsid w:val="007767B1"/>
    <w:rsid w:val="00781AE5"/>
    <w:rsid w:val="00781FDC"/>
    <w:rsid w:val="00782D9C"/>
    <w:rsid w:val="00785CAA"/>
    <w:rsid w:val="0078721B"/>
    <w:rsid w:val="0079316F"/>
    <w:rsid w:val="007A2572"/>
    <w:rsid w:val="007A3194"/>
    <w:rsid w:val="007A7842"/>
    <w:rsid w:val="007B5AED"/>
    <w:rsid w:val="007B6200"/>
    <w:rsid w:val="007C4B9A"/>
    <w:rsid w:val="007D0B3F"/>
    <w:rsid w:val="007D7E01"/>
    <w:rsid w:val="007E42D0"/>
    <w:rsid w:val="007E7C18"/>
    <w:rsid w:val="00801BB5"/>
    <w:rsid w:val="00805424"/>
    <w:rsid w:val="00813D12"/>
    <w:rsid w:val="00814A8F"/>
    <w:rsid w:val="008156D5"/>
    <w:rsid w:val="00826E97"/>
    <w:rsid w:val="008415EF"/>
    <w:rsid w:val="008459F3"/>
    <w:rsid w:val="00861CB0"/>
    <w:rsid w:val="00862749"/>
    <w:rsid w:val="00864C0C"/>
    <w:rsid w:val="0086726F"/>
    <w:rsid w:val="00867511"/>
    <w:rsid w:val="00897BBA"/>
    <w:rsid w:val="008B294B"/>
    <w:rsid w:val="008B58D5"/>
    <w:rsid w:val="008B72A1"/>
    <w:rsid w:val="008C1919"/>
    <w:rsid w:val="008D0056"/>
    <w:rsid w:val="008D124D"/>
    <w:rsid w:val="008D5739"/>
    <w:rsid w:val="008D587E"/>
    <w:rsid w:val="008E1B55"/>
    <w:rsid w:val="008E2ABB"/>
    <w:rsid w:val="008F05B6"/>
    <w:rsid w:val="00905589"/>
    <w:rsid w:val="00906EB4"/>
    <w:rsid w:val="00906F3A"/>
    <w:rsid w:val="0091231A"/>
    <w:rsid w:val="00923572"/>
    <w:rsid w:val="00924D8F"/>
    <w:rsid w:val="0092785E"/>
    <w:rsid w:val="0093025D"/>
    <w:rsid w:val="009326CE"/>
    <w:rsid w:val="00934B64"/>
    <w:rsid w:val="00941C2F"/>
    <w:rsid w:val="00942477"/>
    <w:rsid w:val="00943586"/>
    <w:rsid w:val="00956711"/>
    <w:rsid w:val="00960E05"/>
    <w:rsid w:val="009631D6"/>
    <w:rsid w:val="009673E3"/>
    <w:rsid w:val="00970193"/>
    <w:rsid w:val="00985F3D"/>
    <w:rsid w:val="00992063"/>
    <w:rsid w:val="009A6BAD"/>
    <w:rsid w:val="009B4B84"/>
    <w:rsid w:val="009B67DA"/>
    <w:rsid w:val="009C1B16"/>
    <w:rsid w:val="009C34B0"/>
    <w:rsid w:val="009E7C8E"/>
    <w:rsid w:val="009F12EC"/>
    <w:rsid w:val="009F1F17"/>
    <w:rsid w:val="009F2E90"/>
    <w:rsid w:val="00A01CA7"/>
    <w:rsid w:val="00A13D6E"/>
    <w:rsid w:val="00A2391A"/>
    <w:rsid w:val="00A407A4"/>
    <w:rsid w:val="00A41F68"/>
    <w:rsid w:val="00A571FC"/>
    <w:rsid w:val="00A575C4"/>
    <w:rsid w:val="00A63AA2"/>
    <w:rsid w:val="00A75B40"/>
    <w:rsid w:val="00A75EB8"/>
    <w:rsid w:val="00A84C70"/>
    <w:rsid w:val="00AA2880"/>
    <w:rsid w:val="00AA4AEE"/>
    <w:rsid w:val="00AB2F13"/>
    <w:rsid w:val="00AC1D5A"/>
    <w:rsid w:val="00AC4506"/>
    <w:rsid w:val="00AC7853"/>
    <w:rsid w:val="00AC7EB9"/>
    <w:rsid w:val="00AD0243"/>
    <w:rsid w:val="00AD6657"/>
    <w:rsid w:val="00AE3C8E"/>
    <w:rsid w:val="00AF4204"/>
    <w:rsid w:val="00B0111E"/>
    <w:rsid w:val="00B135C8"/>
    <w:rsid w:val="00B14597"/>
    <w:rsid w:val="00B23FBA"/>
    <w:rsid w:val="00B2551B"/>
    <w:rsid w:val="00B27F02"/>
    <w:rsid w:val="00B3627D"/>
    <w:rsid w:val="00B36A8C"/>
    <w:rsid w:val="00B525F4"/>
    <w:rsid w:val="00B52CE3"/>
    <w:rsid w:val="00B63F21"/>
    <w:rsid w:val="00B702F3"/>
    <w:rsid w:val="00B720A0"/>
    <w:rsid w:val="00B74F36"/>
    <w:rsid w:val="00B8018C"/>
    <w:rsid w:val="00B81AE8"/>
    <w:rsid w:val="00B917C8"/>
    <w:rsid w:val="00B94B22"/>
    <w:rsid w:val="00BA1C49"/>
    <w:rsid w:val="00BB62F2"/>
    <w:rsid w:val="00BC1217"/>
    <w:rsid w:val="00BD4A76"/>
    <w:rsid w:val="00BD6547"/>
    <w:rsid w:val="00BD716A"/>
    <w:rsid w:val="00BE35A1"/>
    <w:rsid w:val="00BE4750"/>
    <w:rsid w:val="00BE678F"/>
    <w:rsid w:val="00BF1EA4"/>
    <w:rsid w:val="00C04428"/>
    <w:rsid w:val="00C074FE"/>
    <w:rsid w:val="00C07583"/>
    <w:rsid w:val="00C26AB5"/>
    <w:rsid w:val="00C406FB"/>
    <w:rsid w:val="00C41634"/>
    <w:rsid w:val="00C52911"/>
    <w:rsid w:val="00C53B6E"/>
    <w:rsid w:val="00C6195F"/>
    <w:rsid w:val="00C63E8E"/>
    <w:rsid w:val="00C875E1"/>
    <w:rsid w:val="00C962D3"/>
    <w:rsid w:val="00CC020D"/>
    <w:rsid w:val="00CC160F"/>
    <w:rsid w:val="00CC4CC1"/>
    <w:rsid w:val="00CC5CD6"/>
    <w:rsid w:val="00CD1CD6"/>
    <w:rsid w:val="00CE30BB"/>
    <w:rsid w:val="00CE4337"/>
    <w:rsid w:val="00CE4AF2"/>
    <w:rsid w:val="00CE5B42"/>
    <w:rsid w:val="00CF76A8"/>
    <w:rsid w:val="00D03912"/>
    <w:rsid w:val="00D15EF4"/>
    <w:rsid w:val="00D21A3E"/>
    <w:rsid w:val="00D2425D"/>
    <w:rsid w:val="00D35906"/>
    <w:rsid w:val="00D478C0"/>
    <w:rsid w:val="00D558D8"/>
    <w:rsid w:val="00D611E5"/>
    <w:rsid w:val="00D81BED"/>
    <w:rsid w:val="00D902D9"/>
    <w:rsid w:val="00D94FA6"/>
    <w:rsid w:val="00D97DB3"/>
    <w:rsid w:val="00DA78BC"/>
    <w:rsid w:val="00DB00FC"/>
    <w:rsid w:val="00DB1AC7"/>
    <w:rsid w:val="00DC6D10"/>
    <w:rsid w:val="00DE2CC1"/>
    <w:rsid w:val="00DE7865"/>
    <w:rsid w:val="00DE7AE6"/>
    <w:rsid w:val="00E00DB9"/>
    <w:rsid w:val="00E111F8"/>
    <w:rsid w:val="00E15846"/>
    <w:rsid w:val="00E33028"/>
    <w:rsid w:val="00E36042"/>
    <w:rsid w:val="00E3659F"/>
    <w:rsid w:val="00E40E7E"/>
    <w:rsid w:val="00E47D5E"/>
    <w:rsid w:val="00E50E92"/>
    <w:rsid w:val="00E64E25"/>
    <w:rsid w:val="00E70D96"/>
    <w:rsid w:val="00E8314A"/>
    <w:rsid w:val="00E900AD"/>
    <w:rsid w:val="00E96E3B"/>
    <w:rsid w:val="00EA7ECB"/>
    <w:rsid w:val="00EB3338"/>
    <w:rsid w:val="00EB77E9"/>
    <w:rsid w:val="00EC1D38"/>
    <w:rsid w:val="00EC3A29"/>
    <w:rsid w:val="00EC5CA5"/>
    <w:rsid w:val="00EF3FC1"/>
    <w:rsid w:val="00EF4E35"/>
    <w:rsid w:val="00F023A6"/>
    <w:rsid w:val="00F04A03"/>
    <w:rsid w:val="00F05799"/>
    <w:rsid w:val="00F0767A"/>
    <w:rsid w:val="00F1103D"/>
    <w:rsid w:val="00F25023"/>
    <w:rsid w:val="00F364FB"/>
    <w:rsid w:val="00F419C2"/>
    <w:rsid w:val="00F43E1B"/>
    <w:rsid w:val="00F47672"/>
    <w:rsid w:val="00F5124E"/>
    <w:rsid w:val="00F51E5F"/>
    <w:rsid w:val="00F5239A"/>
    <w:rsid w:val="00F547FF"/>
    <w:rsid w:val="00F5604B"/>
    <w:rsid w:val="00F56889"/>
    <w:rsid w:val="00F603C5"/>
    <w:rsid w:val="00F60E5D"/>
    <w:rsid w:val="00F6285C"/>
    <w:rsid w:val="00F75B2C"/>
    <w:rsid w:val="00F82005"/>
    <w:rsid w:val="00F82620"/>
    <w:rsid w:val="00F82E30"/>
    <w:rsid w:val="00F84DE8"/>
    <w:rsid w:val="00F85810"/>
    <w:rsid w:val="00F9047F"/>
    <w:rsid w:val="00FA1005"/>
    <w:rsid w:val="00FA2176"/>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BF7AB7-A620-4CDA-BC45-A9A7A1FD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F0767A"/>
    <w:pPr>
      <w:keepNext/>
      <w:widowControl w:val="0"/>
      <w:numPr>
        <w:numId w:val="22"/>
      </w:numPr>
      <w:spacing w:before="240" w:after="120" w:line="240" w:lineRule="atLeast"/>
      <w:outlineLvl w:val="0"/>
    </w:pPr>
    <w:rPr>
      <w:rFonts w:cs="Arial"/>
      <w:b/>
      <w:bCs/>
      <w:kern w:val="32"/>
      <w:lang w:val="en-US"/>
    </w:rPr>
  </w:style>
  <w:style w:type="paragraph" w:styleId="Kop2">
    <w:name w:val="heading 2"/>
    <w:basedOn w:val="Standaard"/>
    <w:next w:val="Standaard"/>
    <w:link w:val="Kop2Char"/>
    <w:qFormat/>
    <w:rsid w:val="0078721B"/>
    <w:pPr>
      <w:keepNext/>
      <w:widowControl w:val="0"/>
      <w:spacing w:line="240" w:lineRule="atLeast"/>
      <w:outlineLvl w:val="1"/>
    </w:pPr>
    <w:rPr>
      <w:rFonts w:cs="Arial"/>
      <w:b/>
      <w:bCs/>
      <w:iCs/>
      <w:szCs w:val="28"/>
    </w:rPr>
  </w:style>
  <w:style w:type="paragraph" w:styleId="Kop3">
    <w:name w:val="heading 3"/>
    <w:basedOn w:val="Standaard"/>
    <w:next w:val="Standaard"/>
    <w:link w:val="Kop3Char"/>
    <w:qFormat/>
    <w:rsid w:val="00AD6657"/>
    <w:pPr>
      <w:keepNext/>
      <w:widowControl w:val="0"/>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A41F68"/>
    <w:pPr>
      <w:spacing w:after="120"/>
      <w:ind w:left="720"/>
    </w:pPr>
    <w:rPr>
      <w:kern w:val="21"/>
    </w:r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F0767A"/>
    <w:rPr>
      <w:rFonts w:ascii="Calibri" w:hAnsi="Calibri" w:cs="Arial"/>
      <w:b/>
      <w:bCs/>
      <w:kern w:val="32"/>
      <w:sz w:val="21"/>
      <w:szCs w:val="24"/>
      <w:lang w:val="en-US"/>
    </w:rPr>
  </w:style>
  <w:style w:type="character" w:customStyle="1" w:styleId="Kop2Char">
    <w:name w:val="Kop 2 Char"/>
    <w:basedOn w:val="Standaardalinea-lettertype"/>
    <w:link w:val="Kop2"/>
    <w:rsid w:val="0078721B"/>
    <w:rPr>
      <w:rFonts w:ascii="Calibri" w:hAnsi="Calibri" w:cs="Arial"/>
      <w:b/>
      <w:bCs/>
      <w:iCs/>
      <w:sz w:val="21"/>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Kop1"/>
    <w:next w:val="Standaard"/>
    <w:link w:val="TitelChar"/>
    <w:qFormat/>
    <w:rsid w:val="001F5E7F"/>
    <w:pPr>
      <w:numPr>
        <w:numId w:val="0"/>
      </w:numPr>
      <w:ind w:left="432" w:hanging="432"/>
    </w:pPr>
    <w:rPr>
      <w:sz w:val="28"/>
    </w:rPr>
  </w:style>
  <w:style w:type="character" w:customStyle="1" w:styleId="TitelChar">
    <w:name w:val="Titel Char"/>
    <w:basedOn w:val="Standaardalinea-lettertype"/>
    <w:link w:val="Titel"/>
    <w:rsid w:val="001F5E7F"/>
    <w:rPr>
      <w:rFonts w:ascii="Calibri" w:hAnsi="Calibri" w:cs="Arial"/>
      <w:b/>
      <w:bCs/>
      <w:caps/>
      <w:kern w:val="32"/>
      <w:sz w:val="28"/>
      <w:szCs w:val="24"/>
      <w:lang w:val="en-US"/>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labeled">
    <w:name w:val="labeled"/>
    <w:basedOn w:val="Standaard"/>
    <w:rsid w:val="0078721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socc.secure@vu.nl" TargetMode="External"/><Relationship Id="rId4" Type="http://schemas.openxmlformats.org/officeDocument/2006/relationships/styles" Target="styles.xml"/><Relationship Id="rId9" Type="http://schemas.openxmlformats.org/officeDocument/2006/relationships/hyperlink" Target="mailto:functionarisgegevensbescherming@vu.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9B4872453A43188C1AED2B45AA35D8"/>
        <w:category>
          <w:name w:val="Algemeen"/>
          <w:gallery w:val="placeholder"/>
        </w:category>
        <w:types>
          <w:type w:val="bbPlcHdr"/>
        </w:types>
        <w:behaviors>
          <w:behavior w:val="content"/>
        </w:behaviors>
        <w:guid w:val="{D972D073-1916-44A8-920C-BA70DC3237A9}"/>
      </w:docPartPr>
      <w:docPartBody>
        <w:p w:rsidR="006F08FE" w:rsidRDefault="006B0603" w:rsidP="006B0603">
          <w:pPr>
            <w:pStyle w:val="CB9B4872453A43188C1AED2B45AA35D8"/>
          </w:pPr>
          <w:r w:rsidRPr="000B5526">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92"/>
    <w:rsid w:val="000E3E92"/>
    <w:rsid w:val="006B0603"/>
    <w:rsid w:val="006F08FE"/>
    <w:rsid w:val="00D64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0603"/>
    <w:rPr>
      <w:rFonts w:ascii="Calibri" w:hAnsi="Calibri"/>
      <w:color w:val="808080"/>
    </w:rPr>
  </w:style>
  <w:style w:type="paragraph" w:customStyle="1" w:styleId="BB11E1D78F3C4F46AF181C1CFB1D9A01">
    <w:name w:val="BB11E1D78F3C4F46AF181C1CFB1D9A01"/>
  </w:style>
  <w:style w:type="paragraph" w:customStyle="1" w:styleId="6001C8E7DE1546B9B8BC6544447A5E03">
    <w:name w:val="6001C8E7DE1546B9B8BC6544447A5E03"/>
  </w:style>
  <w:style w:type="paragraph" w:customStyle="1" w:styleId="DBB2D598982D417DABC94DA7CF284A94">
    <w:name w:val="DBB2D598982D417DABC94DA7CF284A94"/>
    <w:rsid w:val="006B0603"/>
  </w:style>
  <w:style w:type="paragraph" w:customStyle="1" w:styleId="E14C0E6039BF42EE8A5AD83351C091C0">
    <w:name w:val="E14C0E6039BF42EE8A5AD83351C091C0"/>
    <w:rsid w:val="006B0603"/>
  </w:style>
  <w:style w:type="paragraph" w:customStyle="1" w:styleId="CB9B4872453A43188C1AED2B45AA35D8">
    <w:name w:val="CB9B4872453A43188C1AED2B45AA35D8"/>
    <w:rsid w:val="006B0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Variabelen uit subform UxDocumentForm-->
<variabelen xmlns="http://www.keyscript.nl/huisstijl/UxDocumentForm">
  <UxDocumentForm>
    <uxVersieField>4.1</uxVersieField>
    <uxEngelsOption>false</uxEngelsOption>
    <uxNederlandsOption>true</uxNederlandsOption>
  </UxDocumentForm>
</variabele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E843-549F-466A-83BA-C256EDE4163D}">
  <ds:schemaRefs>
    <ds:schemaRef ds:uri="http://www.keyscript.nl/huisstijl/UxDocumentForm"/>
  </ds:schemaRefs>
</ds:datastoreItem>
</file>

<file path=customXml/itemProps2.xml><?xml version="1.0" encoding="utf-8"?>
<ds:datastoreItem xmlns:ds="http://schemas.openxmlformats.org/officeDocument/2006/customXml" ds:itemID="{09D3FBCA-83CD-4646-8A3A-09A729D7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2573</Words>
  <Characters>14062</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Eijbaard, G.P.</dc:creator>
  <cp:keywords/>
  <cp:lastModifiedBy>Eijbaard, G.P.</cp:lastModifiedBy>
  <cp:revision>2</cp:revision>
  <dcterms:created xsi:type="dcterms:W3CDTF">2021-09-13T14:00:00Z</dcterms:created>
  <dcterms:modified xsi:type="dcterms:W3CDTF">2021-09-13T14:00:00Z</dcterms:modified>
  <cp:category/>
</cp:coreProperties>
</file>