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5709A" w14:textId="0E6065F6" w:rsidR="00EE36B0" w:rsidRDefault="0079292C" w:rsidP="00EE36B0">
      <w:pPr>
        <w:autoSpaceDE w:val="0"/>
        <w:autoSpaceDN w:val="0"/>
        <w:adjustRightInd w:val="0"/>
        <w:outlineLvl w:val="0"/>
        <w:rPr>
          <w:rFonts w:cs="Tahoma"/>
          <w:b/>
          <w:bCs/>
          <w:szCs w:val="20"/>
        </w:rPr>
      </w:pPr>
      <w:r>
        <w:rPr>
          <w:rFonts w:cs="Tahoma"/>
          <w:b/>
          <w:bCs/>
          <w:szCs w:val="20"/>
        </w:rPr>
        <w:t xml:space="preserve">Extra </w:t>
      </w:r>
      <w:r w:rsidR="00EE36B0">
        <w:rPr>
          <w:rFonts w:cs="Tahoma"/>
          <w:b/>
          <w:bCs/>
          <w:szCs w:val="20"/>
        </w:rPr>
        <w:t xml:space="preserve">Nota van inlichtingen </w:t>
      </w:r>
    </w:p>
    <w:p w14:paraId="4B2D81D6" w14:textId="77777777" w:rsidR="00EE36B0" w:rsidRDefault="00EE36B0" w:rsidP="00EE36B0">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E36B0" w14:paraId="411527FC" w14:textId="77777777" w:rsidTr="00DE2BD7">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BDAC9EE" w14:textId="77777777" w:rsidR="00EE36B0" w:rsidRDefault="00EE36B0" w:rsidP="00DE2BD7">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3818B7A" w14:textId="26059632" w:rsidR="00EE36B0" w:rsidRDefault="0079292C" w:rsidP="00DE2BD7">
            <w:pPr>
              <w:rPr>
                <w:rFonts w:cs="Tahoma"/>
              </w:rPr>
            </w:pPr>
            <w:r>
              <w:rPr>
                <w:rFonts w:cs="Tahoma"/>
              </w:rPr>
              <w:t xml:space="preserve">Extra </w:t>
            </w:r>
            <w:r w:rsidR="00EE36B0">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BD07CE6" w14:textId="77777777" w:rsidR="00EE36B0" w:rsidRDefault="00EE36B0" w:rsidP="00DE2BD7">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8543229" w14:textId="1E68EF2F" w:rsidR="00EE36B0" w:rsidRDefault="0079292C" w:rsidP="00DE2BD7">
            <w:pPr>
              <w:rPr>
                <w:rFonts w:cs="Tahoma"/>
              </w:rPr>
            </w:pPr>
            <w:r>
              <w:rPr>
                <w:rFonts w:cs="Tahoma"/>
              </w:rPr>
              <w:t>20</w:t>
            </w:r>
            <w:r w:rsidR="000861B2">
              <w:rPr>
                <w:rFonts w:cs="Tahoma"/>
              </w:rPr>
              <w:t>-0</w:t>
            </w:r>
            <w:r w:rsidR="00AD2FAE">
              <w:rPr>
                <w:rFonts w:cs="Tahoma"/>
              </w:rPr>
              <w:t>5</w:t>
            </w:r>
            <w:r w:rsidR="000861B2">
              <w:rPr>
                <w:rFonts w:cs="Tahoma"/>
              </w:rPr>
              <w:t>-2021</w:t>
            </w:r>
          </w:p>
        </w:tc>
      </w:tr>
      <w:tr w:rsidR="00EE36B0" w14:paraId="3FA61DFD" w14:textId="77777777"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3ABC743" w14:textId="77777777" w:rsidR="00EE36B0" w:rsidRDefault="00EE36B0" w:rsidP="00DE2BD7">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0083193" w14:textId="77777777" w:rsidR="00EE36B0" w:rsidRDefault="00EE36B0" w:rsidP="00DE2BD7">
            <w:pPr>
              <w:rPr>
                <w:rFonts w:cs="Tahoma"/>
              </w:rPr>
            </w:pPr>
            <w:r>
              <w:rPr>
                <w:rFonts w:cs="Tahoma"/>
              </w:rPr>
              <w:t>Waterschap Limburg</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562C53E" w14:textId="77777777" w:rsidR="00EE36B0" w:rsidRDefault="00EE36B0" w:rsidP="00DE2BD7">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935CA7F" w14:textId="77777777" w:rsidR="00EE36B0" w:rsidRDefault="00EE36B0" w:rsidP="00DE2BD7">
            <w:pPr>
              <w:rPr>
                <w:rFonts w:cs="Tahoma"/>
                <w:szCs w:val="20"/>
                <w:lang w:val="de-DE"/>
              </w:rPr>
            </w:pPr>
            <w:r w:rsidRPr="001432AC">
              <w:rPr>
                <w:rFonts w:cs="Tahoma"/>
              </w:rPr>
              <w:t>KQPN/2021/1.1</w:t>
            </w:r>
          </w:p>
        </w:tc>
      </w:tr>
      <w:tr w:rsidR="00EE36B0" w14:paraId="307308AF" w14:textId="77777777"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2D9410F" w14:textId="77777777" w:rsidR="00EE36B0" w:rsidRDefault="00EE36B0" w:rsidP="00DE2BD7">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3A1C799" w14:textId="77777777" w:rsidR="00EE36B0" w:rsidRDefault="00EE36B0" w:rsidP="00DE2BD7">
            <w:pPr>
              <w:rPr>
                <w:rFonts w:cs="Tahoma"/>
              </w:rPr>
            </w:pPr>
            <w:r>
              <w:rPr>
                <w:rFonts w:cs="Tahoma"/>
              </w:rPr>
              <w:t>ICT hardware</w:t>
            </w:r>
          </w:p>
        </w:tc>
      </w:tr>
    </w:tbl>
    <w:p w14:paraId="4820DBB8" w14:textId="77777777" w:rsidR="00EE36B0" w:rsidRDefault="00EE36B0" w:rsidP="00EE36B0"/>
    <w:p w14:paraId="2F99F9E3" w14:textId="77777777" w:rsidR="00EE36B0" w:rsidRDefault="00EE36B0" w:rsidP="00EE36B0">
      <w:pPr>
        <w:pBdr>
          <w:top w:val="single" w:sz="6" w:space="1" w:color="808080"/>
        </w:pBdr>
        <w:rPr>
          <w:rFonts w:cs="Tahoma"/>
        </w:rPr>
      </w:pPr>
    </w:p>
    <w:p w14:paraId="41143D5A" w14:textId="77777777" w:rsidR="00EE36B0" w:rsidRDefault="00EE36B0" w:rsidP="00EE36B0">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40826EE7" w14:textId="77777777" w:rsidR="00EE36B0" w:rsidRDefault="00EE36B0" w:rsidP="00EE36B0">
      <w:pPr>
        <w:autoSpaceDE w:val="0"/>
        <w:autoSpaceDN w:val="0"/>
        <w:adjustRightInd w:val="0"/>
        <w:rPr>
          <w:rFonts w:cs="Tahoma"/>
          <w:szCs w:val="20"/>
        </w:rPr>
      </w:pPr>
    </w:p>
    <w:p w14:paraId="66E55926"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6"/>
        <w:gridCol w:w="6051"/>
      </w:tblGrid>
      <w:tr w:rsidR="00EE36B0" w14:paraId="1B449D9C" w14:textId="77777777" w:rsidTr="00DE2BD7">
        <w:tc>
          <w:tcPr>
            <w:tcW w:w="1063" w:type="dxa"/>
            <w:shd w:val="clear" w:color="auto" w:fill="C0C0C0"/>
          </w:tcPr>
          <w:p w14:paraId="079A00B7" w14:textId="77777777" w:rsidR="00EE36B0" w:rsidRDefault="00EE36B0" w:rsidP="00DE2BD7">
            <w:pPr>
              <w:jc w:val="center"/>
              <w:rPr>
                <w:rFonts w:cs="Tahoma"/>
                <w:szCs w:val="20"/>
              </w:rPr>
            </w:pPr>
            <w:r>
              <w:rPr>
                <w:rFonts w:cs="Tahoma"/>
                <w:szCs w:val="20"/>
              </w:rPr>
              <w:t>Nr.</w:t>
            </w:r>
          </w:p>
        </w:tc>
        <w:tc>
          <w:tcPr>
            <w:tcW w:w="1925" w:type="dxa"/>
            <w:shd w:val="clear" w:color="auto" w:fill="C0C0C0"/>
          </w:tcPr>
          <w:p w14:paraId="3A1A3443" w14:textId="77777777" w:rsidR="00EE36B0" w:rsidRDefault="00EE36B0" w:rsidP="00DE2BD7">
            <w:pPr>
              <w:rPr>
                <w:rFonts w:cs="Tahoma"/>
                <w:szCs w:val="20"/>
              </w:rPr>
            </w:pPr>
            <w:r>
              <w:rPr>
                <w:rFonts w:cs="Tahoma"/>
                <w:szCs w:val="20"/>
              </w:rPr>
              <w:t>Betreft (pag. par. Overige verwijzing)</w:t>
            </w:r>
          </w:p>
        </w:tc>
        <w:tc>
          <w:tcPr>
            <w:tcW w:w="6192" w:type="dxa"/>
            <w:shd w:val="clear" w:color="auto" w:fill="C0C0C0"/>
          </w:tcPr>
          <w:p w14:paraId="1A53C8A2" w14:textId="77777777" w:rsidR="00EE36B0" w:rsidRPr="000468FA" w:rsidRDefault="00EE36B0" w:rsidP="00DE2BD7">
            <w:pPr>
              <w:rPr>
                <w:rFonts w:cs="Tahoma"/>
                <w:szCs w:val="20"/>
              </w:rPr>
            </w:pPr>
            <w:r w:rsidRPr="000468FA">
              <w:rPr>
                <w:rFonts w:cs="Tahoma"/>
                <w:szCs w:val="20"/>
              </w:rPr>
              <w:t>Vraag</w:t>
            </w:r>
          </w:p>
        </w:tc>
      </w:tr>
      <w:tr w:rsidR="00EE36B0" w14:paraId="3397A108" w14:textId="77777777" w:rsidTr="00DE2BD7">
        <w:tc>
          <w:tcPr>
            <w:tcW w:w="1063" w:type="dxa"/>
          </w:tcPr>
          <w:p w14:paraId="325F2A56" w14:textId="77777777" w:rsidR="00EE36B0" w:rsidRDefault="00EE36B0" w:rsidP="00DE2BD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7E7F5B8" w14:textId="3B7273B8" w:rsidR="00EE36B0" w:rsidRDefault="000861B2" w:rsidP="00DE2BD7">
            <w:pPr>
              <w:rPr>
                <w:rFonts w:cs="Tahoma"/>
                <w:szCs w:val="20"/>
              </w:rPr>
            </w:pPr>
            <w:r>
              <w:rPr>
                <w:rFonts w:cs="Tahoma"/>
                <w:szCs w:val="20"/>
              </w:rPr>
              <w:t xml:space="preserve">Vervolg vraag </w:t>
            </w:r>
            <w:r w:rsidR="00AD2FAE">
              <w:rPr>
                <w:rFonts w:cs="Tahoma"/>
                <w:szCs w:val="20"/>
              </w:rPr>
              <w:t>15</w:t>
            </w:r>
          </w:p>
        </w:tc>
        <w:tc>
          <w:tcPr>
            <w:tcW w:w="6192" w:type="dxa"/>
          </w:tcPr>
          <w:p w14:paraId="178BB076" w14:textId="77777777" w:rsidR="00AD2FAE" w:rsidRPr="00AD2FAE" w:rsidRDefault="00AD2FAE" w:rsidP="00AD2FAE">
            <w:pPr>
              <w:rPr>
                <w:rFonts w:cs="Tahoma"/>
                <w:szCs w:val="20"/>
              </w:rPr>
            </w:pPr>
            <w:r w:rsidRPr="00AD2FAE">
              <w:rPr>
                <w:rFonts w:cs="Tahoma"/>
                <w:szCs w:val="20"/>
              </w:rPr>
              <w:t>Inschrijver heeft u tweemaal verzocht de aansprakelijkheid te beperken per gebeurtenis. In de 1e Nota heeft u deze vraag niet beantwoordt, in de 2e nota geeft u aan: ‘niet akkoord’.</w:t>
            </w:r>
          </w:p>
          <w:p w14:paraId="64FD6CF1" w14:textId="77777777" w:rsidR="00AD2FAE" w:rsidRPr="00AD2FAE" w:rsidRDefault="00AD2FAE" w:rsidP="00AD2FAE">
            <w:pPr>
              <w:rPr>
                <w:rFonts w:cs="Tahoma"/>
                <w:szCs w:val="20"/>
              </w:rPr>
            </w:pPr>
            <w:r w:rsidRPr="00AD2FAE">
              <w:rPr>
                <w:rFonts w:cs="Tahoma"/>
                <w:szCs w:val="20"/>
              </w:rPr>
              <w:t xml:space="preserve">Het hanteren van een onbeperkte aansprakelijkheid is niet acceptabel als aanbestedende dienst: dit is een disproportionele eis omdat u inschrijvers met een financieel risico belast dat niet in verhouding staat tot de opdracht. In aanvulling op de AWBIT wordt de aansprakelijkheid doorgaans in een overeenkomst verder beperkt, zodat deze past bij de opdracht. U geeft nu op voorhand aan dat de aansprakelijkheid niet verder wordt beperkt. Dit is volstrekt onacceptabel en in strijd met aanbestedingswet en de Gids Proportionaliteit. </w:t>
            </w:r>
          </w:p>
          <w:p w14:paraId="5710B2BF" w14:textId="77777777" w:rsidR="00AD2FAE" w:rsidRDefault="00AD2FAE" w:rsidP="00AD2FAE">
            <w:pPr>
              <w:rPr>
                <w:rFonts w:cs="Tahoma"/>
                <w:szCs w:val="20"/>
              </w:rPr>
            </w:pPr>
            <w:r w:rsidRPr="00AD2FAE">
              <w:rPr>
                <w:rFonts w:cs="Tahoma"/>
                <w:szCs w:val="20"/>
              </w:rPr>
              <w:t xml:space="preserve">Wij verzoeken u opnieuw, met klem, om deze wetgeving en richtlijnen te volgen en een proportionele beperking in te stellen van € 2.500.000 per gebeurtenis voor de bedrijfsaansprakelijkheid en € 1.000.000 per gebeurtenis voor de beroepsaansprakelijkheid. </w:t>
            </w:r>
          </w:p>
          <w:p w14:paraId="68CA4A77" w14:textId="4F99B710" w:rsidR="00EE36B0" w:rsidRPr="000468FA" w:rsidRDefault="00AD2FAE" w:rsidP="00AD2FAE">
            <w:pPr>
              <w:rPr>
                <w:rFonts w:cs="Tahoma"/>
                <w:szCs w:val="20"/>
              </w:rPr>
            </w:pPr>
            <w:r w:rsidRPr="00AD2FAE">
              <w:rPr>
                <w:rFonts w:cs="Tahoma"/>
                <w:szCs w:val="20"/>
              </w:rPr>
              <w:t>Gaat u hiermee akkoord? Zo nee, graag een toereikende en uitgebreide onderbouwing waarom de door u gestelde eis proportioneel is.</w:t>
            </w:r>
          </w:p>
        </w:tc>
      </w:tr>
      <w:tr w:rsidR="00EE36B0" w14:paraId="69CDDC24" w14:textId="77777777" w:rsidTr="00DE2BD7">
        <w:tc>
          <w:tcPr>
            <w:tcW w:w="1063" w:type="dxa"/>
          </w:tcPr>
          <w:p w14:paraId="5B0975AA" w14:textId="77777777" w:rsidR="00EE36B0" w:rsidRDefault="00EE36B0" w:rsidP="00DE2BD7">
            <w:pPr>
              <w:jc w:val="center"/>
              <w:rPr>
                <w:rFonts w:cs="Tahoma"/>
                <w:szCs w:val="20"/>
              </w:rPr>
            </w:pPr>
            <w:r>
              <w:rPr>
                <w:rFonts w:cs="Tahoma"/>
                <w:szCs w:val="20"/>
              </w:rPr>
              <w:lastRenderedPageBreak/>
              <w:t>Antwoord</w:t>
            </w:r>
          </w:p>
        </w:tc>
        <w:tc>
          <w:tcPr>
            <w:tcW w:w="8117" w:type="dxa"/>
            <w:gridSpan w:val="2"/>
          </w:tcPr>
          <w:p w14:paraId="540271A0" w14:textId="77777777" w:rsidR="00E65B34" w:rsidRPr="00E65B34" w:rsidRDefault="00E65B34" w:rsidP="00E65B34">
            <w:pPr>
              <w:rPr>
                <w:rFonts w:cs="Tahoma"/>
                <w:szCs w:val="20"/>
              </w:rPr>
            </w:pPr>
            <w:r w:rsidRPr="00E65B34">
              <w:rPr>
                <w:rFonts w:cs="Tahoma"/>
                <w:szCs w:val="20"/>
              </w:rPr>
              <w:t>De oorspronkelijke tekst van de AWBIT is door de Unie van Waterschappen zo opgesteld dat de aansprakelijkheid in alle gevallen in redelijkheid/onder reële voorwaarden verzekerbaar is. Daarmee voldoet het aan de eis die de Gids Proportionaliteit stelt (zie voorschrift 9-9A). De Aanbestedingswet bevat geen specifieke bepalingen over verzekeringen.</w:t>
            </w:r>
          </w:p>
          <w:p w14:paraId="7CCDE049" w14:textId="77777777" w:rsidR="00E65B34" w:rsidRPr="00E65B34" w:rsidRDefault="00E65B34" w:rsidP="00E65B34">
            <w:pPr>
              <w:rPr>
                <w:rFonts w:cs="Tahoma"/>
                <w:szCs w:val="20"/>
              </w:rPr>
            </w:pPr>
            <w:r w:rsidRPr="00E65B34">
              <w:rPr>
                <w:rFonts w:cs="Tahoma"/>
                <w:szCs w:val="20"/>
              </w:rPr>
              <w:t xml:space="preserve">Desalniettemin hebben wij in de eerste nota van inlichtingen een aanpassing gedaan, te weten in de beantwoording van vraag 22 (inhoudende dat de aansprakelijkheid van artikel 26.3 AWBIT wordt beperkt tot maximaal 5 gebeurtenissen per jaar. De beperking van de hoogte staat al in de oorspronkelijke tekst). </w:t>
            </w:r>
          </w:p>
          <w:p w14:paraId="01225692" w14:textId="77777777" w:rsidR="00E65B34" w:rsidRPr="00E65B34" w:rsidRDefault="00E65B34" w:rsidP="00E65B34">
            <w:pPr>
              <w:rPr>
                <w:rFonts w:cs="Tahoma"/>
                <w:szCs w:val="20"/>
              </w:rPr>
            </w:pPr>
            <w:r w:rsidRPr="00E65B34">
              <w:rPr>
                <w:rFonts w:cs="Tahoma"/>
                <w:szCs w:val="20"/>
              </w:rPr>
              <w:t>Deze beperking is zowel in tijd als in omvang. Er is dus geen sprake van een onbeperkte aansprakelijkheid.</w:t>
            </w:r>
          </w:p>
          <w:p w14:paraId="14F3D8B9" w14:textId="1D5FD0DE" w:rsidR="00EE36B0" w:rsidRDefault="00E65B34" w:rsidP="00E65B34">
            <w:pPr>
              <w:rPr>
                <w:rFonts w:cs="Tahoma"/>
                <w:szCs w:val="20"/>
              </w:rPr>
            </w:pPr>
            <w:r w:rsidRPr="00E65B34">
              <w:rPr>
                <w:rFonts w:cs="Tahoma"/>
                <w:szCs w:val="20"/>
              </w:rPr>
              <w:t>Aanvullend daarop: omdat artikel 26 een zogenaamde voortdurende verplichting is (zie artikel 34 AWBIT), zou dit betekenen dat de theoretische aansprakelijkheid nog doorloopt tot de wettelijke verjaringstermijn is afgelopen. Voor deze Opdracht zullen we dit aanpassen, te weten dat de aansprakelijkheid van (geheel) artikel 26 vervalt één jaar na afloop van de (hoofd) overeenkomst.</w:t>
            </w:r>
          </w:p>
        </w:tc>
      </w:tr>
    </w:tbl>
    <w:p w14:paraId="19832DFE"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4"/>
        <w:gridCol w:w="6053"/>
      </w:tblGrid>
      <w:tr w:rsidR="00EE36B0" w14:paraId="255163C2" w14:textId="77777777" w:rsidTr="00DE2BD7">
        <w:tc>
          <w:tcPr>
            <w:tcW w:w="1063" w:type="dxa"/>
            <w:shd w:val="clear" w:color="auto" w:fill="C0C0C0"/>
          </w:tcPr>
          <w:p w14:paraId="588825BD" w14:textId="77777777" w:rsidR="00EE36B0" w:rsidRDefault="00EE36B0" w:rsidP="00DE2BD7">
            <w:pPr>
              <w:jc w:val="center"/>
              <w:rPr>
                <w:rFonts w:cs="Tahoma"/>
                <w:szCs w:val="20"/>
              </w:rPr>
            </w:pPr>
            <w:r>
              <w:rPr>
                <w:rFonts w:cs="Tahoma"/>
                <w:szCs w:val="20"/>
              </w:rPr>
              <w:t>Nr.</w:t>
            </w:r>
          </w:p>
        </w:tc>
        <w:tc>
          <w:tcPr>
            <w:tcW w:w="1925" w:type="dxa"/>
            <w:shd w:val="clear" w:color="auto" w:fill="C0C0C0"/>
          </w:tcPr>
          <w:p w14:paraId="7A1CB3E6" w14:textId="77777777" w:rsidR="00EE36B0" w:rsidRDefault="00EE36B0" w:rsidP="00DE2BD7">
            <w:pPr>
              <w:rPr>
                <w:rFonts w:cs="Tahoma"/>
                <w:szCs w:val="20"/>
              </w:rPr>
            </w:pPr>
            <w:r>
              <w:rPr>
                <w:rFonts w:cs="Tahoma"/>
                <w:szCs w:val="20"/>
              </w:rPr>
              <w:t>betreft</w:t>
            </w:r>
          </w:p>
        </w:tc>
        <w:tc>
          <w:tcPr>
            <w:tcW w:w="6192" w:type="dxa"/>
            <w:shd w:val="clear" w:color="auto" w:fill="C0C0C0"/>
          </w:tcPr>
          <w:p w14:paraId="3A2E8281" w14:textId="77777777" w:rsidR="00EE36B0" w:rsidRDefault="00EE36B0" w:rsidP="00DE2BD7">
            <w:pPr>
              <w:rPr>
                <w:rFonts w:cs="Tahoma"/>
                <w:szCs w:val="20"/>
              </w:rPr>
            </w:pPr>
            <w:r>
              <w:rPr>
                <w:rFonts w:cs="Tahoma"/>
                <w:szCs w:val="20"/>
              </w:rPr>
              <w:t>Vraag</w:t>
            </w:r>
          </w:p>
        </w:tc>
      </w:tr>
      <w:tr w:rsidR="00EE36B0" w14:paraId="73F3AF72" w14:textId="77777777" w:rsidTr="00DE2BD7">
        <w:tc>
          <w:tcPr>
            <w:tcW w:w="1063" w:type="dxa"/>
          </w:tcPr>
          <w:p w14:paraId="3E6CDB99" w14:textId="77777777" w:rsidR="00EE36B0" w:rsidRDefault="00EE36B0" w:rsidP="00DE2BD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31596A" w14:textId="73A280AC" w:rsidR="00EE36B0" w:rsidRDefault="000861B2" w:rsidP="00DE2BD7">
            <w:pPr>
              <w:rPr>
                <w:rFonts w:cs="Tahoma"/>
                <w:szCs w:val="20"/>
              </w:rPr>
            </w:pPr>
            <w:r>
              <w:rPr>
                <w:rFonts w:cs="Tahoma"/>
                <w:szCs w:val="20"/>
              </w:rPr>
              <w:t xml:space="preserve">Vervolg vraag </w:t>
            </w:r>
            <w:r w:rsidR="00AD2FAE">
              <w:rPr>
                <w:rFonts w:cs="Tahoma"/>
                <w:szCs w:val="20"/>
              </w:rPr>
              <w:t>1</w:t>
            </w:r>
            <w:r w:rsidR="00E14386">
              <w:rPr>
                <w:rFonts w:cs="Tahoma"/>
                <w:szCs w:val="20"/>
              </w:rPr>
              <w:t>6</w:t>
            </w:r>
          </w:p>
        </w:tc>
        <w:tc>
          <w:tcPr>
            <w:tcW w:w="6192" w:type="dxa"/>
          </w:tcPr>
          <w:p w14:paraId="66ED5B9A" w14:textId="77777777" w:rsidR="00AD2FAE" w:rsidRPr="00AD2FAE" w:rsidRDefault="00AD2FAE" w:rsidP="00AD2FAE">
            <w:pPr>
              <w:rPr>
                <w:rFonts w:cs="Tahoma"/>
                <w:szCs w:val="20"/>
              </w:rPr>
            </w:pPr>
            <w:r w:rsidRPr="00AD2FAE">
              <w:rPr>
                <w:rFonts w:cs="Tahoma"/>
                <w:szCs w:val="20"/>
              </w:rPr>
              <w:t>In NVI 2 geeft u in vraag 16 aan dat het aantal minimale USB poorten voor monitor 1 wordt aangepast naar: 2x 3.0 USB en 1x USB-C. In uw antwoord zegt u eerst dat op deze wijze aanbieden is toegestaan, maar geen eis is. Maar in de opsomming geeft u dit vervolgens wel aan als (nieuwe) minimale eis. Hierdoor is het niet duidelijk wat prevaleert. Inschrijver gaat er vanuit dat de eis blijft conform NVI 1, vraag 39: 4x 3.0 USB poorten.</w:t>
            </w:r>
          </w:p>
          <w:p w14:paraId="1E5016B4" w14:textId="77777777" w:rsidR="00AD2FAE" w:rsidRDefault="00AD2FAE" w:rsidP="00DE2BD7">
            <w:pPr>
              <w:rPr>
                <w:rFonts w:cs="Tahoma"/>
                <w:szCs w:val="20"/>
              </w:rPr>
            </w:pPr>
            <w:r w:rsidRPr="00AD2FAE">
              <w:rPr>
                <w:rFonts w:cs="Tahoma"/>
                <w:szCs w:val="20"/>
              </w:rPr>
              <w:t xml:space="preserve">In combinatie met andere wijzigingen in de NVI’s verandert deze eis overigens ook de mogelijke fits uit de markt, waardoor u op duurdere lijnen uitkomt. </w:t>
            </w:r>
          </w:p>
          <w:p w14:paraId="354FC086" w14:textId="77777777" w:rsidR="00AD2FAE" w:rsidRDefault="00AD2FAE" w:rsidP="00DE2BD7">
            <w:pPr>
              <w:rPr>
                <w:rFonts w:cs="Tahoma"/>
                <w:szCs w:val="20"/>
              </w:rPr>
            </w:pPr>
          </w:p>
          <w:p w14:paraId="0D4039BD" w14:textId="0183B8A8" w:rsidR="00EE36B0" w:rsidRPr="000468FA" w:rsidRDefault="00AD2FAE" w:rsidP="00DE2BD7">
            <w:pPr>
              <w:rPr>
                <w:rFonts w:cs="Tahoma"/>
                <w:szCs w:val="20"/>
              </w:rPr>
            </w:pPr>
            <w:r w:rsidRPr="00AD2FAE">
              <w:rPr>
                <w:rFonts w:cs="Tahoma"/>
                <w:szCs w:val="20"/>
              </w:rPr>
              <w:t>Kunt u bevestigen dat NVI 39: 4x 3.0 USB de eis is, en dat aanbieden met USB-C mag (maar geen eis is)? Zo nee, graag uw verduidelijking.</w:t>
            </w:r>
          </w:p>
        </w:tc>
      </w:tr>
      <w:tr w:rsidR="00EE36B0" w14:paraId="63811B64" w14:textId="77777777" w:rsidTr="00DE2BD7">
        <w:tc>
          <w:tcPr>
            <w:tcW w:w="1063" w:type="dxa"/>
          </w:tcPr>
          <w:p w14:paraId="669E938F" w14:textId="77777777" w:rsidR="00EE36B0" w:rsidRDefault="00EE36B0" w:rsidP="00DE2BD7">
            <w:pPr>
              <w:jc w:val="center"/>
              <w:rPr>
                <w:rFonts w:cs="Tahoma"/>
                <w:szCs w:val="20"/>
              </w:rPr>
            </w:pPr>
            <w:r>
              <w:rPr>
                <w:rFonts w:cs="Tahoma"/>
                <w:szCs w:val="20"/>
              </w:rPr>
              <w:t>Antwoord</w:t>
            </w:r>
          </w:p>
        </w:tc>
        <w:tc>
          <w:tcPr>
            <w:tcW w:w="8117" w:type="dxa"/>
            <w:gridSpan w:val="2"/>
          </w:tcPr>
          <w:p w14:paraId="6C8FCB8F" w14:textId="02834615" w:rsidR="00EE36B0" w:rsidRDefault="00521F26" w:rsidP="00521F26">
            <w:pPr>
              <w:rPr>
                <w:rFonts w:cs="Tahoma"/>
                <w:szCs w:val="20"/>
              </w:rPr>
            </w:pPr>
            <w:r>
              <w:rPr>
                <w:rFonts w:cs="Tahoma"/>
                <w:szCs w:val="20"/>
              </w:rPr>
              <w:t xml:space="preserve">Monitor variant 1 moet beschikken over minimaal 2 x USB 3.0 downstream en 1 x USB 3.0 upstream. </w:t>
            </w:r>
          </w:p>
        </w:tc>
      </w:tr>
    </w:tbl>
    <w:p w14:paraId="36AFA64C" w14:textId="77777777" w:rsidR="00093BE8" w:rsidRDefault="00093BE8" w:rsidP="00AD2FAE"/>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E65B34" w14:paraId="774B3004" w14:textId="77777777" w:rsidTr="00E547D3">
        <w:tc>
          <w:tcPr>
            <w:tcW w:w="1115" w:type="dxa"/>
            <w:shd w:val="clear" w:color="auto" w:fill="C0C0C0"/>
          </w:tcPr>
          <w:p w14:paraId="37E15B8A" w14:textId="77777777" w:rsidR="00E65B34" w:rsidRDefault="00E65B34" w:rsidP="00E547D3">
            <w:pPr>
              <w:jc w:val="center"/>
              <w:rPr>
                <w:rFonts w:cs="Tahoma"/>
                <w:szCs w:val="20"/>
              </w:rPr>
            </w:pPr>
            <w:r>
              <w:rPr>
                <w:rFonts w:cs="Tahoma"/>
                <w:szCs w:val="20"/>
              </w:rPr>
              <w:t>Nr.</w:t>
            </w:r>
          </w:p>
        </w:tc>
        <w:tc>
          <w:tcPr>
            <w:tcW w:w="1897" w:type="dxa"/>
            <w:shd w:val="clear" w:color="auto" w:fill="C0C0C0"/>
          </w:tcPr>
          <w:p w14:paraId="5B819AA4" w14:textId="77777777" w:rsidR="00E65B34" w:rsidRDefault="00E65B34" w:rsidP="00E547D3">
            <w:pPr>
              <w:rPr>
                <w:rFonts w:cs="Tahoma"/>
                <w:szCs w:val="20"/>
              </w:rPr>
            </w:pPr>
            <w:r>
              <w:rPr>
                <w:rFonts w:cs="Tahoma"/>
                <w:szCs w:val="20"/>
              </w:rPr>
              <w:t>betreft</w:t>
            </w:r>
          </w:p>
        </w:tc>
        <w:tc>
          <w:tcPr>
            <w:tcW w:w="6050" w:type="dxa"/>
            <w:shd w:val="clear" w:color="auto" w:fill="C0C0C0"/>
          </w:tcPr>
          <w:p w14:paraId="161679CB" w14:textId="77777777" w:rsidR="00E65B34" w:rsidRDefault="00E65B34" w:rsidP="00E547D3">
            <w:pPr>
              <w:rPr>
                <w:rFonts w:cs="Tahoma"/>
                <w:szCs w:val="20"/>
              </w:rPr>
            </w:pPr>
            <w:r>
              <w:rPr>
                <w:rFonts w:cs="Tahoma"/>
                <w:szCs w:val="20"/>
              </w:rPr>
              <w:t>Vraag</w:t>
            </w:r>
          </w:p>
        </w:tc>
      </w:tr>
      <w:tr w:rsidR="00E65B34" w14:paraId="25E9825B" w14:textId="77777777" w:rsidTr="00E547D3">
        <w:tc>
          <w:tcPr>
            <w:tcW w:w="1115" w:type="dxa"/>
          </w:tcPr>
          <w:p w14:paraId="1A7E1067" w14:textId="77777777" w:rsidR="00E65B34" w:rsidRDefault="00E65B34" w:rsidP="00E547D3">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7147F823" w14:textId="183D8FEE" w:rsidR="00E65B34" w:rsidRDefault="00E65B34" w:rsidP="00E547D3">
            <w:pPr>
              <w:rPr>
                <w:rFonts w:cstheme="minorHAnsi"/>
                <w:bCs/>
              </w:rPr>
            </w:pPr>
            <w:r>
              <w:rPr>
                <w:rFonts w:cstheme="minorHAnsi"/>
                <w:bCs/>
              </w:rPr>
              <w:t>Bijlage 2 Specificatielijst, Laptop</w:t>
            </w:r>
            <w:r>
              <w:rPr>
                <w:rFonts w:cstheme="minorHAnsi"/>
                <w:bCs/>
              </w:rPr>
              <w:t>, monitoren</w:t>
            </w:r>
          </w:p>
          <w:p w14:paraId="710743CF" w14:textId="77777777" w:rsidR="00E65B34" w:rsidRPr="00622ED9" w:rsidRDefault="00E65B34" w:rsidP="00E547D3">
            <w:pPr>
              <w:rPr>
                <w:rFonts w:cs="Tahoma"/>
                <w:szCs w:val="20"/>
              </w:rPr>
            </w:pPr>
          </w:p>
        </w:tc>
        <w:tc>
          <w:tcPr>
            <w:tcW w:w="6050" w:type="dxa"/>
          </w:tcPr>
          <w:p w14:paraId="3EC14805" w14:textId="3C9AB094" w:rsidR="00E65B34" w:rsidRDefault="00E65B34" w:rsidP="00E547D3">
            <w:pPr>
              <w:pStyle w:val="Geenafstand"/>
              <w:spacing w:after="160" w:line="259" w:lineRule="auto"/>
              <w:rPr>
                <w:rFonts w:cstheme="minorHAnsi"/>
              </w:rPr>
            </w:pPr>
            <w:r>
              <w:rPr>
                <w:rFonts w:cstheme="minorHAnsi"/>
              </w:rPr>
              <w:lastRenderedPageBreak/>
              <w:t xml:space="preserve">Wij adviseren </w:t>
            </w:r>
            <w:r>
              <w:rPr>
                <w:rFonts w:cstheme="minorHAnsi"/>
              </w:rPr>
              <w:t xml:space="preserve">nogmaals </w:t>
            </w:r>
            <w:r>
              <w:rPr>
                <w:rFonts w:cstheme="minorHAnsi"/>
              </w:rPr>
              <w:t xml:space="preserve">u als extra eis op te nemen dat alle aangeboden laptops </w:t>
            </w:r>
            <w:r>
              <w:rPr>
                <w:rFonts w:cstheme="minorHAnsi"/>
              </w:rPr>
              <w:t xml:space="preserve">en monitoren </w:t>
            </w:r>
            <w:r>
              <w:rPr>
                <w:rFonts w:cstheme="minorHAnsi"/>
              </w:rPr>
              <w:t xml:space="preserve">van hetzelfde merk en </w:t>
            </w:r>
            <w:r>
              <w:rPr>
                <w:rFonts w:cstheme="minorHAnsi"/>
              </w:rPr>
              <w:t>serie</w:t>
            </w:r>
            <w:r>
              <w:rPr>
                <w:rFonts w:cstheme="minorHAnsi"/>
              </w:rPr>
              <w:t xml:space="preserve"> dienen te zijn. Gaat u hiermee akkoord?</w:t>
            </w:r>
          </w:p>
          <w:p w14:paraId="17F4D058" w14:textId="77777777" w:rsidR="00E65B34" w:rsidRPr="00622ED9" w:rsidRDefault="00E65B34" w:rsidP="00E547D3">
            <w:pPr>
              <w:rPr>
                <w:rFonts w:cs="Tahoma"/>
                <w:szCs w:val="20"/>
              </w:rPr>
            </w:pPr>
          </w:p>
        </w:tc>
      </w:tr>
      <w:tr w:rsidR="00E65B34" w14:paraId="0535E52E" w14:textId="77777777" w:rsidTr="00E547D3">
        <w:tc>
          <w:tcPr>
            <w:tcW w:w="1115" w:type="dxa"/>
          </w:tcPr>
          <w:p w14:paraId="0A3AB45B" w14:textId="77777777" w:rsidR="00E65B34" w:rsidRDefault="00E65B34" w:rsidP="00E547D3">
            <w:pPr>
              <w:jc w:val="center"/>
              <w:rPr>
                <w:rFonts w:cs="Tahoma"/>
                <w:szCs w:val="20"/>
              </w:rPr>
            </w:pPr>
            <w:r>
              <w:rPr>
                <w:rFonts w:cs="Tahoma"/>
                <w:szCs w:val="20"/>
              </w:rPr>
              <w:lastRenderedPageBreak/>
              <w:t>Antwoord</w:t>
            </w:r>
          </w:p>
        </w:tc>
        <w:tc>
          <w:tcPr>
            <w:tcW w:w="7947" w:type="dxa"/>
            <w:gridSpan w:val="2"/>
          </w:tcPr>
          <w:p w14:paraId="0925ABA1" w14:textId="60CE3F92" w:rsidR="00E65B34" w:rsidRDefault="00E65B34" w:rsidP="00E65B34">
            <w:pPr>
              <w:rPr>
                <w:rFonts w:cs="Tahoma"/>
                <w:szCs w:val="20"/>
              </w:rPr>
            </w:pPr>
            <w:r>
              <w:rPr>
                <w:rFonts w:cs="Tahoma"/>
                <w:szCs w:val="20"/>
              </w:rPr>
              <w:t xml:space="preserve">Dit is akkoord. De laptops dienen dus van het zelfde merk/serie te zijn. Ook de monitoren dienen </w:t>
            </w:r>
            <w:r w:rsidRPr="00E65B34">
              <w:rPr>
                <w:rFonts w:cs="Tahoma"/>
                <w:szCs w:val="20"/>
              </w:rPr>
              <w:t>van het zelfde merk/serie te zijn.</w:t>
            </w:r>
            <w:r>
              <w:rPr>
                <w:rFonts w:cs="Tahoma"/>
                <w:szCs w:val="20"/>
              </w:rPr>
              <w:t xml:space="preserve"> Maar de laptops mogen wel van een ander merk/serie zijn dan de monitoren. </w:t>
            </w:r>
          </w:p>
        </w:tc>
      </w:tr>
    </w:tbl>
    <w:p w14:paraId="468D5ACE" w14:textId="77777777" w:rsidR="00E65B34" w:rsidRDefault="00E65B34" w:rsidP="00AD2FAE"/>
    <w:p w14:paraId="3F5FC31F" w14:textId="5C4D8C54" w:rsidR="0079292C" w:rsidRDefault="0079292C" w:rsidP="00AD2FAE">
      <w:r>
        <w:t>NB.: de inleverdatum van de offertes is vanwege deze extra nota van inlichtingen verplaatst naar 31 mei 2021 12.00 uur. Via TenderNed hebt u daarover reeds een bericht ontvangen.</w:t>
      </w:r>
      <w:bookmarkStart w:id="0" w:name="_GoBack"/>
      <w:bookmarkEnd w:id="0"/>
    </w:p>
    <w:sectPr w:rsidR="0079292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BF811" w14:textId="77777777" w:rsidR="00EE36B0" w:rsidRDefault="00EE36B0" w:rsidP="00EE36B0">
      <w:pPr>
        <w:spacing w:after="0" w:line="240" w:lineRule="auto"/>
      </w:pPr>
      <w:r>
        <w:separator/>
      </w:r>
    </w:p>
  </w:endnote>
  <w:endnote w:type="continuationSeparator" w:id="0">
    <w:p w14:paraId="02C80487" w14:textId="77777777" w:rsidR="00EE36B0" w:rsidRDefault="00EE36B0" w:rsidP="00EE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FBE6" w14:textId="77777777" w:rsidR="00EE36B0" w:rsidRDefault="00EE36B0" w:rsidP="00EE36B0">
    <w:pPr>
      <w:pStyle w:val="Plattetekst"/>
    </w:pPr>
    <w:r>
      <w:rPr>
        <w:sz w:val="18"/>
      </w:rPr>
      <w:t xml:space="preserve">                               </w:t>
    </w:r>
  </w:p>
  <w:p w14:paraId="137A9B85" w14:textId="77777777" w:rsidR="00EE36B0" w:rsidRPr="00332060" w:rsidRDefault="00EE36B0" w:rsidP="00EE36B0">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bCs/>
        <w:sz w:val="16"/>
        <w:szCs w:val="16"/>
      </w:rPr>
      <w:t xml:space="preserve"> </w:t>
    </w:r>
    <w:r>
      <w:rPr>
        <w:rFonts w:ascii="Arial" w:hAnsi="Arial" w:cs="Arial"/>
        <w:bCs/>
        <w:sz w:val="16"/>
        <w:szCs w:val="16"/>
      </w:rPr>
      <w:t>Waterschap Limburg</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79292C">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14:paraId="61AD058C" w14:textId="77777777" w:rsidR="00EE36B0" w:rsidRPr="005839DA" w:rsidRDefault="00EE36B0" w:rsidP="00EE36B0">
    <w:pPr>
      <w:pBdr>
        <w:top w:val="single" w:sz="4" w:space="1" w:color="auto"/>
      </w:pBdr>
      <w:tabs>
        <w:tab w:val="right" w:pos="8364"/>
      </w:tabs>
      <w:spacing w:after="0"/>
      <w:rPr>
        <w:rFonts w:ascii="Arial" w:hAnsi="Arial" w:cs="Arial"/>
        <w:sz w:val="16"/>
        <w:szCs w:val="16"/>
      </w:rPr>
    </w:pPr>
    <w:r>
      <w:rPr>
        <w:rFonts w:ascii="Arial" w:hAnsi="Arial" w:cs="Arial"/>
        <w:sz w:val="16"/>
        <w:szCs w:val="16"/>
      </w:rPr>
      <w:t>Ref. nr.: KQPN/2021/1.1</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5839DA">
      <w:rPr>
        <w:rFonts w:ascii="Arial" w:hAnsi="Arial" w:cs="Arial"/>
        <w:sz w:val="16"/>
        <w:szCs w:val="16"/>
      </w:rPr>
      <w:tab/>
    </w:r>
  </w:p>
  <w:p w14:paraId="45BAA998" w14:textId="77777777" w:rsidR="00F61B70" w:rsidRDefault="007929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9E30A" w14:textId="77777777" w:rsidR="00EE36B0" w:rsidRDefault="00EE36B0" w:rsidP="00EE36B0">
      <w:pPr>
        <w:spacing w:after="0" w:line="240" w:lineRule="auto"/>
      </w:pPr>
      <w:r>
        <w:separator/>
      </w:r>
    </w:p>
  </w:footnote>
  <w:footnote w:type="continuationSeparator" w:id="0">
    <w:p w14:paraId="5C1E9978" w14:textId="77777777" w:rsidR="00EE36B0" w:rsidRDefault="00EE36B0" w:rsidP="00EE3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FD344" w14:textId="77777777" w:rsidR="00F61B70" w:rsidRDefault="0079292C" w:rsidP="00F61B70">
    <w:pPr>
      <w:tabs>
        <w:tab w:val="center" w:pos="4536"/>
        <w:tab w:val="right" w:pos="9072"/>
      </w:tabs>
      <w:spacing w:after="0" w:line="240" w:lineRule="auto"/>
      <w:jc w:val="center"/>
    </w:pPr>
  </w:p>
  <w:p w14:paraId="0458B19F" w14:textId="77777777" w:rsidR="00F61B70" w:rsidRDefault="007929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20A73"/>
    <w:multiLevelType w:val="hybridMultilevel"/>
    <w:tmpl w:val="106EC6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A138C"/>
    <w:multiLevelType w:val="hybridMultilevel"/>
    <w:tmpl w:val="ADF292DC"/>
    <w:lvl w:ilvl="0" w:tplc="C9AED728">
      <w:start w:val="1"/>
      <w:numFmt w:val="lowerLetter"/>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A52662"/>
    <w:multiLevelType w:val="hybridMultilevel"/>
    <w:tmpl w:val="106EC6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E9430D"/>
    <w:multiLevelType w:val="hybridMultilevel"/>
    <w:tmpl w:val="54C464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A61147"/>
    <w:multiLevelType w:val="hybridMultilevel"/>
    <w:tmpl w:val="11FC3B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06442F"/>
    <w:multiLevelType w:val="hybridMultilevel"/>
    <w:tmpl w:val="3D100B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991E07"/>
    <w:multiLevelType w:val="hybridMultilevel"/>
    <w:tmpl w:val="A18020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D10CEC"/>
    <w:multiLevelType w:val="hybridMultilevel"/>
    <w:tmpl w:val="6EC4EA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552064"/>
    <w:multiLevelType w:val="hybridMultilevel"/>
    <w:tmpl w:val="665428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2"/>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B0"/>
    <w:rsid w:val="000861B2"/>
    <w:rsid w:val="00093BE8"/>
    <w:rsid w:val="00391704"/>
    <w:rsid w:val="003B1921"/>
    <w:rsid w:val="00430BEA"/>
    <w:rsid w:val="004B20B3"/>
    <w:rsid w:val="00521F26"/>
    <w:rsid w:val="005775A8"/>
    <w:rsid w:val="005D6113"/>
    <w:rsid w:val="006D32F7"/>
    <w:rsid w:val="0079292C"/>
    <w:rsid w:val="007B1B77"/>
    <w:rsid w:val="00950EC7"/>
    <w:rsid w:val="009D7506"/>
    <w:rsid w:val="00AD2FAE"/>
    <w:rsid w:val="00D44C3A"/>
    <w:rsid w:val="00E14386"/>
    <w:rsid w:val="00E65B34"/>
    <w:rsid w:val="00EB4EE5"/>
    <w:rsid w:val="00EE36B0"/>
    <w:rsid w:val="00EF5787"/>
    <w:rsid w:val="00F708BB"/>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5A05"/>
  <w15:chartTrackingRefBased/>
  <w15:docId w15:val="{88705A78-A176-455D-A6EA-C2F378F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36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36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6B0"/>
  </w:style>
  <w:style w:type="paragraph" w:styleId="Voettekst">
    <w:name w:val="footer"/>
    <w:basedOn w:val="Standaard"/>
    <w:link w:val="VoettekstChar"/>
    <w:uiPriority w:val="99"/>
    <w:unhideWhenUsed/>
    <w:rsid w:val="00EE36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6B0"/>
  </w:style>
  <w:style w:type="paragraph" w:styleId="Plattetekst">
    <w:name w:val="Body Text"/>
    <w:basedOn w:val="Standaard"/>
    <w:link w:val="PlattetekstChar"/>
    <w:rsid w:val="00EE36B0"/>
    <w:pPr>
      <w:spacing w:after="0" w:line="240" w:lineRule="auto"/>
    </w:pPr>
    <w:rPr>
      <w:rFonts w:ascii="Arial" w:eastAsia="Times New Roman" w:hAnsi="Arial" w:cs="Times New Roman"/>
      <w:b/>
      <w:sz w:val="20"/>
      <w:szCs w:val="20"/>
      <w:lang w:eastAsia="nl-NL"/>
    </w:rPr>
  </w:style>
  <w:style w:type="character" w:customStyle="1" w:styleId="PlattetekstChar">
    <w:name w:val="Platte tekst Char"/>
    <w:basedOn w:val="Standaardalinea-lettertype"/>
    <w:link w:val="Plattetekst"/>
    <w:rsid w:val="00EE36B0"/>
    <w:rPr>
      <w:rFonts w:ascii="Arial" w:eastAsia="Times New Roman" w:hAnsi="Arial" w:cs="Times New Roman"/>
      <w:b/>
      <w:sz w:val="20"/>
      <w:szCs w:val="20"/>
      <w:lang w:eastAsia="nl-NL"/>
    </w:rPr>
  </w:style>
  <w:style w:type="paragraph" w:styleId="Lijstalinea">
    <w:name w:val="List Paragraph"/>
    <w:basedOn w:val="Standaard"/>
    <w:uiPriority w:val="34"/>
    <w:qFormat/>
    <w:rsid w:val="000861B2"/>
    <w:pPr>
      <w:ind w:left="720"/>
      <w:contextualSpacing/>
    </w:pPr>
  </w:style>
  <w:style w:type="character" w:customStyle="1" w:styleId="GeenafstandChar">
    <w:name w:val="Geen afstand Char"/>
    <w:basedOn w:val="Standaardalinea-lettertype"/>
    <w:link w:val="Geenafstand"/>
    <w:uiPriority w:val="1"/>
    <w:locked/>
    <w:rsid w:val="005775A8"/>
  </w:style>
  <w:style w:type="paragraph" w:styleId="Geenafstand">
    <w:name w:val="No Spacing"/>
    <w:link w:val="GeenafstandChar"/>
    <w:uiPriority w:val="1"/>
    <w:qFormat/>
    <w:rsid w:val="00577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109470">
      <w:bodyDiv w:val="1"/>
      <w:marLeft w:val="0"/>
      <w:marRight w:val="0"/>
      <w:marTop w:val="0"/>
      <w:marBottom w:val="0"/>
      <w:divBdr>
        <w:top w:val="none" w:sz="0" w:space="0" w:color="auto"/>
        <w:left w:val="none" w:sz="0" w:space="0" w:color="auto"/>
        <w:bottom w:val="none" w:sz="0" w:space="0" w:color="auto"/>
        <w:right w:val="none" w:sz="0" w:space="0" w:color="auto"/>
      </w:divBdr>
      <w:divsChild>
        <w:div w:id="2135248922">
          <w:marLeft w:val="0"/>
          <w:marRight w:val="0"/>
          <w:marTop w:val="0"/>
          <w:marBottom w:val="0"/>
          <w:divBdr>
            <w:top w:val="none" w:sz="0" w:space="0" w:color="auto"/>
            <w:left w:val="none" w:sz="0" w:space="0" w:color="auto"/>
            <w:bottom w:val="none" w:sz="0" w:space="0" w:color="auto"/>
            <w:right w:val="none" w:sz="0" w:space="0" w:color="auto"/>
          </w:divBdr>
        </w:div>
      </w:divsChild>
    </w:div>
    <w:div w:id="442042666">
      <w:bodyDiv w:val="1"/>
      <w:marLeft w:val="0"/>
      <w:marRight w:val="0"/>
      <w:marTop w:val="0"/>
      <w:marBottom w:val="0"/>
      <w:divBdr>
        <w:top w:val="none" w:sz="0" w:space="0" w:color="auto"/>
        <w:left w:val="none" w:sz="0" w:space="0" w:color="auto"/>
        <w:bottom w:val="none" w:sz="0" w:space="0" w:color="auto"/>
        <w:right w:val="none" w:sz="0" w:space="0" w:color="auto"/>
      </w:divBdr>
    </w:div>
    <w:div w:id="882060135">
      <w:bodyDiv w:val="1"/>
      <w:marLeft w:val="0"/>
      <w:marRight w:val="0"/>
      <w:marTop w:val="0"/>
      <w:marBottom w:val="0"/>
      <w:divBdr>
        <w:top w:val="none" w:sz="0" w:space="0" w:color="auto"/>
        <w:left w:val="none" w:sz="0" w:space="0" w:color="auto"/>
        <w:bottom w:val="none" w:sz="0" w:space="0" w:color="auto"/>
        <w:right w:val="none" w:sz="0" w:space="0" w:color="auto"/>
      </w:divBdr>
    </w:div>
    <w:div w:id="898323313">
      <w:bodyDiv w:val="1"/>
      <w:marLeft w:val="0"/>
      <w:marRight w:val="0"/>
      <w:marTop w:val="0"/>
      <w:marBottom w:val="0"/>
      <w:divBdr>
        <w:top w:val="none" w:sz="0" w:space="0" w:color="auto"/>
        <w:left w:val="none" w:sz="0" w:space="0" w:color="auto"/>
        <w:bottom w:val="none" w:sz="0" w:space="0" w:color="auto"/>
        <w:right w:val="none" w:sz="0" w:space="0" w:color="auto"/>
      </w:divBdr>
    </w:div>
    <w:div w:id="1002006699">
      <w:bodyDiv w:val="1"/>
      <w:marLeft w:val="0"/>
      <w:marRight w:val="0"/>
      <w:marTop w:val="0"/>
      <w:marBottom w:val="0"/>
      <w:divBdr>
        <w:top w:val="none" w:sz="0" w:space="0" w:color="auto"/>
        <w:left w:val="none" w:sz="0" w:space="0" w:color="auto"/>
        <w:bottom w:val="none" w:sz="0" w:space="0" w:color="auto"/>
        <w:right w:val="none" w:sz="0" w:space="0" w:color="auto"/>
      </w:divBdr>
    </w:div>
    <w:div w:id="1077871692">
      <w:bodyDiv w:val="1"/>
      <w:marLeft w:val="0"/>
      <w:marRight w:val="0"/>
      <w:marTop w:val="0"/>
      <w:marBottom w:val="0"/>
      <w:divBdr>
        <w:top w:val="none" w:sz="0" w:space="0" w:color="auto"/>
        <w:left w:val="none" w:sz="0" w:space="0" w:color="auto"/>
        <w:bottom w:val="none" w:sz="0" w:space="0" w:color="auto"/>
        <w:right w:val="none" w:sz="0" w:space="0" w:color="auto"/>
      </w:divBdr>
      <w:divsChild>
        <w:div w:id="1895115230">
          <w:marLeft w:val="0"/>
          <w:marRight w:val="0"/>
          <w:marTop w:val="0"/>
          <w:marBottom w:val="0"/>
          <w:divBdr>
            <w:top w:val="none" w:sz="0" w:space="0" w:color="auto"/>
            <w:left w:val="none" w:sz="0" w:space="0" w:color="auto"/>
            <w:bottom w:val="none" w:sz="0" w:space="0" w:color="auto"/>
            <w:right w:val="none" w:sz="0" w:space="0" w:color="auto"/>
          </w:divBdr>
        </w:div>
      </w:divsChild>
    </w:div>
    <w:div w:id="1114833793">
      <w:bodyDiv w:val="1"/>
      <w:marLeft w:val="0"/>
      <w:marRight w:val="0"/>
      <w:marTop w:val="0"/>
      <w:marBottom w:val="0"/>
      <w:divBdr>
        <w:top w:val="none" w:sz="0" w:space="0" w:color="auto"/>
        <w:left w:val="none" w:sz="0" w:space="0" w:color="auto"/>
        <w:bottom w:val="none" w:sz="0" w:space="0" w:color="auto"/>
        <w:right w:val="none" w:sz="0" w:space="0" w:color="auto"/>
      </w:divBdr>
    </w:div>
    <w:div w:id="1149901168">
      <w:bodyDiv w:val="1"/>
      <w:marLeft w:val="0"/>
      <w:marRight w:val="0"/>
      <w:marTop w:val="0"/>
      <w:marBottom w:val="0"/>
      <w:divBdr>
        <w:top w:val="none" w:sz="0" w:space="0" w:color="auto"/>
        <w:left w:val="none" w:sz="0" w:space="0" w:color="auto"/>
        <w:bottom w:val="none" w:sz="0" w:space="0" w:color="auto"/>
        <w:right w:val="none" w:sz="0" w:space="0" w:color="auto"/>
      </w:divBdr>
    </w:div>
    <w:div w:id="1205026462">
      <w:bodyDiv w:val="1"/>
      <w:marLeft w:val="0"/>
      <w:marRight w:val="0"/>
      <w:marTop w:val="0"/>
      <w:marBottom w:val="0"/>
      <w:divBdr>
        <w:top w:val="none" w:sz="0" w:space="0" w:color="auto"/>
        <w:left w:val="none" w:sz="0" w:space="0" w:color="auto"/>
        <w:bottom w:val="none" w:sz="0" w:space="0" w:color="auto"/>
        <w:right w:val="none" w:sz="0" w:space="0" w:color="auto"/>
      </w:divBdr>
    </w:div>
    <w:div w:id="202613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2021-05-20T10:20:00Z</dcterms:created>
  <dcterms:modified xsi:type="dcterms:W3CDTF">2021-05-20T10:20:00Z</dcterms:modified>
</cp:coreProperties>
</file>