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834D749" w:rsidR="000F06EB" w:rsidRDefault="00D4614A" w:rsidP="000F06EB">
      <w:pPr>
        <w:pStyle w:val="Plattetekst"/>
        <w:rPr>
          <w:rFonts w:cstheme="minorHAnsi"/>
        </w:rPr>
      </w:pPr>
      <w:r>
        <w:rPr>
          <w:rFonts w:cstheme="minorHAnsi"/>
        </w:rPr>
        <w:t>2.</w:t>
      </w:r>
      <w:r w:rsidR="00E61402">
        <w:rPr>
          <w:rFonts w:cstheme="minorHAnsi"/>
        </w:rPr>
        <w:t>4</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74B6F156" w:rsidR="000F06EB" w:rsidRDefault="004806E9" w:rsidP="000F06EB">
      <w:pPr>
        <w:pStyle w:val="Plattetekst"/>
        <w:rPr>
          <w:rFonts w:cstheme="minorHAnsi"/>
        </w:rPr>
      </w:pPr>
      <w:r>
        <w:rPr>
          <w:rFonts w:cstheme="minorHAnsi"/>
        </w:rPr>
        <w:t>08</w:t>
      </w:r>
      <w:r w:rsidR="00CE7170">
        <w:rPr>
          <w:rFonts w:cstheme="minorHAnsi"/>
        </w:rPr>
        <w:t>-0</w:t>
      </w:r>
      <w:r>
        <w:rPr>
          <w:rFonts w:cstheme="minorHAnsi"/>
        </w:rPr>
        <w:t>4</w:t>
      </w:r>
      <w:r w:rsidR="00CE7170">
        <w:rPr>
          <w:rFonts w:cstheme="minorHAnsi"/>
        </w:rPr>
        <w:t>-2021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A6BC5"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01665F" w:rsidRDefault="00CE7170" w:rsidP="000F06EB">
            <w:pPr>
              <w:pStyle w:val="Plattetekst"/>
              <w:rPr>
                <w:rFonts w:cstheme="minorHAnsi"/>
              </w:rPr>
            </w:pPr>
            <w:r>
              <w:rPr>
                <w:rFonts w:cstheme="minorHAnsi"/>
              </w:rPr>
              <w:t>2.3-3</w:t>
            </w:r>
          </w:p>
        </w:tc>
        <w:tc>
          <w:tcPr>
            <w:tcW w:w="1559" w:type="dxa"/>
          </w:tcPr>
          <w:p w14:paraId="78853652" w14:textId="374EE762"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19-01-2021</w:t>
            </w:r>
          </w:p>
        </w:tc>
        <w:tc>
          <w:tcPr>
            <w:tcW w:w="6088" w:type="dxa"/>
          </w:tcPr>
          <w:p w14:paraId="2981D257" w14:textId="2EB129D7"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2.3-3 aangepast o.b.v. EDPB advies n.a.v. </w:t>
            </w:r>
            <w:proofErr w:type="spellStart"/>
            <w:r>
              <w:rPr>
                <w:rFonts w:cstheme="minorHAnsi"/>
              </w:rPr>
              <w:t>Schrems</w:t>
            </w:r>
            <w:proofErr w:type="spellEnd"/>
            <w:r>
              <w:rPr>
                <w:rFonts w:cstheme="minorHAnsi"/>
              </w:rPr>
              <w:t xml:space="preserve"> II  </w:t>
            </w:r>
          </w:p>
        </w:tc>
      </w:tr>
      <w:tr w:rsidR="00E61402" w:rsidRPr="00CA6BC5"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Default="00E61402" w:rsidP="000F06EB">
            <w:pPr>
              <w:pStyle w:val="Plattetekst"/>
              <w:rPr>
                <w:rFonts w:cstheme="minorHAnsi"/>
              </w:rPr>
            </w:pPr>
            <w:r>
              <w:rPr>
                <w:rFonts w:cstheme="minorHAnsi"/>
              </w:rPr>
              <w:t>2.4</w:t>
            </w:r>
          </w:p>
        </w:tc>
        <w:tc>
          <w:tcPr>
            <w:tcW w:w="1559" w:type="dxa"/>
          </w:tcPr>
          <w:p w14:paraId="41982EC3" w14:textId="1C01852D" w:rsidR="00E61402"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12-04-2021</w:t>
            </w:r>
          </w:p>
        </w:tc>
        <w:tc>
          <w:tcPr>
            <w:tcW w:w="6088" w:type="dxa"/>
          </w:tcPr>
          <w:p w14:paraId="0646C516" w14:textId="57CEA60E"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2.3-3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B5070A" w:rsidP="00E61402">
      <w:pPr>
        <w:pStyle w:val="Plattetekst"/>
        <w:numPr>
          <w:ilvl w:val="0"/>
          <w:numId w:val="4"/>
        </w:numPr>
        <w:ind w:left="360"/>
        <w:rPr>
          <w:rFonts w:cstheme="minorHAnsi"/>
        </w:rPr>
      </w:pPr>
      <w:hyperlink r:id="rId21" w:history="1">
        <w:r w:rsidR="00E61402" w:rsidRPr="007F1EFB">
          <w:rPr>
            <w:rStyle w:val="Hyperlink"/>
            <w:rFonts w:cstheme="minorHAnsi"/>
          </w:rPr>
          <w:t>GIBIT 2020</w:t>
        </w:r>
      </w:hyperlink>
      <w:r w:rsidR="00E61402">
        <w:rPr>
          <w:rFonts w:cstheme="minorHAnsi"/>
        </w:rPr>
        <w:t>; (en klik vervolgens op ‘GIBIT-</w:t>
      </w:r>
      <w:proofErr w:type="spellStart"/>
      <w:r w:rsidR="00E61402">
        <w:rPr>
          <w:rFonts w:cstheme="minorHAnsi"/>
        </w:rPr>
        <w:t>Toolbox</w:t>
      </w:r>
      <w:proofErr w:type="spellEnd"/>
      <w:r w:rsidR="00E61402">
        <w:rPr>
          <w:rFonts w:cstheme="minorHAnsi"/>
        </w:rPr>
        <w:t>’)</w:t>
      </w:r>
    </w:p>
    <w:p w14:paraId="4E561F60" w14:textId="77777777" w:rsidR="00E61402" w:rsidRPr="004B751B" w:rsidRDefault="00B5070A"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p>
    <w:p w14:paraId="58FE778C" w14:textId="77777777" w:rsidR="00E61402" w:rsidRPr="004B751B" w:rsidRDefault="00B5070A"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B5070A" w:rsidP="00E61402">
      <w:pPr>
        <w:pStyle w:val="Plattetekst"/>
        <w:numPr>
          <w:ilvl w:val="0"/>
          <w:numId w:val="5"/>
        </w:numPr>
        <w:ind w:left="360"/>
        <w:rPr>
          <w:rFonts w:cstheme="minorHAnsi"/>
        </w:rPr>
      </w:pPr>
      <w:hyperlink r:id="rId24" w:history="1">
        <w:r w:rsidR="00E61402" w:rsidRPr="006E7727">
          <w:rPr>
            <w:rStyle w:val="Hyperlink"/>
            <w:rFonts w:cstheme="minorHAnsi"/>
          </w:rPr>
          <w:t xml:space="preserve">Handreiking Service Level </w:t>
        </w:r>
        <w:proofErr w:type="spellStart"/>
        <w:r w:rsidR="00E61402" w:rsidRPr="006E7727">
          <w:rPr>
            <w:rStyle w:val="Hyperlink"/>
            <w:rFonts w:cstheme="minorHAnsi"/>
          </w:rPr>
          <w:t>Agreements</w:t>
        </w:r>
        <w:proofErr w:type="spellEnd"/>
      </w:hyperlink>
      <w:r w:rsidR="00E61402" w:rsidRPr="006E7727">
        <w:rPr>
          <w:rFonts w:cstheme="minorHAnsi"/>
        </w:rPr>
        <w:t>;</w:t>
      </w:r>
    </w:p>
    <w:p w14:paraId="027ED87B" w14:textId="77777777" w:rsidR="00E61402" w:rsidRPr="004B751B" w:rsidRDefault="00B5070A"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B5070A"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B5070A"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60841BF1"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110BB9DD" w14:textId="381F3494" w:rsidR="00820546" w:rsidRPr="00B5070A" w:rsidRDefault="00C14339">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72421326" w:history="1">
            <w:r w:rsidR="00820546" w:rsidRPr="00B5070A">
              <w:rPr>
                <w:rStyle w:val="Hyperlink"/>
                <w:rFonts w:asciiTheme="minorHAnsi" w:hAnsiTheme="minorHAnsi" w:cstheme="minorHAnsi"/>
                <w:noProof/>
                <w:sz w:val="20"/>
                <w:szCs w:val="20"/>
              </w:rPr>
              <w:t>1.</w:t>
            </w:r>
            <w:r w:rsidR="00820546" w:rsidRPr="00B5070A">
              <w:rPr>
                <w:rFonts w:asciiTheme="minorHAnsi" w:eastAsiaTheme="minorEastAsia" w:hAnsiTheme="minorHAnsi" w:cstheme="minorBidi"/>
                <w:b w:val="0"/>
                <w:bCs w:val="0"/>
                <w:noProof/>
                <w:color w:val="auto"/>
                <w:sz w:val="20"/>
                <w:szCs w:val="20"/>
                <w:lang w:bidi="ar-SA"/>
              </w:rPr>
              <w:tab/>
            </w:r>
            <w:r w:rsidR="00820546" w:rsidRPr="00B5070A">
              <w:rPr>
                <w:rStyle w:val="Hyperlink"/>
                <w:rFonts w:asciiTheme="minorHAnsi" w:hAnsiTheme="minorHAnsi" w:cstheme="minorHAnsi"/>
                <w:noProof/>
                <w:sz w:val="20"/>
                <w:szCs w:val="20"/>
              </w:rPr>
              <w:t>Inleiding</w:t>
            </w:r>
            <w:r w:rsidR="00820546" w:rsidRPr="00B5070A">
              <w:rPr>
                <w:rFonts w:asciiTheme="minorHAnsi" w:hAnsiTheme="minorHAnsi"/>
                <w:noProof/>
                <w:webHidden/>
                <w:sz w:val="20"/>
                <w:szCs w:val="20"/>
              </w:rPr>
              <w:tab/>
            </w:r>
            <w:r w:rsidR="00820546" w:rsidRPr="00B5070A">
              <w:rPr>
                <w:rFonts w:asciiTheme="minorHAnsi" w:hAnsiTheme="minorHAnsi"/>
                <w:noProof/>
                <w:webHidden/>
                <w:sz w:val="20"/>
                <w:szCs w:val="20"/>
              </w:rPr>
              <w:fldChar w:fldCharType="begin"/>
            </w:r>
            <w:r w:rsidR="00820546" w:rsidRPr="00B5070A">
              <w:rPr>
                <w:rFonts w:asciiTheme="minorHAnsi" w:hAnsiTheme="minorHAnsi"/>
                <w:noProof/>
                <w:webHidden/>
                <w:sz w:val="20"/>
                <w:szCs w:val="20"/>
              </w:rPr>
              <w:instrText xml:space="preserve"> PAGEREF _Toc72421326 \h </w:instrText>
            </w:r>
            <w:r w:rsidR="00820546" w:rsidRPr="00B5070A">
              <w:rPr>
                <w:rFonts w:asciiTheme="minorHAnsi" w:hAnsiTheme="minorHAnsi"/>
                <w:noProof/>
                <w:webHidden/>
                <w:sz w:val="20"/>
                <w:szCs w:val="20"/>
              </w:rPr>
            </w:r>
            <w:r w:rsidR="00820546" w:rsidRPr="00B5070A">
              <w:rPr>
                <w:rFonts w:asciiTheme="minorHAnsi" w:hAnsiTheme="minorHAnsi"/>
                <w:noProof/>
                <w:webHidden/>
                <w:sz w:val="20"/>
                <w:szCs w:val="20"/>
              </w:rPr>
              <w:fldChar w:fldCharType="separate"/>
            </w:r>
            <w:r w:rsidR="00820546" w:rsidRPr="00B5070A">
              <w:rPr>
                <w:rFonts w:asciiTheme="minorHAnsi" w:hAnsiTheme="minorHAnsi"/>
                <w:noProof/>
                <w:webHidden/>
                <w:sz w:val="20"/>
                <w:szCs w:val="20"/>
              </w:rPr>
              <w:t>7</w:t>
            </w:r>
            <w:r w:rsidR="00820546" w:rsidRPr="00B5070A">
              <w:rPr>
                <w:rFonts w:asciiTheme="minorHAnsi" w:hAnsiTheme="minorHAnsi"/>
                <w:noProof/>
                <w:webHidden/>
                <w:sz w:val="20"/>
                <w:szCs w:val="20"/>
              </w:rPr>
              <w:fldChar w:fldCharType="end"/>
            </w:r>
          </w:hyperlink>
        </w:p>
        <w:p w14:paraId="09E5FD06" w14:textId="00F04512" w:rsidR="00820546" w:rsidRPr="00B5070A" w:rsidRDefault="00B5070A">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72421327" w:history="1">
            <w:r w:rsidR="00820546" w:rsidRPr="00B5070A">
              <w:rPr>
                <w:rStyle w:val="Hyperlink"/>
                <w:rFonts w:asciiTheme="minorHAnsi" w:hAnsiTheme="minorHAnsi" w:cstheme="minorHAnsi"/>
                <w:noProof/>
                <w:sz w:val="20"/>
                <w:szCs w:val="20"/>
              </w:rPr>
              <w:t>2.</w:t>
            </w:r>
            <w:r w:rsidR="00820546" w:rsidRPr="00B5070A">
              <w:rPr>
                <w:rFonts w:asciiTheme="minorHAnsi" w:eastAsiaTheme="minorEastAsia" w:hAnsiTheme="minorHAnsi" w:cstheme="minorBidi"/>
                <w:b w:val="0"/>
                <w:bCs w:val="0"/>
                <w:noProof/>
                <w:color w:val="auto"/>
                <w:sz w:val="20"/>
                <w:szCs w:val="20"/>
                <w:lang w:bidi="ar-SA"/>
              </w:rPr>
              <w:tab/>
            </w:r>
            <w:r w:rsidR="00820546" w:rsidRPr="00B5070A">
              <w:rPr>
                <w:rStyle w:val="Hyperlink"/>
                <w:rFonts w:asciiTheme="minorHAnsi" w:hAnsiTheme="minorHAnsi" w:cstheme="minorHAnsi"/>
                <w:noProof/>
                <w:sz w:val="20"/>
                <w:szCs w:val="20"/>
              </w:rPr>
              <w:t>Algemeen</w:t>
            </w:r>
            <w:r w:rsidR="00820546" w:rsidRPr="00B5070A">
              <w:rPr>
                <w:rFonts w:asciiTheme="minorHAnsi" w:hAnsiTheme="minorHAnsi"/>
                <w:noProof/>
                <w:webHidden/>
                <w:sz w:val="20"/>
                <w:szCs w:val="20"/>
              </w:rPr>
              <w:tab/>
            </w:r>
            <w:r w:rsidR="00820546" w:rsidRPr="00B5070A">
              <w:rPr>
                <w:rFonts w:asciiTheme="minorHAnsi" w:hAnsiTheme="minorHAnsi"/>
                <w:noProof/>
                <w:webHidden/>
                <w:sz w:val="20"/>
                <w:szCs w:val="20"/>
              </w:rPr>
              <w:fldChar w:fldCharType="begin"/>
            </w:r>
            <w:r w:rsidR="00820546" w:rsidRPr="00B5070A">
              <w:rPr>
                <w:rFonts w:asciiTheme="minorHAnsi" w:hAnsiTheme="minorHAnsi"/>
                <w:noProof/>
                <w:webHidden/>
                <w:sz w:val="20"/>
                <w:szCs w:val="20"/>
              </w:rPr>
              <w:instrText xml:space="preserve"> PAGEREF _Toc72421327 \h </w:instrText>
            </w:r>
            <w:r w:rsidR="00820546" w:rsidRPr="00B5070A">
              <w:rPr>
                <w:rFonts w:asciiTheme="minorHAnsi" w:hAnsiTheme="minorHAnsi"/>
                <w:noProof/>
                <w:webHidden/>
                <w:sz w:val="20"/>
                <w:szCs w:val="20"/>
              </w:rPr>
            </w:r>
            <w:r w:rsidR="00820546" w:rsidRPr="00B5070A">
              <w:rPr>
                <w:rFonts w:asciiTheme="minorHAnsi" w:hAnsiTheme="minorHAnsi"/>
                <w:noProof/>
                <w:webHidden/>
                <w:sz w:val="20"/>
                <w:szCs w:val="20"/>
              </w:rPr>
              <w:fldChar w:fldCharType="separate"/>
            </w:r>
            <w:r w:rsidR="00820546" w:rsidRPr="00B5070A">
              <w:rPr>
                <w:rFonts w:asciiTheme="minorHAnsi" w:hAnsiTheme="minorHAnsi"/>
                <w:noProof/>
                <w:webHidden/>
                <w:sz w:val="20"/>
                <w:szCs w:val="20"/>
              </w:rPr>
              <w:t>8</w:t>
            </w:r>
            <w:r w:rsidR="00820546" w:rsidRPr="00B5070A">
              <w:rPr>
                <w:rFonts w:asciiTheme="minorHAnsi" w:hAnsiTheme="minorHAnsi"/>
                <w:noProof/>
                <w:webHidden/>
                <w:sz w:val="20"/>
                <w:szCs w:val="20"/>
              </w:rPr>
              <w:fldChar w:fldCharType="end"/>
            </w:r>
          </w:hyperlink>
        </w:p>
        <w:p w14:paraId="57288953" w14:textId="5302A51E" w:rsidR="00820546" w:rsidRPr="00B5070A" w:rsidRDefault="00B5070A">
          <w:pPr>
            <w:pStyle w:val="Inhopg2"/>
            <w:rPr>
              <w:rFonts w:eastAsiaTheme="minorEastAsia" w:cstheme="minorBidi"/>
              <w:noProof/>
              <w:sz w:val="20"/>
              <w:szCs w:val="20"/>
              <w:lang w:bidi="ar-SA"/>
            </w:rPr>
          </w:pPr>
          <w:hyperlink w:anchor="_Toc72421328" w:history="1">
            <w:r w:rsidR="00820546" w:rsidRPr="00B5070A">
              <w:rPr>
                <w:rStyle w:val="Hyperlink"/>
                <w:noProof/>
                <w:sz w:val="20"/>
                <w:szCs w:val="20"/>
              </w:rPr>
              <w:t>2.1</w:t>
            </w:r>
            <w:r w:rsidR="00820546" w:rsidRPr="00B5070A">
              <w:rPr>
                <w:rFonts w:eastAsiaTheme="minorEastAsia" w:cstheme="minorBidi"/>
                <w:noProof/>
                <w:sz w:val="20"/>
                <w:szCs w:val="20"/>
                <w:lang w:bidi="ar-SA"/>
              </w:rPr>
              <w:tab/>
            </w:r>
            <w:r w:rsidR="00820546" w:rsidRPr="00B5070A">
              <w:rPr>
                <w:rStyle w:val="Hyperlink"/>
                <w:noProof/>
                <w:sz w:val="20"/>
                <w:szCs w:val="20"/>
              </w:rPr>
              <w:t>Is er wel een verwerkersovereenkomst nodig?</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_Toc72421328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8</w:t>
            </w:r>
            <w:r w:rsidR="00820546" w:rsidRPr="00B5070A">
              <w:rPr>
                <w:noProof/>
                <w:webHidden/>
                <w:sz w:val="20"/>
                <w:szCs w:val="20"/>
              </w:rPr>
              <w:fldChar w:fldCharType="end"/>
            </w:r>
          </w:hyperlink>
        </w:p>
        <w:p w14:paraId="49290D31" w14:textId="0494E1C3" w:rsidR="00820546" w:rsidRPr="00B5070A" w:rsidRDefault="00B5070A">
          <w:pPr>
            <w:pStyle w:val="Inhopg2"/>
            <w:rPr>
              <w:rFonts w:eastAsiaTheme="minorEastAsia" w:cstheme="minorBidi"/>
              <w:noProof/>
              <w:sz w:val="20"/>
              <w:szCs w:val="20"/>
              <w:lang w:bidi="ar-SA"/>
            </w:rPr>
          </w:pPr>
          <w:hyperlink w:anchor="_Toc72421329" w:history="1">
            <w:r w:rsidR="00820546" w:rsidRPr="00B5070A">
              <w:rPr>
                <w:rStyle w:val="Hyperlink"/>
                <w:noProof/>
                <w:sz w:val="20"/>
                <w:szCs w:val="20"/>
              </w:rPr>
              <w:t>2.2</w:t>
            </w:r>
            <w:r w:rsidR="00820546" w:rsidRPr="00B5070A">
              <w:rPr>
                <w:rFonts w:eastAsiaTheme="minorEastAsia" w:cstheme="minorBidi"/>
                <w:noProof/>
                <w:sz w:val="20"/>
                <w:szCs w:val="20"/>
                <w:lang w:bidi="ar-SA"/>
              </w:rPr>
              <w:tab/>
            </w:r>
            <w:r w:rsidR="00820546" w:rsidRPr="00B5070A">
              <w:rPr>
                <w:rStyle w:val="Hyperlink"/>
                <w:noProof/>
                <w:sz w:val="20"/>
                <w:szCs w:val="20"/>
              </w:rPr>
              <w:t>Gedeelde verantwoordelijkheid en vertrouwen</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_Toc72421329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8</w:t>
            </w:r>
            <w:r w:rsidR="00820546" w:rsidRPr="00B5070A">
              <w:rPr>
                <w:noProof/>
                <w:webHidden/>
                <w:sz w:val="20"/>
                <w:szCs w:val="20"/>
              </w:rPr>
              <w:fldChar w:fldCharType="end"/>
            </w:r>
          </w:hyperlink>
        </w:p>
        <w:p w14:paraId="46EBFB0D" w14:textId="14A42414" w:rsidR="00820546" w:rsidRPr="00B5070A" w:rsidRDefault="00B5070A">
          <w:pPr>
            <w:pStyle w:val="Inhopg2"/>
            <w:rPr>
              <w:rFonts w:eastAsiaTheme="minorEastAsia" w:cstheme="minorBidi"/>
              <w:noProof/>
              <w:sz w:val="20"/>
              <w:szCs w:val="20"/>
              <w:lang w:bidi="ar-SA"/>
            </w:rPr>
          </w:pPr>
          <w:hyperlink w:anchor="_Toc72421330" w:history="1">
            <w:r w:rsidR="00820546" w:rsidRPr="00B5070A">
              <w:rPr>
                <w:rStyle w:val="Hyperlink"/>
                <w:noProof/>
                <w:sz w:val="20"/>
                <w:szCs w:val="20"/>
              </w:rPr>
              <w:t>2.3</w:t>
            </w:r>
            <w:r w:rsidR="00820546" w:rsidRPr="00B5070A">
              <w:rPr>
                <w:rFonts w:eastAsiaTheme="minorEastAsia" w:cstheme="minorBidi"/>
                <w:noProof/>
                <w:sz w:val="20"/>
                <w:szCs w:val="20"/>
                <w:lang w:bidi="ar-SA"/>
              </w:rPr>
              <w:tab/>
            </w:r>
            <w:r w:rsidR="00820546" w:rsidRPr="00B5070A">
              <w:rPr>
                <w:rStyle w:val="Hyperlink"/>
                <w:noProof/>
                <w:sz w:val="20"/>
                <w:szCs w:val="20"/>
              </w:rPr>
              <w:t>Over welke onderwerpen moeten afspraken gemaakt worden?</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_Toc72421330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8</w:t>
            </w:r>
            <w:r w:rsidR="00820546" w:rsidRPr="00B5070A">
              <w:rPr>
                <w:noProof/>
                <w:webHidden/>
                <w:sz w:val="20"/>
                <w:szCs w:val="20"/>
              </w:rPr>
              <w:fldChar w:fldCharType="end"/>
            </w:r>
          </w:hyperlink>
        </w:p>
        <w:p w14:paraId="660AEAED" w14:textId="5975603B" w:rsidR="00820546" w:rsidRPr="00B5070A" w:rsidRDefault="00B5070A">
          <w:pPr>
            <w:pStyle w:val="Inhopg2"/>
            <w:rPr>
              <w:rFonts w:eastAsiaTheme="minorEastAsia" w:cstheme="minorBidi"/>
              <w:noProof/>
              <w:sz w:val="20"/>
              <w:szCs w:val="20"/>
              <w:lang w:bidi="ar-SA"/>
            </w:rPr>
          </w:pPr>
          <w:hyperlink w:anchor="_Toc72421331" w:history="1">
            <w:r w:rsidR="00820546" w:rsidRPr="00B5070A">
              <w:rPr>
                <w:rStyle w:val="Hyperlink"/>
                <w:noProof/>
                <w:sz w:val="20"/>
                <w:szCs w:val="20"/>
              </w:rPr>
              <w:t>2.5</w:t>
            </w:r>
            <w:r w:rsidR="00820546" w:rsidRPr="00B5070A">
              <w:rPr>
                <w:rFonts w:eastAsiaTheme="minorEastAsia" w:cstheme="minorBidi"/>
                <w:noProof/>
                <w:sz w:val="20"/>
                <w:szCs w:val="20"/>
                <w:lang w:bidi="ar-SA"/>
              </w:rPr>
              <w:tab/>
            </w:r>
            <w:r w:rsidR="00820546" w:rsidRPr="00B5070A">
              <w:rPr>
                <w:rStyle w:val="Hyperlink"/>
                <w:noProof/>
                <w:sz w:val="20"/>
                <w:szCs w:val="20"/>
              </w:rPr>
              <w:t>Artikelsgewijze toelichting</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_Toc72421331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9</w:t>
            </w:r>
            <w:r w:rsidR="00820546" w:rsidRPr="00B5070A">
              <w:rPr>
                <w:noProof/>
                <w:webHidden/>
                <w:sz w:val="20"/>
                <w:szCs w:val="20"/>
              </w:rPr>
              <w:fldChar w:fldCharType="end"/>
            </w:r>
          </w:hyperlink>
        </w:p>
        <w:p w14:paraId="4BE371B2" w14:textId="5441075F" w:rsidR="00820546" w:rsidRPr="00B5070A" w:rsidRDefault="00B5070A">
          <w:pPr>
            <w:pStyle w:val="Inhopg2"/>
            <w:rPr>
              <w:rFonts w:eastAsiaTheme="minorEastAsia" w:cstheme="minorBidi"/>
              <w:noProof/>
              <w:sz w:val="20"/>
              <w:szCs w:val="20"/>
              <w:lang w:bidi="ar-SA"/>
            </w:rPr>
          </w:pPr>
          <w:hyperlink w:anchor="_Toc72421332" w:history="1">
            <w:r w:rsidR="00820546" w:rsidRPr="00B5070A">
              <w:rPr>
                <w:rStyle w:val="Hyperlink"/>
                <w:noProof/>
                <w:sz w:val="20"/>
                <w:szCs w:val="20"/>
              </w:rPr>
              <w:t>2.6</w:t>
            </w:r>
            <w:r w:rsidR="00820546" w:rsidRPr="00B5070A">
              <w:rPr>
                <w:rFonts w:eastAsiaTheme="minorEastAsia" w:cstheme="minorBidi"/>
                <w:noProof/>
                <w:sz w:val="20"/>
                <w:szCs w:val="20"/>
                <w:lang w:bidi="ar-SA"/>
              </w:rPr>
              <w:tab/>
            </w:r>
            <w:r w:rsidR="00820546" w:rsidRPr="00B5070A">
              <w:rPr>
                <w:rStyle w:val="Hyperlink"/>
                <w:noProof/>
                <w:sz w:val="20"/>
                <w:szCs w:val="20"/>
              </w:rPr>
              <w:t>Toelichting bijlagen</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_Toc72421332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12</w:t>
            </w:r>
            <w:r w:rsidR="00820546" w:rsidRPr="00B5070A">
              <w:rPr>
                <w:noProof/>
                <w:webHidden/>
                <w:sz w:val="20"/>
                <w:szCs w:val="20"/>
              </w:rPr>
              <w:fldChar w:fldCharType="end"/>
            </w:r>
          </w:hyperlink>
        </w:p>
        <w:p w14:paraId="6F8D8D35" w14:textId="2EDCFF02" w:rsidR="00820546" w:rsidRPr="00B5070A" w:rsidRDefault="00B5070A">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72421333" w:history="1">
            <w:r w:rsidR="00820546" w:rsidRPr="00B5070A">
              <w:rPr>
                <w:rStyle w:val="Hyperlink"/>
                <w:rFonts w:asciiTheme="minorHAnsi" w:hAnsiTheme="minorHAnsi" w:cstheme="minorHAnsi"/>
                <w:noProof/>
                <w:sz w:val="20"/>
                <w:szCs w:val="20"/>
              </w:rPr>
              <w:t>3.</w:t>
            </w:r>
            <w:r w:rsidR="00820546" w:rsidRPr="00B5070A">
              <w:rPr>
                <w:rFonts w:asciiTheme="minorHAnsi" w:eastAsiaTheme="minorEastAsia" w:hAnsiTheme="minorHAnsi" w:cstheme="minorBidi"/>
                <w:b w:val="0"/>
                <w:bCs w:val="0"/>
                <w:noProof/>
                <w:color w:val="auto"/>
                <w:sz w:val="20"/>
                <w:szCs w:val="20"/>
                <w:lang w:bidi="ar-SA"/>
              </w:rPr>
              <w:tab/>
            </w:r>
            <w:r w:rsidR="00820546" w:rsidRPr="00B5070A">
              <w:rPr>
                <w:rStyle w:val="Hyperlink"/>
                <w:rFonts w:asciiTheme="minorHAnsi" w:hAnsiTheme="minorHAnsi"/>
                <w:noProof/>
                <w:sz w:val="20"/>
                <w:szCs w:val="20"/>
              </w:rPr>
              <w:t>Standaard verwerkersovereenkomst gemeenten</w:t>
            </w:r>
            <w:r w:rsidR="00820546" w:rsidRPr="00B5070A">
              <w:rPr>
                <w:rFonts w:asciiTheme="minorHAnsi" w:hAnsiTheme="minorHAnsi"/>
                <w:noProof/>
                <w:webHidden/>
                <w:sz w:val="20"/>
                <w:szCs w:val="20"/>
              </w:rPr>
              <w:tab/>
            </w:r>
            <w:r w:rsidR="00820546" w:rsidRPr="00B5070A">
              <w:rPr>
                <w:rFonts w:asciiTheme="minorHAnsi" w:hAnsiTheme="minorHAnsi"/>
                <w:noProof/>
                <w:webHidden/>
                <w:sz w:val="20"/>
                <w:szCs w:val="20"/>
              </w:rPr>
              <w:fldChar w:fldCharType="begin"/>
            </w:r>
            <w:r w:rsidR="00820546" w:rsidRPr="00B5070A">
              <w:rPr>
                <w:rFonts w:asciiTheme="minorHAnsi" w:hAnsiTheme="minorHAnsi"/>
                <w:noProof/>
                <w:webHidden/>
                <w:sz w:val="20"/>
                <w:szCs w:val="20"/>
              </w:rPr>
              <w:instrText xml:space="preserve"> PAGEREF _Toc72421333 \h </w:instrText>
            </w:r>
            <w:r w:rsidR="00820546" w:rsidRPr="00B5070A">
              <w:rPr>
                <w:rFonts w:asciiTheme="minorHAnsi" w:hAnsiTheme="minorHAnsi"/>
                <w:noProof/>
                <w:webHidden/>
                <w:sz w:val="20"/>
                <w:szCs w:val="20"/>
              </w:rPr>
            </w:r>
            <w:r w:rsidR="00820546" w:rsidRPr="00B5070A">
              <w:rPr>
                <w:rFonts w:asciiTheme="minorHAnsi" w:hAnsiTheme="minorHAnsi"/>
                <w:noProof/>
                <w:webHidden/>
                <w:sz w:val="20"/>
                <w:szCs w:val="20"/>
              </w:rPr>
              <w:fldChar w:fldCharType="separate"/>
            </w:r>
            <w:r w:rsidR="00820546" w:rsidRPr="00B5070A">
              <w:rPr>
                <w:rFonts w:asciiTheme="minorHAnsi" w:hAnsiTheme="minorHAnsi"/>
                <w:noProof/>
                <w:webHidden/>
                <w:sz w:val="20"/>
                <w:szCs w:val="20"/>
              </w:rPr>
              <w:t>16</w:t>
            </w:r>
            <w:r w:rsidR="00820546" w:rsidRPr="00B5070A">
              <w:rPr>
                <w:rFonts w:asciiTheme="minorHAnsi" w:hAnsiTheme="minorHAnsi"/>
                <w:noProof/>
                <w:webHidden/>
                <w:sz w:val="20"/>
                <w:szCs w:val="20"/>
              </w:rPr>
              <w:fldChar w:fldCharType="end"/>
            </w:r>
          </w:hyperlink>
        </w:p>
        <w:p w14:paraId="246F1867" w14:textId="2133A9F3" w:rsidR="00820546" w:rsidRPr="00B5070A" w:rsidRDefault="00B5070A">
          <w:pPr>
            <w:pStyle w:val="Inhopg2"/>
            <w:rPr>
              <w:rFonts w:eastAsiaTheme="minorEastAsia" w:cstheme="minorBidi"/>
              <w:noProof/>
              <w:sz w:val="20"/>
              <w:szCs w:val="20"/>
              <w:lang w:bidi="ar-SA"/>
            </w:rPr>
          </w:pPr>
          <w:hyperlink w:anchor="_Toc72421334" w:history="1">
            <w:r w:rsidR="00820546" w:rsidRPr="00B5070A">
              <w:rPr>
                <w:rStyle w:val="Hyperlink"/>
                <w:noProof/>
                <w:sz w:val="20"/>
                <w:szCs w:val="20"/>
              </w:rPr>
              <w:t>Verwerkersovereenkomst uitvoering &lt;</w:t>
            </w:r>
            <w:r w:rsidR="00820546" w:rsidRPr="00B5070A">
              <w:rPr>
                <w:rStyle w:val="Hyperlink"/>
                <w:noProof/>
                <w:sz w:val="20"/>
                <w:szCs w:val="20"/>
                <w:highlight w:val="yellow"/>
              </w:rPr>
              <w:t>naam hoofdovereenkomst</w:t>
            </w:r>
            <w:r w:rsidR="00820546" w:rsidRPr="00B5070A">
              <w:rPr>
                <w:rStyle w:val="Hyperlink"/>
                <w:noProof/>
                <w:sz w:val="20"/>
                <w:szCs w:val="20"/>
              </w:rPr>
              <w:t>&gt;</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_Toc72421334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16</w:t>
            </w:r>
            <w:r w:rsidR="00820546" w:rsidRPr="00B5070A">
              <w:rPr>
                <w:noProof/>
                <w:webHidden/>
                <w:sz w:val="20"/>
                <w:szCs w:val="20"/>
              </w:rPr>
              <w:fldChar w:fldCharType="end"/>
            </w:r>
          </w:hyperlink>
        </w:p>
        <w:p w14:paraId="5507DB7E" w14:textId="79DEB67F" w:rsidR="00820546" w:rsidRPr="00B5070A" w:rsidRDefault="00B5070A">
          <w:pPr>
            <w:pStyle w:val="Inhopg2"/>
            <w:rPr>
              <w:rFonts w:eastAsiaTheme="minorEastAsia" w:cstheme="minorBidi"/>
              <w:noProof/>
              <w:sz w:val="20"/>
              <w:szCs w:val="20"/>
              <w:lang w:bidi="ar-SA"/>
            </w:rPr>
          </w:pPr>
          <w:hyperlink w:anchor="_Toc72421335" w:history="1">
            <w:r w:rsidR="00820546" w:rsidRPr="00B5070A">
              <w:rPr>
                <w:rStyle w:val="Hyperlink"/>
                <w:noProof/>
                <w:sz w:val="20"/>
                <w:szCs w:val="20"/>
              </w:rPr>
              <w:t>Bijlage 1: Overzicht van te verwerken persoonsgegevens</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_Toc72421335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20</w:t>
            </w:r>
            <w:r w:rsidR="00820546" w:rsidRPr="00B5070A">
              <w:rPr>
                <w:noProof/>
                <w:webHidden/>
                <w:sz w:val="20"/>
                <w:szCs w:val="20"/>
              </w:rPr>
              <w:fldChar w:fldCharType="end"/>
            </w:r>
          </w:hyperlink>
        </w:p>
        <w:p w14:paraId="297C53D5" w14:textId="407218C3" w:rsidR="00820546" w:rsidRPr="00B5070A" w:rsidRDefault="00B5070A">
          <w:pPr>
            <w:pStyle w:val="Inhopg2"/>
            <w:rPr>
              <w:rFonts w:eastAsiaTheme="minorEastAsia" w:cstheme="minorBidi"/>
              <w:noProof/>
              <w:sz w:val="20"/>
              <w:szCs w:val="20"/>
              <w:lang w:bidi="ar-SA"/>
            </w:rPr>
          </w:pPr>
          <w:hyperlink w:anchor="_Toc72421336" w:history="1">
            <w:r w:rsidR="00820546" w:rsidRPr="00B5070A">
              <w:rPr>
                <w:rStyle w:val="Hyperlink"/>
                <w:noProof/>
                <w:sz w:val="20"/>
                <w:szCs w:val="20"/>
              </w:rPr>
              <w:t>Bijlage 2: Aantonen passend niveau van beveiliging</w:t>
            </w:r>
            <w:r w:rsidR="00820546" w:rsidRPr="00B5070A">
              <w:rPr>
                <w:noProof/>
                <w:webHidden/>
                <w:sz w:val="20"/>
                <w:szCs w:val="20"/>
              </w:rPr>
              <w:tab/>
            </w:r>
            <w:r w:rsidR="00820546" w:rsidRPr="00B5070A">
              <w:rPr>
                <w:noProof/>
                <w:webHidden/>
                <w:sz w:val="20"/>
                <w:szCs w:val="20"/>
              </w:rPr>
              <w:fldChar w:fldCharType="begin"/>
            </w:r>
            <w:r w:rsidR="00820546" w:rsidRPr="00B5070A">
              <w:rPr>
                <w:noProof/>
                <w:webHidden/>
                <w:sz w:val="20"/>
                <w:szCs w:val="20"/>
              </w:rPr>
              <w:instrText xml:space="preserve"> PAGEREF _Toc72421336 \h </w:instrText>
            </w:r>
            <w:r w:rsidR="00820546" w:rsidRPr="00B5070A">
              <w:rPr>
                <w:noProof/>
                <w:webHidden/>
                <w:sz w:val="20"/>
                <w:szCs w:val="20"/>
              </w:rPr>
            </w:r>
            <w:r w:rsidR="00820546" w:rsidRPr="00B5070A">
              <w:rPr>
                <w:noProof/>
                <w:webHidden/>
                <w:sz w:val="20"/>
                <w:szCs w:val="20"/>
              </w:rPr>
              <w:fldChar w:fldCharType="separate"/>
            </w:r>
            <w:r w:rsidR="00820546" w:rsidRPr="00B5070A">
              <w:rPr>
                <w:noProof/>
                <w:webHidden/>
                <w:sz w:val="20"/>
                <w:szCs w:val="20"/>
              </w:rPr>
              <w:t>21</w:t>
            </w:r>
            <w:r w:rsidR="00820546" w:rsidRPr="00B5070A">
              <w:rPr>
                <w:noProof/>
                <w:webHidden/>
                <w:sz w:val="20"/>
                <w:szCs w:val="20"/>
              </w:rPr>
              <w:fldChar w:fldCharType="end"/>
            </w:r>
          </w:hyperlink>
        </w:p>
        <w:p w14:paraId="06302B83" w14:textId="21A8CACD"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72421326"/>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72421327"/>
      <w:r>
        <w:rPr>
          <w:rFonts w:asciiTheme="minorHAnsi" w:hAnsiTheme="minorHAnsi" w:cstheme="minorHAnsi"/>
        </w:rPr>
        <w:t>Algemeen</w:t>
      </w:r>
      <w:bookmarkEnd w:id="4"/>
    </w:p>
    <w:p w14:paraId="39058952" w14:textId="30E83944" w:rsidR="00D64523" w:rsidRPr="008C278B" w:rsidRDefault="00F6583B" w:rsidP="00363301">
      <w:pPr>
        <w:pStyle w:val="Kop2"/>
      </w:pPr>
      <w:bookmarkStart w:id="5" w:name="_Toc72421328"/>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63301">
      <w:pPr>
        <w:pStyle w:val="Kop2"/>
      </w:pPr>
      <w:bookmarkStart w:id="6" w:name="_Toc72421329"/>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72421330"/>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63301">
      <w:pPr>
        <w:pStyle w:val="Kop2"/>
        <w:rPr>
          <w:sz w:val="18"/>
          <w:szCs w:val="18"/>
        </w:rPr>
      </w:pPr>
      <w:bookmarkStart w:id="8" w:name="_Toc72421331"/>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proofErr w:type="spellStart"/>
      <w:r>
        <w:rPr>
          <w:rFonts w:cstheme="minorHAnsi"/>
        </w:rPr>
        <w:t>subverwerk</w:t>
      </w:r>
      <w:r w:rsidR="00D10C8E">
        <w:rPr>
          <w:rFonts w:cstheme="minorHAnsi"/>
        </w:rPr>
        <w:t>er</w:t>
      </w:r>
      <w:proofErr w:type="spellEnd"/>
      <w:r w:rsidR="00D10C8E">
        <w:rPr>
          <w:rFonts w:cstheme="minorHAnsi"/>
        </w:rPr>
        <w:t xml:space="preserve">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lastRenderedPageBreak/>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lastRenderedPageBreak/>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11E039ED"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2B6FFC0D" w14:textId="79F67B20" w:rsidR="002F0163"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 xml:space="preserve">. </w:t>
      </w:r>
    </w:p>
    <w:p w14:paraId="624C9A48" w14:textId="179EBE2B" w:rsidR="00D64523" w:rsidRPr="00D9012B" w:rsidRDefault="004C5C35" w:rsidP="00363301">
      <w:pPr>
        <w:pStyle w:val="Kop2"/>
      </w:pPr>
      <w:r>
        <w:rPr>
          <w:rFonts w:cstheme="minorHAnsi"/>
          <w:b w:val="0"/>
          <w:sz w:val="18"/>
        </w:rPr>
        <w:br/>
      </w:r>
      <w:bookmarkStart w:id="10" w:name="_Toc72421332"/>
      <w:r w:rsidR="00F6583B">
        <w:t>2.</w:t>
      </w:r>
      <w:r w:rsidR="005E759D">
        <w:t>6</w:t>
      </w:r>
      <w:r w:rsidR="00F6583B">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4806E9">
        <w:rPr>
          <w:rFonts w:asciiTheme="minorHAnsi" w:eastAsia="Verdana" w:hAnsiTheme="minorHAnsi"/>
          <w:sz w:val="20"/>
          <w:szCs w:val="20"/>
        </w:rPr>
        <w:t>Adequaatheidsbesluit</w:t>
      </w:r>
    </w:p>
    <w:p w14:paraId="5D6A8061" w14:textId="5B40B63D" w:rsidR="006051CC" w:rsidRPr="004806E9" w:rsidRDefault="006051CC" w:rsidP="00CE7170">
      <w:pPr>
        <w:pStyle w:val="Lijstalinea"/>
        <w:numPr>
          <w:ilvl w:val="0"/>
          <w:numId w:val="31"/>
        </w:numPr>
        <w:tabs>
          <w:tab w:val="left" w:pos="397"/>
        </w:tabs>
        <w:ind w:left="360"/>
        <w:rPr>
          <w:rFonts w:asciiTheme="minorHAnsi" w:eastAsia="Verdana" w:hAnsiTheme="minorHAnsi"/>
          <w:sz w:val="20"/>
          <w:szCs w:val="20"/>
        </w:rPr>
      </w:pPr>
      <w:r w:rsidRPr="004806E9">
        <w:rPr>
          <w:rFonts w:asciiTheme="minorHAnsi" w:eastAsia="Verdana" w:hAnsiTheme="minorHAnsi"/>
          <w:sz w:val="20"/>
          <w:szCs w:val="20"/>
        </w:rPr>
        <w:t xml:space="preserve">Specifieke uitzonderingen (art. 49). </w:t>
      </w:r>
    </w:p>
    <w:p w14:paraId="105961B3" w14:textId="5C9C1D6C"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proofErr w:type="spellStart"/>
      <w:r w:rsidRPr="00B5070A">
        <w:rPr>
          <w:rFonts w:asciiTheme="minorHAnsi" w:hAnsiTheme="minorHAnsi" w:cstheme="minorHAnsi"/>
          <w:sz w:val="20"/>
          <w:szCs w:val="20"/>
          <w:lang w:val="en-GB"/>
        </w:rPr>
        <w:t>Standaard</w:t>
      </w:r>
      <w:proofErr w:type="spellEnd"/>
      <w:r w:rsidRPr="00B5070A">
        <w:rPr>
          <w:rFonts w:asciiTheme="minorHAnsi" w:hAnsiTheme="minorHAnsi" w:cstheme="minorHAnsi"/>
          <w:sz w:val="20"/>
          <w:szCs w:val="20"/>
          <w:lang w:val="en-GB"/>
        </w:rPr>
        <w:t xml:space="preserve"> </w:t>
      </w:r>
      <w:proofErr w:type="spellStart"/>
      <w:r w:rsidRPr="00B5070A">
        <w:rPr>
          <w:rFonts w:asciiTheme="minorHAnsi" w:hAnsiTheme="minorHAnsi" w:cstheme="minorHAnsi"/>
          <w:sz w:val="20"/>
          <w:szCs w:val="20"/>
          <w:lang w:val="en-GB"/>
        </w:rPr>
        <w:t>bepalingen</w:t>
      </w:r>
      <w:proofErr w:type="spellEnd"/>
      <w:r w:rsidRPr="004806E9">
        <w:rPr>
          <w:rFonts w:asciiTheme="minorHAnsi" w:hAnsiTheme="minorHAnsi" w:cstheme="minorHAnsi"/>
          <w:sz w:val="20"/>
          <w:szCs w:val="20"/>
          <w:lang w:val="en-GB"/>
        </w:rPr>
        <w:t xml:space="preserve"> (standard contractual  clauses SCCs);</w:t>
      </w:r>
    </w:p>
    <w:p w14:paraId="5005BAF6" w14:textId="20C0E502"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4806E9">
        <w:rPr>
          <w:rFonts w:asciiTheme="minorHAnsi" w:hAnsiTheme="minorHAnsi" w:cstheme="minorHAnsi"/>
          <w:sz w:val="20"/>
          <w:szCs w:val="20"/>
        </w:rPr>
        <w:t xml:space="preserve">Bindende bedrijfsvoorschriften (binding corporate </w:t>
      </w:r>
      <w:proofErr w:type="spellStart"/>
      <w:r w:rsidRPr="004806E9">
        <w:rPr>
          <w:rFonts w:asciiTheme="minorHAnsi" w:hAnsiTheme="minorHAnsi" w:cstheme="minorHAnsi"/>
          <w:sz w:val="20"/>
          <w:szCs w:val="20"/>
        </w:rPr>
        <w:t>rules</w:t>
      </w:r>
      <w:proofErr w:type="spellEnd"/>
      <w:r w:rsidRPr="004806E9">
        <w:rPr>
          <w:rFonts w:asciiTheme="minorHAnsi" w:hAnsiTheme="minorHAnsi" w:cstheme="minorHAnsi"/>
          <w:sz w:val="20"/>
          <w:szCs w:val="20"/>
        </w:rPr>
        <w:t xml:space="preserve">, </w:t>
      </w:r>
      <w:proofErr w:type="spellStart"/>
      <w:r w:rsidRPr="004806E9">
        <w:rPr>
          <w:rFonts w:asciiTheme="minorHAnsi" w:hAnsiTheme="minorHAnsi" w:cstheme="minorHAnsi"/>
          <w:sz w:val="20"/>
          <w:szCs w:val="20"/>
        </w:rPr>
        <w:t>BCRs</w:t>
      </w:r>
      <w:proofErr w:type="spellEnd"/>
      <w:r w:rsidRPr="004806E9">
        <w:rPr>
          <w:rFonts w:asciiTheme="minorHAnsi" w:hAnsiTheme="minorHAnsi" w:cstheme="minorHAnsi"/>
          <w:sz w:val="20"/>
          <w:szCs w:val="20"/>
        </w:rPr>
        <w:t>);</w:t>
      </w:r>
    </w:p>
    <w:p w14:paraId="06E24C48" w14:textId="77777777"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proofErr w:type="spellStart"/>
      <w:r w:rsidRPr="00B5070A">
        <w:rPr>
          <w:rFonts w:asciiTheme="minorHAnsi" w:hAnsiTheme="minorHAnsi" w:cstheme="minorHAnsi"/>
          <w:sz w:val="20"/>
          <w:szCs w:val="20"/>
          <w:lang w:val="en-GB"/>
        </w:rPr>
        <w:t>Gedragsregels</w:t>
      </w:r>
      <w:proofErr w:type="spellEnd"/>
      <w:r w:rsidRPr="00B5070A">
        <w:rPr>
          <w:rFonts w:asciiTheme="minorHAnsi" w:hAnsiTheme="minorHAnsi" w:cstheme="minorHAnsi"/>
          <w:sz w:val="20"/>
          <w:szCs w:val="20"/>
          <w:lang w:val="en-GB"/>
        </w:rPr>
        <w:t xml:space="preserve"> </w:t>
      </w:r>
      <w:r w:rsidRPr="004806E9">
        <w:rPr>
          <w:rFonts w:asciiTheme="minorHAnsi" w:hAnsiTheme="minorHAnsi" w:cstheme="minorHAnsi"/>
          <w:sz w:val="20"/>
          <w:szCs w:val="20"/>
          <w:lang w:val="en-GB"/>
        </w:rPr>
        <w:t>(codes of conduct;-</w:t>
      </w:r>
      <w:proofErr w:type="spellStart"/>
      <w:r w:rsidRPr="004806E9">
        <w:rPr>
          <w:rFonts w:asciiTheme="minorHAnsi" w:hAnsiTheme="minorHAnsi" w:cstheme="minorHAnsi"/>
          <w:sz w:val="20"/>
          <w:szCs w:val="20"/>
          <w:lang w:val="en-GB"/>
        </w:rPr>
        <w:t>certificationmechanisms</w:t>
      </w:r>
      <w:proofErr w:type="spellEnd"/>
      <w:r w:rsidRPr="004806E9">
        <w:rPr>
          <w:rFonts w:asciiTheme="minorHAnsi" w:hAnsiTheme="minorHAnsi" w:cstheme="minorHAnsi"/>
          <w:sz w:val="20"/>
          <w:szCs w:val="20"/>
          <w:lang w:val="en-GB"/>
        </w:rPr>
        <w:t>);</w:t>
      </w:r>
    </w:p>
    <w:p w14:paraId="329522A0" w14:textId="77777777" w:rsidR="006051CC" w:rsidRPr="004806E9"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GB"/>
        </w:rPr>
      </w:pPr>
      <w:r w:rsidRPr="004806E9">
        <w:rPr>
          <w:rFonts w:asciiTheme="minorHAnsi" w:hAnsiTheme="minorHAnsi" w:cstheme="minorHAnsi"/>
          <w:sz w:val="20"/>
          <w:szCs w:val="20"/>
          <w:lang w:val="en-GB"/>
        </w:rPr>
        <w:t xml:space="preserve">Ad </w:t>
      </w:r>
      <w:r w:rsidRPr="00B5070A">
        <w:rPr>
          <w:rFonts w:asciiTheme="minorHAnsi" w:hAnsiTheme="minorHAnsi" w:cstheme="minorHAnsi"/>
          <w:sz w:val="20"/>
          <w:szCs w:val="20"/>
          <w:lang w:val="en-GB"/>
        </w:rPr>
        <w:t xml:space="preserve">hoc </w:t>
      </w:r>
      <w:proofErr w:type="spellStart"/>
      <w:r w:rsidRPr="00B5070A">
        <w:rPr>
          <w:rFonts w:asciiTheme="minorHAnsi" w:hAnsiTheme="minorHAnsi" w:cstheme="minorHAnsi"/>
          <w:sz w:val="20"/>
          <w:szCs w:val="20"/>
          <w:lang w:val="en-GB"/>
        </w:rPr>
        <w:t>modelcontractbepalingen</w:t>
      </w:r>
      <w:proofErr w:type="spellEnd"/>
      <w:r w:rsidRPr="004806E9">
        <w:rPr>
          <w:rFonts w:asciiTheme="minorHAnsi" w:hAnsiTheme="minorHAnsi" w:cstheme="minorHAnsi"/>
          <w:sz w:val="20"/>
          <w:szCs w:val="20"/>
          <w:lang w:val="en-GB"/>
        </w:rPr>
        <w:t xml:space="preserve"> (ad hoc contractual clauses).</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w:t>
      </w:r>
      <w:proofErr w:type="spellStart"/>
      <w:r w:rsidR="005F1791" w:rsidRPr="004806E9">
        <w:rPr>
          <w:rFonts w:asciiTheme="minorHAnsi" w:eastAsia="Verdana" w:hAnsiTheme="minorHAnsi"/>
          <w:sz w:val="20"/>
          <w:szCs w:val="20"/>
        </w:rPr>
        <w:t>Schrems</w:t>
      </w:r>
      <w:proofErr w:type="spellEnd"/>
      <w:r w:rsidR="005F1791" w:rsidRPr="004806E9">
        <w:rPr>
          <w:rFonts w:asciiTheme="minorHAnsi" w:eastAsia="Verdana" w:hAnsiTheme="minorHAnsi"/>
          <w:sz w:val="20"/>
          <w:szCs w:val="20"/>
        </w:rPr>
        <w:t xml:space="preserve"> II uitspraak van het Hof van Justitie van de EU </w:t>
      </w:r>
      <w:r w:rsidR="004A2271" w:rsidRPr="004806E9">
        <w:rPr>
          <w:rFonts w:asciiTheme="minorHAnsi" w:eastAsia="Verdana" w:hAnsiTheme="minorHAnsi"/>
          <w:sz w:val="20"/>
          <w:szCs w:val="20"/>
        </w:rPr>
        <w:t>(</w:t>
      </w:r>
      <w:proofErr w:type="spellStart"/>
      <w:r w:rsidR="00E61402" w:rsidRPr="00742F93">
        <w:fldChar w:fldCharType="begin"/>
      </w:r>
      <w:r w:rsidR="00E61402" w:rsidRPr="004806E9">
        <w:rPr>
          <w:sz w:val="20"/>
          <w:szCs w:val="20"/>
        </w:rPr>
        <w:instrText xml:space="preserve"> HYPERLINK "https://edpb.europa.eu/sites/edpb/files/consultation/edpb_recommendations_202001_supplementarymeasurestransferstools_en.pdf" </w:instrText>
      </w:r>
      <w:r w:rsidR="00E61402" w:rsidRPr="00742F93">
        <w:fldChar w:fldCharType="separate"/>
      </w:r>
      <w:r w:rsidR="005F1791" w:rsidRPr="004806E9">
        <w:rPr>
          <w:rStyle w:val="Hyperlink"/>
          <w:rFonts w:asciiTheme="minorHAnsi" w:eastAsia="Verdana" w:hAnsiTheme="minorHAnsi"/>
          <w:sz w:val="20"/>
          <w:szCs w:val="20"/>
        </w:rPr>
        <w:t>Recommendations</w:t>
      </w:r>
      <w:proofErr w:type="spellEnd"/>
      <w:r w:rsidR="005F1791" w:rsidRPr="004806E9">
        <w:rPr>
          <w:rStyle w:val="Hyperlink"/>
          <w:rFonts w:asciiTheme="minorHAnsi" w:eastAsia="Verdana" w:hAnsiTheme="minorHAnsi"/>
          <w:sz w:val="20"/>
          <w:szCs w:val="20"/>
        </w:rPr>
        <w:t xml:space="preserve"> 01/2020, d.d. 10 november 2020</w:t>
      </w:r>
      <w:r w:rsidR="00E61402" w:rsidRPr="00742F93">
        <w:rPr>
          <w:rStyle w:val="Hyperlink"/>
          <w:rFonts w:asciiTheme="minorHAnsi" w:eastAsia="Verdana" w:hAnsiTheme="minorHAnsi"/>
          <w:sz w:val="20"/>
          <w:szCs w:val="20"/>
        </w:rPr>
        <w:fldChar w:fldCharType="end"/>
      </w:r>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proofErr w:type="spellStart"/>
      <w:r w:rsidRPr="004806E9">
        <w:rPr>
          <w:rFonts w:asciiTheme="minorHAnsi" w:hAnsiTheme="minorHAnsi" w:cstheme="minorHAnsi"/>
          <w:sz w:val="20"/>
          <w:szCs w:val="20"/>
        </w:rPr>
        <w:lastRenderedPageBreak/>
        <w:t>Toereikendheid</w:t>
      </w:r>
      <w:proofErr w:type="spellEnd"/>
      <w:r w:rsidRPr="004806E9">
        <w:rPr>
          <w:rFonts w:asciiTheme="minorHAnsi" w:hAnsiTheme="minorHAnsi" w:cstheme="minorHAnsi"/>
          <w:sz w:val="20"/>
          <w:szCs w:val="20"/>
        </w:rPr>
        <w:t xml:space="preserve">: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w:t>
      </w:r>
      <w:proofErr w:type="spellStart"/>
      <w:r w:rsidRPr="00820546">
        <w:rPr>
          <w:rFonts w:cstheme="minorHAnsi"/>
          <w:szCs w:val="20"/>
        </w:rPr>
        <w:t>factsheet</w:t>
      </w:r>
      <w:proofErr w:type="spellEnd"/>
      <w:r w:rsidRPr="00820546">
        <w:rPr>
          <w:rFonts w:cstheme="minorHAnsi"/>
          <w:szCs w:val="20"/>
        </w:rPr>
        <w:t xml:space="preserve"> over </w:t>
      </w:r>
      <w:hyperlink r:id="rId34" w:history="1">
        <w:proofErr w:type="spellStart"/>
        <w:r w:rsidRPr="004806E9">
          <w:rPr>
            <w:rStyle w:val="Hyperlink"/>
            <w:rFonts w:cstheme="minorHAnsi"/>
            <w:szCs w:val="20"/>
          </w:rPr>
          <w:t>assurance</w:t>
        </w:r>
        <w:proofErr w:type="spellEnd"/>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77777777" w:rsidR="004806E9" w:rsidRDefault="0001447F" w:rsidP="0001447F">
      <w:pPr>
        <w:pStyle w:val="Plattetekst"/>
        <w:rPr>
          <w:rFonts w:cstheme="minorHAnsi"/>
        </w:rPr>
      </w:pPr>
      <w:r>
        <w:rPr>
          <w:rFonts w:cstheme="minorHAnsi"/>
        </w:rPr>
        <w:t xml:space="preserve">Bijlage 3 is géén onderdeel van de Standaard VWO. </w:t>
      </w:r>
    </w:p>
    <w:p w14:paraId="7F50DB93" w14:textId="3A2EDEB8" w:rsidR="0001447F" w:rsidRDefault="00B5070A" w:rsidP="0001447F">
      <w:pPr>
        <w:pStyle w:val="Plattetekst"/>
        <w:rPr>
          <w:rFonts w:cstheme="minorHAnsi"/>
        </w:rPr>
      </w:pPr>
      <w:r>
        <w:rPr>
          <w:rFonts w:cstheme="minorHAnsi"/>
        </w:rPr>
        <w:br/>
      </w:r>
      <w:r w:rsidR="004806E9">
        <w:rPr>
          <w:rFonts w:cstheme="minorHAnsi"/>
        </w:rPr>
        <w:t xml:space="preserve">In het geval partijen geen afspraken hebben gemaakt over aansprakelijkheid, exit-strategie en de audit , kunnen zij er voor kiezen om de artikelen die deze onderwerpen in de GIBIT 2020 over te nemen in een addendum bij de Standaard VWO en dus niet in de Standaard VWO zelf.. </w:t>
      </w:r>
      <w:r w:rsidR="0001447F">
        <w:rPr>
          <w:rFonts w:cstheme="minorHAnsi"/>
        </w:rPr>
        <w:t>In bijlage 3 staat een aantal artikelen uit de GIBIT 2020 over. Het komt voor dat over deze onderwerpen niets in de hoofdovereenkomst, of een addendum daarbij is geregeld. Als partijen hierover toch nog iets willen regelen, kunnen zij de artikelen hierover uit de GIBIT 2020 overnemen in een bijlage bij de Standaard VWO (niet in de Stan</w:t>
      </w:r>
      <w:r>
        <w:rPr>
          <w:rFonts w:cstheme="minorHAnsi"/>
        </w:rPr>
        <w:t>d</w:t>
      </w:r>
      <w:r w:rsidR="0001447F">
        <w:rPr>
          <w:rFonts w:cstheme="minorHAnsi"/>
        </w:rPr>
        <w:t>aard VWO zelf!).</w:t>
      </w:r>
    </w:p>
    <w:p w14:paraId="309BBF39" w14:textId="6203BD21" w:rsidR="0001447F" w:rsidRDefault="0001447F">
      <w:pPr>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72421333"/>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bookmarkStart w:id="13" w:name="_Toc72421334"/>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9" w:name="_Toc72421336"/>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4E3EB93" w14:textId="17F062B1"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3293B95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sidR="00B5070A">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3DF8499" w14:textId="6839EDE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1167E88C"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sidR="00B5070A">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6F0CD2A7"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13.5</w:t>
      </w:r>
      <w:r w:rsidR="00B5070A">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67B8B8D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637A79C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sidR="00B5070A">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048FF00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sidR="00B5070A">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77777777"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B23707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99E73FA"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ED4034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68EA33E"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248D18CD"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457969A8" w14:textId="77777777"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5DD71ED5" w14:textId="30114C7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sidR="00B5070A">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22AEBCC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2495CBAD"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21B3768E" w14:textId="62CB650E"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2FF0C21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sidR="00B5070A">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03AE5E73" w14:textId="54DF5826" w:rsidR="00FA0EFE" w:rsidRPr="00B5070A" w:rsidRDefault="00FA0EFE" w:rsidP="00B5070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536A0BA9" w14:textId="6325681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264E40D7" w14:textId="5E2C904D"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231A47E8" w14:textId="4974DA5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sidR="00B5070A">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99A9502" w14:textId="77777777" w:rsidR="007939C3" w:rsidRDefault="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78B12088" w14:textId="1A481000"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1FAA76A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0D6387C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sidR="00B5070A">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4E82C352" w14:textId="60B8A842"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w:t>
      </w:r>
      <w:proofErr w:type="spellStart"/>
      <w:r w:rsidRPr="00B5070A">
        <w:rPr>
          <w:rFonts w:asciiTheme="minorHAnsi" w:eastAsiaTheme="minorHAnsi" w:hAnsiTheme="minorHAnsi" w:cs="Calibri"/>
          <w:color w:val="000000"/>
          <w:sz w:val="20"/>
          <w:szCs w:val="20"/>
          <w:lang w:eastAsia="en-US" w:bidi="ar-SA"/>
        </w:rPr>
        <w:t>Derdenprogrammatuur</w:t>
      </w:r>
      <w:proofErr w:type="spellEnd"/>
      <w:r w:rsidRPr="00B5070A">
        <w:rPr>
          <w:rFonts w:asciiTheme="minorHAnsi" w:eastAsiaTheme="minorHAnsi" w:hAnsiTheme="minorHAnsi" w:cs="Calibri"/>
          <w:color w:val="000000"/>
          <w:sz w:val="20"/>
          <w:szCs w:val="20"/>
          <w:lang w:eastAsia="en-US" w:bidi="ar-SA"/>
        </w:rPr>
        <w:t xml:space="preserve"> volledig kunnen worden doorbelast. </w:t>
      </w:r>
    </w:p>
    <w:p w14:paraId="098BEFD8" w14:textId="7777777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87CD6C8"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A142E8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19.5).</w:t>
      </w:r>
    </w:p>
    <w:p w14:paraId="3F998E01" w14:textId="7E16A34D" w:rsidR="00FA0EFE" w:rsidRPr="007939C3" w:rsidRDefault="007939C3" w:rsidP="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832E751"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AF65" w14:textId="77777777" w:rsidR="00B5070A" w:rsidRDefault="00B5070A">
      <w:r>
        <w:separator/>
      </w:r>
    </w:p>
  </w:endnote>
  <w:endnote w:type="continuationSeparator" w:id="0">
    <w:p w14:paraId="36FC15B7" w14:textId="77777777" w:rsidR="00B5070A" w:rsidRDefault="00B5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8E8B" w14:textId="77777777" w:rsidR="00B5070A" w:rsidRDefault="00B5070A">
      <w:r>
        <w:separator/>
      </w:r>
    </w:p>
  </w:footnote>
  <w:footnote w:type="continuationSeparator" w:id="0">
    <w:p w14:paraId="65E948BA" w14:textId="77777777" w:rsidR="00B5070A" w:rsidRDefault="00B5070A">
      <w:r>
        <w:continuationSeparator/>
      </w:r>
    </w:p>
  </w:footnote>
  <w:footnote w:id="1">
    <w:p w14:paraId="24E7AD78" w14:textId="77777777"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2608"/>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www.vngrealisatie.nl/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8093</Words>
  <Characters>46135</Characters>
  <Application>Microsoft Office Word</Application>
  <DocSecurity>2</DocSecurity>
  <Lines>384</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2021-06-04T11:50:00Z</dcterms:created>
  <dcterms:modified xsi:type="dcterms:W3CDTF">2021-06-04T11:50:00Z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