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389F01" w14:textId="0B08225F" w:rsidR="00DA36D4" w:rsidRDefault="00DA36D4" w:rsidP="00DA36D4">
      <w:pPr>
        <w:pStyle w:val="GenummerdHoofdstuk"/>
        <w:numPr>
          <w:ilvl w:val="0"/>
          <w:numId w:val="0"/>
        </w:numPr>
        <w:spacing w:after="0" w:line="240" w:lineRule="auto"/>
      </w:pPr>
      <w:bookmarkStart w:id="0" w:name="_Toc11770671"/>
      <w:r>
        <w:t xml:space="preserve">Bijlage </w:t>
      </w:r>
      <w:r w:rsidR="007613AC">
        <w:t>9</w:t>
      </w:r>
      <w:r w:rsidRPr="00940EA5">
        <w:tab/>
      </w:r>
      <w:r>
        <w:t>Internationale s</w:t>
      </w:r>
      <w:r w:rsidRPr="00940EA5">
        <w:t>ociale voorwaarden</w:t>
      </w:r>
      <w:bookmarkEnd w:id="0"/>
      <w:r w:rsidRPr="00940EA5">
        <w:t xml:space="preserve"> </w:t>
      </w:r>
    </w:p>
    <w:p w14:paraId="443894BF" w14:textId="77777777" w:rsidR="00DA36D4" w:rsidRPr="004E4C68" w:rsidRDefault="00DA36D4" w:rsidP="00DA36D4">
      <w:pPr>
        <w:pStyle w:val="broodtekst"/>
      </w:pPr>
    </w:p>
    <w:p w14:paraId="49AF43BF" w14:textId="77777777" w:rsidR="00DA36D4" w:rsidRPr="005436FA" w:rsidRDefault="00DA36D4" w:rsidP="00DA36D4">
      <w:pPr>
        <w:pStyle w:val="Geenafstand"/>
        <w:rPr>
          <w:u w:val="single"/>
        </w:rPr>
      </w:pPr>
      <w:r w:rsidRPr="005436FA">
        <w:rPr>
          <w:u w:val="single"/>
        </w:rPr>
        <w:t xml:space="preserve">Due diligence </w:t>
      </w:r>
    </w:p>
    <w:p w14:paraId="63C6C07D" w14:textId="77777777" w:rsidR="00DA36D4" w:rsidRPr="00AF6C09" w:rsidRDefault="00DA36D4" w:rsidP="00DA36D4">
      <w:pPr>
        <w:pStyle w:val="Geenafstand"/>
        <w:rPr>
          <w:b/>
        </w:rPr>
      </w:pPr>
      <w:r>
        <w:t xml:space="preserve">Opdrachtnemer geeft invulling </w:t>
      </w:r>
      <w:r w:rsidRPr="00AF6C09">
        <w:t xml:space="preserve">aan </w:t>
      </w:r>
      <w:r>
        <w:t>het naleven van de</w:t>
      </w:r>
      <w:r w:rsidRPr="005710DD">
        <w:t xml:space="preserve"> I</w:t>
      </w:r>
      <w:r>
        <w:t>SV</w:t>
      </w:r>
      <w:r w:rsidRPr="005710DD">
        <w:t xml:space="preserve"> door middel van</w:t>
      </w:r>
      <w:r>
        <w:t xml:space="preserve"> het uitvoeren van</w:t>
      </w:r>
      <w:r w:rsidRPr="005710DD">
        <w:t xml:space="preserve"> een zogenaamd</w:t>
      </w:r>
      <w:r>
        <w:t>e</w:t>
      </w:r>
      <w:r w:rsidRPr="005710DD">
        <w:t xml:space="preserve"> </w:t>
      </w:r>
      <w:r w:rsidRPr="00887797">
        <w:rPr>
          <w:i/>
        </w:rPr>
        <w:t>due diligence.</w:t>
      </w:r>
      <w:r w:rsidRPr="005710DD">
        <w:t xml:space="preserve"> </w:t>
      </w:r>
      <w:r>
        <w:t>Dit</w:t>
      </w:r>
      <w:r w:rsidRPr="005710DD">
        <w:t xml:space="preserve"> is een </w:t>
      </w:r>
      <w:r w:rsidRPr="005710DD">
        <w:rPr>
          <w:rFonts w:cs="Calibri"/>
        </w:rPr>
        <w:t xml:space="preserve">doorlopend proces dat bedrijven helpt risico’s op het </w:t>
      </w:r>
      <w:r>
        <w:rPr>
          <w:rFonts w:cs="Calibri"/>
        </w:rPr>
        <w:t xml:space="preserve">schenden </w:t>
      </w:r>
      <w:r w:rsidRPr="005710DD">
        <w:rPr>
          <w:rFonts w:cs="Calibri"/>
        </w:rPr>
        <w:t>van arbeids- en</w:t>
      </w:r>
      <w:r w:rsidRPr="00AF6C09">
        <w:rPr>
          <w:rFonts w:cs="Calibri"/>
        </w:rPr>
        <w:t xml:space="preserve"> mensenrechten in de eigen organisatie en de bijbehorende productieketen in kaart te brengen en die vervolgens te voorkomen, verminderen, herstellen en/of compenseren. Onderde</w:t>
      </w:r>
      <w:r>
        <w:rPr>
          <w:rFonts w:cs="Calibri"/>
        </w:rPr>
        <w:t>len</w:t>
      </w:r>
      <w:r w:rsidRPr="00AF6C09">
        <w:rPr>
          <w:rFonts w:cs="Calibri"/>
        </w:rPr>
        <w:t xml:space="preserve"> van dit proces </w:t>
      </w:r>
      <w:r>
        <w:rPr>
          <w:rFonts w:cs="Calibri"/>
        </w:rPr>
        <w:t>zijn ten eerste</w:t>
      </w:r>
      <w:r w:rsidRPr="00AF6C09">
        <w:rPr>
          <w:rFonts w:cs="Calibri"/>
        </w:rPr>
        <w:t xml:space="preserve"> </w:t>
      </w:r>
      <w:r>
        <w:rPr>
          <w:rFonts w:cs="Calibri"/>
        </w:rPr>
        <w:t xml:space="preserve">het </w:t>
      </w:r>
      <w:r w:rsidRPr="00AF6C09">
        <w:rPr>
          <w:rFonts w:cs="Calibri"/>
        </w:rPr>
        <w:t>op</w:t>
      </w:r>
      <w:r>
        <w:rPr>
          <w:rFonts w:cs="Calibri"/>
        </w:rPr>
        <w:t xml:space="preserve">stellen van een risicoanalyse, ten tweede het opstellen van </w:t>
      </w:r>
      <w:r w:rsidRPr="00AF6C09">
        <w:rPr>
          <w:rFonts w:cs="Calibri"/>
        </w:rPr>
        <w:t xml:space="preserve">een plan van aanpak en </w:t>
      </w:r>
      <w:r>
        <w:rPr>
          <w:rFonts w:cs="Calibri"/>
        </w:rPr>
        <w:t xml:space="preserve">ten derde een </w:t>
      </w:r>
      <w:r w:rsidRPr="00AF6C09">
        <w:rPr>
          <w:rFonts w:cs="Calibri"/>
        </w:rPr>
        <w:t>jaarlijkse rapportageverplichting. Met dit proces wil</w:t>
      </w:r>
      <w:r>
        <w:rPr>
          <w:rFonts w:cs="Calibri"/>
        </w:rPr>
        <w:t xml:space="preserve"> de Rijksoverheid </w:t>
      </w:r>
      <w:r w:rsidRPr="00AF6C09">
        <w:rPr>
          <w:rFonts w:cs="Calibri"/>
        </w:rPr>
        <w:t xml:space="preserve"> bereiken dat </w:t>
      </w:r>
      <w:r>
        <w:rPr>
          <w:rFonts w:cs="Calibri"/>
        </w:rPr>
        <w:t>(</w:t>
      </w:r>
      <w:r w:rsidRPr="00AF6C09">
        <w:rPr>
          <w:rFonts w:cs="Calibri"/>
        </w:rPr>
        <w:t>de risico</w:t>
      </w:r>
      <w:r>
        <w:rPr>
          <w:rFonts w:cs="Calibri"/>
        </w:rPr>
        <w:t>’</w:t>
      </w:r>
      <w:r w:rsidRPr="00AF6C09">
        <w:rPr>
          <w:rFonts w:cs="Calibri"/>
        </w:rPr>
        <w:t>s op</w:t>
      </w:r>
      <w:r>
        <w:rPr>
          <w:rFonts w:cs="Calibri"/>
        </w:rPr>
        <w:t>)</w:t>
      </w:r>
      <w:r w:rsidRPr="00AF6C09">
        <w:rPr>
          <w:rFonts w:cs="Calibri"/>
        </w:rPr>
        <w:t xml:space="preserve"> arbeids- en mensenrechtenschendingen binnen de internationale ketens word</w:t>
      </w:r>
      <w:r>
        <w:rPr>
          <w:rFonts w:cs="Calibri"/>
        </w:rPr>
        <w:t>en</w:t>
      </w:r>
      <w:r w:rsidRPr="00AF6C09">
        <w:rPr>
          <w:rFonts w:cs="Calibri"/>
        </w:rPr>
        <w:t xml:space="preserve"> ver</w:t>
      </w:r>
      <w:r>
        <w:rPr>
          <w:rFonts w:cs="Calibri"/>
        </w:rPr>
        <w:t>kleind</w:t>
      </w:r>
      <w:r w:rsidRPr="00AF6C09">
        <w:rPr>
          <w:rFonts w:cs="Calibri"/>
        </w:rPr>
        <w:t xml:space="preserve">. </w:t>
      </w:r>
    </w:p>
    <w:p w14:paraId="5AD36DE6" w14:textId="77777777" w:rsidR="00DA36D4" w:rsidRPr="004B2919" w:rsidRDefault="00DA36D4" w:rsidP="00DA36D4">
      <w:pPr>
        <w:pStyle w:val="Geenafstand"/>
      </w:pPr>
      <w:r>
        <w:br/>
        <w:t xml:space="preserve">Onder </w:t>
      </w:r>
      <w:r w:rsidRPr="00887797">
        <w:rPr>
          <w:i/>
        </w:rPr>
        <w:t>due diligence</w:t>
      </w:r>
      <w:r>
        <w:t xml:space="preserve"> wordt, anders dan de gangbare term in de accountancy, geen boekenonderzoek verstaan, maar een proces om met gepaste zorgvuldigheid inzicht te bieden in de eventuele risico’s op arbeids- en mensenrechtenschendingen die zich in de internationale keten voordoen.   </w:t>
      </w:r>
    </w:p>
    <w:p w14:paraId="7C2BFF5F" w14:textId="77777777" w:rsidR="00DA36D4" w:rsidRPr="00732D64" w:rsidRDefault="00DA36D4" w:rsidP="00DA36D4">
      <w:pPr>
        <w:pStyle w:val="Geenafstand"/>
      </w:pPr>
    </w:p>
    <w:p w14:paraId="3EF0D227" w14:textId="77777777" w:rsidR="00DA36D4" w:rsidRDefault="00DA36D4" w:rsidP="00DA36D4">
      <w:pPr>
        <w:pStyle w:val="Geenafstand"/>
      </w:pPr>
      <w:r w:rsidRPr="00AF6C09">
        <w:t xml:space="preserve">Bij de uitvoering van </w:t>
      </w:r>
      <w:r>
        <w:t>de</w:t>
      </w:r>
      <w:r w:rsidRPr="00AF6C09">
        <w:t xml:space="preserve"> </w:t>
      </w:r>
      <w:r w:rsidRPr="00887797">
        <w:rPr>
          <w:i/>
        </w:rPr>
        <w:t xml:space="preserve">due diligence </w:t>
      </w:r>
      <w:r w:rsidRPr="00AF6C09">
        <w:t xml:space="preserve">bij onderhavige opdracht dient de opdrachtnemer zich te concentreren op </w:t>
      </w:r>
      <w:r w:rsidRPr="00A551D4">
        <w:t xml:space="preserve">de </w:t>
      </w:r>
      <w:r w:rsidRPr="00066137">
        <w:rPr>
          <w:i/>
        </w:rPr>
        <w:t>gehele keten</w:t>
      </w:r>
      <w:r>
        <w:t xml:space="preserve"> </w:t>
      </w:r>
      <w:r w:rsidRPr="00AF6C09">
        <w:t>van het productieproces.</w:t>
      </w:r>
      <w:r w:rsidRPr="00AC6964">
        <w:t xml:space="preserve"> </w:t>
      </w:r>
    </w:p>
    <w:p w14:paraId="37BAF8B6" w14:textId="77777777" w:rsidR="00DA36D4" w:rsidRDefault="00DA36D4" w:rsidP="00DA36D4">
      <w:pPr>
        <w:pStyle w:val="Geenafstand"/>
      </w:pPr>
    </w:p>
    <w:p w14:paraId="1AE43017" w14:textId="77777777" w:rsidR="00DA36D4" w:rsidRPr="0000741A" w:rsidRDefault="00DA36D4" w:rsidP="00DA36D4">
      <w:pPr>
        <w:pStyle w:val="Geenafstand"/>
        <w:rPr>
          <w:i/>
        </w:rPr>
      </w:pPr>
      <w:r>
        <w:rPr>
          <w:i/>
        </w:rPr>
        <w:t>Wat houdt de due diligence in?</w:t>
      </w:r>
    </w:p>
    <w:p w14:paraId="3F15B141" w14:textId="5EE7DE80" w:rsidR="00DA36D4" w:rsidRPr="004B2919" w:rsidRDefault="00DA36D4" w:rsidP="00DA36D4">
      <w:pPr>
        <w:pStyle w:val="Geenafstand"/>
        <w:widowControl/>
        <w:numPr>
          <w:ilvl w:val="0"/>
          <w:numId w:val="1"/>
        </w:numPr>
        <w:suppressAutoHyphens w:val="0"/>
        <w:autoSpaceDN/>
        <w:textAlignment w:val="auto"/>
      </w:pPr>
      <w:r>
        <w:rPr>
          <w:u w:val="single"/>
        </w:rPr>
        <w:t xml:space="preserve">Het uitvoeren van een risicoanalyse productieketen zoals omschreven in bijlage 2, eis </w:t>
      </w:r>
      <w:r w:rsidR="007613AC">
        <w:rPr>
          <w:u w:val="single"/>
        </w:rPr>
        <w:t>M11</w:t>
      </w:r>
    </w:p>
    <w:p w14:paraId="3E3DEEB8" w14:textId="77777777" w:rsidR="00DA36D4" w:rsidRDefault="00DA36D4" w:rsidP="00DA36D4">
      <w:pPr>
        <w:pStyle w:val="Geenafstand"/>
        <w:widowControl/>
        <w:suppressAutoHyphens w:val="0"/>
        <w:autoSpaceDN/>
        <w:ind w:left="720"/>
        <w:textAlignment w:val="auto"/>
      </w:pPr>
      <w:r>
        <w:t xml:space="preserve"> </w:t>
      </w:r>
    </w:p>
    <w:p w14:paraId="68FBD618" w14:textId="77777777" w:rsidR="00DA36D4" w:rsidRPr="0081498D" w:rsidRDefault="00DA36D4" w:rsidP="00DA36D4">
      <w:pPr>
        <w:pStyle w:val="Geenafstand"/>
        <w:widowControl/>
        <w:numPr>
          <w:ilvl w:val="0"/>
          <w:numId w:val="2"/>
        </w:numPr>
        <w:suppressAutoHyphens w:val="0"/>
        <w:autoSpaceDN/>
        <w:textAlignment w:val="auto"/>
      </w:pPr>
      <w:r w:rsidRPr="0081498D">
        <w:t>Een handig hulpmiddel voor het uitvoeren</w:t>
      </w:r>
      <w:r>
        <w:t xml:space="preserve"> en opstellen</w:t>
      </w:r>
      <w:r w:rsidRPr="0081498D">
        <w:t xml:space="preserve"> van een risicoanalyse is de </w:t>
      </w:r>
      <w:hyperlink r:id="rId5" w:history="1">
        <w:r w:rsidRPr="0081498D">
          <w:rPr>
            <w:rStyle w:val="Hyperlink"/>
          </w:rPr>
          <w:t>MVO Risico Checker voor ondernemers</w:t>
        </w:r>
      </w:hyperlink>
      <w:r w:rsidRPr="0081498D">
        <w:t xml:space="preserve">. </w:t>
      </w:r>
    </w:p>
    <w:p w14:paraId="20513AFA" w14:textId="77777777" w:rsidR="00DA36D4" w:rsidRPr="0081498D" w:rsidRDefault="00DA36D4" w:rsidP="00DA36D4">
      <w:pPr>
        <w:pStyle w:val="Geenafstand"/>
      </w:pPr>
    </w:p>
    <w:p w14:paraId="67503DA5" w14:textId="4773CB4A" w:rsidR="00DA36D4" w:rsidRPr="004B2919" w:rsidRDefault="00DA36D4" w:rsidP="00DA36D4">
      <w:pPr>
        <w:pStyle w:val="Geenafstand"/>
        <w:widowControl/>
        <w:numPr>
          <w:ilvl w:val="0"/>
          <w:numId w:val="1"/>
        </w:numPr>
        <w:suppressAutoHyphens w:val="0"/>
        <w:autoSpaceDN/>
        <w:textAlignment w:val="auto"/>
      </w:pPr>
      <w:r>
        <w:rPr>
          <w:u w:val="single"/>
        </w:rPr>
        <w:t xml:space="preserve">Het opstellen van een </w:t>
      </w:r>
      <w:r w:rsidRPr="0081498D">
        <w:rPr>
          <w:u w:val="single"/>
        </w:rPr>
        <w:t>Plan van aanpak mitigeren risico</w:t>
      </w:r>
      <w:r>
        <w:rPr>
          <w:u w:val="single"/>
        </w:rPr>
        <w:t>’</w:t>
      </w:r>
      <w:r w:rsidRPr="0081498D">
        <w:rPr>
          <w:u w:val="single"/>
        </w:rPr>
        <w:t xml:space="preserve">s </w:t>
      </w:r>
      <w:r>
        <w:rPr>
          <w:u w:val="single"/>
        </w:rPr>
        <w:t xml:space="preserve">zoals omschreven in bijlage 2, eis </w:t>
      </w:r>
      <w:r w:rsidR="007613AC">
        <w:rPr>
          <w:u w:val="single"/>
        </w:rPr>
        <w:t>M11</w:t>
      </w:r>
      <w:r>
        <w:rPr>
          <w:u w:val="single"/>
        </w:rPr>
        <w:t xml:space="preserve"> </w:t>
      </w:r>
    </w:p>
    <w:p w14:paraId="0C59BEF5" w14:textId="77777777" w:rsidR="00DA36D4" w:rsidRDefault="00DA36D4" w:rsidP="00DA36D4">
      <w:pPr>
        <w:pStyle w:val="Geenafstand"/>
        <w:widowControl/>
        <w:suppressAutoHyphens w:val="0"/>
        <w:autoSpaceDN/>
        <w:ind w:left="720"/>
        <w:textAlignment w:val="auto"/>
      </w:pPr>
    </w:p>
    <w:p w14:paraId="69FF7293" w14:textId="77777777" w:rsidR="00DA36D4" w:rsidRPr="00CD27DA" w:rsidRDefault="00DA36D4" w:rsidP="00DA36D4">
      <w:pPr>
        <w:pStyle w:val="Geenafstand"/>
        <w:widowControl/>
        <w:numPr>
          <w:ilvl w:val="0"/>
          <w:numId w:val="2"/>
        </w:numPr>
        <w:suppressAutoHyphens w:val="0"/>
        <w:autoSpaceDN/>
        <w:textAlignment w:val="auto"/>
      </w:pPr>
      <w:r>
        <w:t>Indien de O</w:t>
      </w:r>
      <w:r w:rsidRPr="00CD27DA">
        <w:t xml:space="preserve">pdrachtnemer aangesloten is bij een </w:t>
      </w:r>
      <w:hyperlink r:id="rId6" w:history="1">
        <w:r w:rsidRPr="00CD27DA">
          <w:rPr>
            <w:rStyle w:val="Hyperlink"/>
          </w:rPr>
          <w:t>IMVO</w:t>
        </w:r>
        <w:r>
          <w:rPr>
            <w:rStyle w:val="Hyperlink"/>
          </w:rPr>
          <w:t>-</w:t>
        </w:r>
        <w:r w:rsidRPr="00CD27DA">
          <w:rPr>
            <w:rStyle w:val="Hyperlink"/>
          </w:rPr>
          <w:t>sectorconvenant</w:t>
        </w:r>
      </w:hyperlink>
      <w:r w:rsidRPr="001F4DB2">
        <w:t>,</w:t>
      </w:r>
      <w:r>
        <w:t xml:space="preserve"> kan dit worden gezien als een actie om de risico’s in zijn keten te verkleinen. De O</w:t>
      </w:r>
      <w:r w:rsidRPr="00CD27DA">
        <w:t>pdrachtnemer kan hier melding van maken</w:t>
      </w:r>
      <w:r>
        <w:t xml:space="preserve"> in het plan van aanpak</w:t>
      </w:r>
      <w:r w:rsidRPr="00CD27DA">
        <w:t xml:space="preserve">. Ook wanneer opdrachtnemer is aangesloten bij een keteninitiatief kan dit in het </w:t>
      </w:r>
      <w:r>
        <w:t xml:space="preserve">plan van aanpak </w:t>
      </w:r>
      <w:r w:rsidRPr="00CD27DA">
        <w:t xml:space="preserve">gemeld worden. </w:t>
      </w:r>
      <w:r>
        <w:t xml:space="preserve">Het betekent echter niet dat de Opdrachtnemer daarmee aan al zijn </w:t>
      </w:r>
      <w:r w:rsidRPr="00586A4B">
        <w:rPr>
          <w:i/>
        </w:rPr>
        <w:t>due diligence</w:t>
      </w:r>
      <w:r>
        <w:t xml:space="preserve"> verplichtingen voldoet. O</w:t>
      </w:r>
      <w:r w:rsidRPr="00CD27DA">
        <w:t xml:space="preserve">pdrachtnemer </w:t>
      </w:r>
      <w:r>
        <w:t xml:space="preserve">dient </w:t>
      </w:r>
      <w:r w:rsidRPr="00CD27DA">
        <w:t xml:space="preserve">te controleren of het keteninitiatief alle risico’s afdekt. </w:t>
      </w:r>
      <w:r>
        <w:t>Wanneer geconstateerd wordt dat dit niet het geval is, zal de Opdrachtnemer in zijn plan van aanpak moeten uitwerken welke inspanningen ten aanzien van de (overgebleven) risico’s</w:t>
      </w:r>
      <w:r w:rsidRPr="00CD27DA">
        <w:t xml:space="preserve"> </w:t>
      </w:r>
      <w:r>
        <w:t>geleverd gaan worden om deze te mitigeren.</w:t>
      </w:r>
    </w:p>
    <w:p w14:paraId="07DB6CBD" w14:textId="77777777" w:rsidR="00DA36D4" w:rsidRDefault="00DA36D4" w:rsidP="00DA36D4">
      <w:pPr>
        <w:pStyle w:val="Geenafstand"/>
        <w:ind w:left="1080"/>
      </w:pPr>
    </w:p>
    <w:p w14:paraId="07E74164" w14:textId="1EF22750" w:rsidR="00DA36D4" w:rsidRPr="00E75455" w:rsidRDefault="00DA36D4" w:rsidP="00DA36D4">
      <w:pPr>
        <w:pStyle w:val="Geenafstand"/>
        <w:widowControl/>
        <w:numPr>
          <w:ilvl w:val="0"/>
          <w:numId w:val="1"/>
        </w:numPr>
        <w:suppressAutoHyphens w:val="0"/>
        <w:autoSpaceDN/>
        <w:textAlignment w:val="auto"/>
        <w:rPr>
          <w:u w:val="single"/>
        </w:rPr>
      </w:pPr>
      <w:r>
        <w:rPr>
          <w:u w:val="single"/>
        </w:rPr>
        <w:t>Het verzorgen van een j</w:t>
      </w:r>
      <w:r w:rsidRPr="004B4964">
        <w:rPr>
          <w:u w:val="single"/>
        </w:rPr>
        <w:t>aarlijkse rapportage</w:t>
      </w:r>
      <w:r w:rsidRPr="004B4964">
        <w:t xml:space="preserve"> </w:t>
      </w:r>
      <w:r w:rsidRPr="00E75455">
        <w:rPr>
          <w:u w:val="single"/>
        </w:rPr>
        <w:t xml:space="preserve">zoals omschreven in bijlage 2, eis </w:t>
      </w:r>
      <w:r w:rsidR="007613AC">
        <w:rPr>
          <w:u w:val="single"/>
        </w:rPr>
        <w:t>M11</w:t>
      </w:r>
      <w:r w:rsidRPr="00E75455">
        <w:rPr>
          <w:u w:val="single"/>
        </w:rPr>
        <w:t xml:space="preserve"> </w:t>
      </w:r>
    </w:p>
    <w:p w14:paraId="2E63E011" w14:textId="7D96DE2B" w:rsidR="00FC3CB6" w:rsidRPr="004213FB" w:rsidRDefault="00DA36D4" w:rsidP="00DA36D4">
      <w:pPr>
        <w:spacing w:line="240" w:lineRule="auto"/>
        <w:rPr>
          <w:szCs w:val="18"/>
        </w:rPr>
      </w:pPr>
      <w:r>
        <w:br/>
      </w:r>
      <w:r w:rsidRPr="0081498D">
        <w:t xml:space="preserve">Voor meer achtergrondinformatie over </w:t>
      </w:r>
      <w:r>
        <w:t>ISV</w:t>
      </w:r>
      <w:r w:rsidRPr="0081498D">
        <w:t xml:space="preserve"> kunt u de website van </w:t>
      </w:r>
      <w:r>
        <w:t xml:space="preserve">het </w:t>
      </w:r>
      <w:r w:rsidRPr="0081498D">
        <w:t xml:space="preserve">expertisecentrum aanbesteden </w:t>
      </w:r>
      <w:hyperlink r:id="rId7" w:history="1">
        <w:r w:rsidRPr="0081498D">
          <w:rPr>
            <w:rStyle w:val="Hyperlink"/>
          </w:rPr>
          <w:t>PIANOo</w:t>
        </w:r>
      </w:hyperlink>
      <w:r w:rsidRPr="0081498D">
        <w:t xml:space="preserve"> raadplegen</w:t>
      </w:r>
      <w:r w:rsidRPr="0047127A">
        <w:t xml:space="preserve">, zie daar onder meer </w:t>
      </w:r>
      <w:hyperlink r:id="rId8" w:history="1">
        <w:r w:rsidRPr="0047127A">
          <w:rPr>
            <w:rStyle w:val="Hyperlink"/>
          </w:rPr>
          <w:t>https://www.pianoo.nl/document/14142/handreiking-due-diligence-voor-bedrijven</w:t>
        </w:r>
      </w:hyperlink>
      <w:r w:rsidRPr="0047127A">
        <w:t>.</w:t>
      </w:r>
      <w:r w:rsidRPr="0081498D">
        <w:t xml:space="preserve"> Voor </w:t>
      </w:r>
      <w:r>
        <w:t xml:space="preserve">de </w:t>
      </w:r>
      <w:r w:rsidRPr="005250AE">
        <w:rPr>
          <w:i/>
        </w:rPr>
        <w:t>due diligence</w:t>
      </w:r>
      <w:r w:rsidRPr="0081498D">
        <w:t xml:space="preserve"> ontvangt u een handleiding, mocht u daarnaast nog vragen hebben over </w:t>
      </w:r>
      <w:r w:rsidRPr="005250AE">
        <w:rPr>
          <w:i/>
        </w:rPr>
        <w:t>due diligence</w:t>
      </w:r>
      <w:r w:rsidRPr="0081498D">
        <w:t xml:space="preserve"> </w:t>
      </w:r>
      <w:r w:rsidRPr="00B3350A">
        <w:t xml:space="preserve">dan kunt u terecht bij het </w:t>
      </w:r>
      <w:hyperlink r:id="rId9" w:history="1">
        <w:r w:rsidRPr="00B3350A">
          <w:rPr>
            <w:rStyle w:val="Hyperlink"/>
          </w:rPr>
          <w:t>Nationaal Contactpunt OESO richtlijnen</w:t>
        </w:r>
      </w:hyperlink>
      <w:r w:rsidRPr="00B3350A">
        <w:t xml:space="preserve">. </w:t>
      </w:r>
    </w:p>
    <w:sectPr w:rsidR="00FC3CB6" w:rsidRPr="004213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C7630F"/>
    <w:multiLevelType w:val="multilevel"/>
    <w:tmpl w:val="D932F528"/>
    <w:lvl w:ilvl="0">
      <w:start w:val="1"/>
      <w:numFmt w:val="decimal"/>
      <w:pStyle w:val="GenummerdHoofdstuk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" w15:restartNumberingAfterBreak="0">
    <w:nsid w:val="535A6ACB"/>
    <w:multiLevelType w:val="hybridMultilevel"/>
    <w:tmpl w:val="800E201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810015"/>
    <w:multiLevelType w:val="hybridMultilevel"/>
    <w:tmpl w:val="4F46BF4E"/>
    <w:lvl w:ilvl="0" w:tplc="9FD08308">
      <w:numFmt w:val="bullet"/>
      <w:lvlText w:val=""/>
      <w:lvlJc w:val="left"/>
      <w:pPr>
        <w:ind w:left="1080" w:hanging="360"/>
      </w:pPr>
      <w:rPr>
        <w:rFonts w:ascii="Wingdings" w:eastAsia="Calibri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6D4"/>
    <w:rsid w:val="004213FB"/>
    <w:rsid w:val="007613AC"/>
    <w:rsid w:val="00DA36D4"/>
    <w:rsid w:val="00FC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831C2"/>
  <w15:chartTrackingRefBased/>
  <w15:docId w15:val="{A6D9BC47-102D-44D2-9D52-BCE2705C8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A36D4"/>
    <w:pPr>
      <w:spacing w:after="0" w:line="276" w:lineRule="auto"/>
    </w:pPr>
    <w:rPr>
      <w:rFonts w:ascii="Verdana" w:eastAsia="DejaVu Sans" w:hAnsi="Verdana" w:cs="Times New Roman"/>
      <w:sz w:val="18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uiPriority w:val="99"/>
    <w:rsid w:val="00DA36D4"/>
    <w:rPr>
      <w:rFonts w:cs="Times New Roman"/>
      <w:color w:val="0000FF"/>
      <w:u w:val="single"/>
    </w:rPr>
  </w:style>
  <w:style w:type="paragraph" w:customStyle="1" w:styleId="broodtekst">
    <w:name w:val="broodtekst"/>
    <w:basedOn w:val="Standaard"/>
    <w:link w:val="broodtekstChar3"/>
    <w:rsid w:val="00DA36D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20"/>
    </w:rPr>
  </w:style>
  <w:style w:type="paragraph" w:customStyle="1" w:styleId="GenummerdHoofdstuk">
    <w:name w:val="GenummerdHoofdstuk"/>
    <w:basedOn w:val="broodtekst"/>
    <w:next w:val="broodtekst"/>
    <w:link w:val="GenummerdHoofdstukChar"/>
    <w:rsid w:val="00DA36D4"/>
    <w:pPr>
      <w:pageBreakBefore/>
      <w:numPr>
        <w:numId w:val="3"/>
      </w:numPr>
      <w:spacing w:after="660" w:line="300" w:lineRule="atLeast"/>
    </w:pPr>
    <w:rPr>
      <w:sz w:val="24"/>
    </w:rPr>
  </w:style>
  <w:style w:type="paragraph" w:customStyle="1" w:styleId="Paragraaf">
    <w:name w:val="Paragraaf"/>
    <w:basedOn w:val="broodtekst"/>
    <w:next w:val="broodtekst"/>
    <w:rsid w:val="00DA36D4"/>
    <w:pPr>
      <w:numPr>
        <w:ilvl w:val="1"/>
        <w:numId w:val="3"/>
      </w:numPr>
      <w:tabs>
        <w:tab w:val="clear" w:pos="0"/>
        <w:tab w:val="num" w:pos="360"/>
      </w:tabs>
      <w:spacing w:before="240"/>
      <w:ind w:firstLine="0"/>
    </w:pPr>
    <w:rPr>
      <w:b/>
    </w:rPr>
  </w:style>
  <w:style w:type="paragraph" w:customStyle="1" w:styleId="Subparagraaf">
    <w:name w:val="Subparagraaf"/>
    <w:basedOn w:val="broodtekst"/>
    <w:next w:val="broodtekst"/>
    <w:rsid w:val="00DA36D4"/>
    <w:pPr>
      <w:numPr>
        <w:ilvl w:val="2"/>
        <w:numId w:val="3"/>
      </w:numPr>
      <w:tabs>
        <w:tab w:val="clear" w:pos="0"/>
        <w:tab w:val="num" w:pos="360"/>
      </w:tabs>
      <w:spacing w:before="240"/>
      <w:ind w:firstLine="0"/>
    </w:pPr>
    <w:rPr>
      <w:i/>
    </w:rPr>
  </w:style>
  <w:style w:type="paragraph" w:styleId="Geenafstand">
    <w:name w:val="No Spacing"/>
    <w:uiPriority w:val="1"/>
    <w:qFormat/>
    <w:rsid w:val="00DA36D4"/>
    <w:pPr>
      <w:widowControl w:val="0"/>
      <w:suppressAutoHyphens/>
      <w:autoSpaceDN w:val="0"/>
      <w:spacing w:after="0" w:line="240" w:lineRule="auto"/>
      <w:textAlignment w:val="baseline"/>
    </w:pPr>
    <w:rPr>
      <w:rFonts w:ascii="Verdana" w:eastAsia="DejaVu Sans" w:hAnsi="Verdana" w:cs="Lohit Hindi"/>
      <w:sz w:val="18"/>
      <w:szCs w:val="18"/>
      <w:lang w:eastAsia="nl-NL"/>
    </w:rPr>
  </w:style>
  <w:style w:type="character" w:customStyle="1" w:styleId="broodtekstChar3">
    <w:name w:val="broodtekst Char3"/>
    <w:link w:val="broodtekst"/>
    <w:locked/>
    <w:rsid w:val="00DA36D4"/>
    <w:rPr>
      <w:rFonts w:ascii="Verdana" w:eastAsia="DejaVu Sans" w:hAnsi="Verdana" w:cs="Times New Roman"/>
      <w:sz w:val="18"/>
      <w:szCs w:val="20"/>
      <w:lang w:eastAsia="nl-NL"/>
    </w:rPr>
  </w:style>
  <w:style w:type="character" w:customStyle="1" w:styleId="GenummerdHoofdstukChar">
    <w:name w:val="GenummerdHoofdstuk Char"/>
    <w:link w:val="GenummerdHoofdstuk"/>
    <w:locked/>
    <w:rsid w:val="00DA36D4"/>
    <w:rPr>
      <w:rFonts w:ascii="Verdana" w:eastAsia="DejaVu Sans" w:hAnsi="Verdana" w:cs="Times New Roman"/>
      <w:sz w:val="24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ianoo.nl/document/14142/handreiking-due-diligence-voor-bedrijven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ianoo.nl/themas/duurzaam-inkopen/mvi-thema-s/internationale-sociale-voorwaarden/aan-slag-met-internationale-sociale-voorwaarde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ijksoverheid.nl/onderwerpen/internationaal-maatschappelijk-verantwoord-ondernemen-imvo/inhoud/imvo-convenanten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mvorisicochecker.nl/n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oesorichtlijnen.nl/ncp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500</Words>
  <Characters>2754</Characters>
  <Application>Microsoft Office Word</Application>
  <DocSecurity>0</DocSecurity>
  <Lines>22</Lines>
  <Paragraphs>6</Paragraphs>
  <ScaleCrop>false</ScaleCrop>
  <Company>Ministerie van Economische Zaken en Klimaat</Company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Broek, A. van den (André)</dc:creator>
  <cp:keywords/>
  <dc:description/>
  <cp:lastModifiedBy>Broek, A. van den (André)</cp:lastModifiedBy>
  <cp:revision>2</cp:revision>
  <dcterms:created xsi:type="dcterms:W3CDTF">2021-06-24T14:04:00Z</dcterms:created>
  <dcterms:modified xsi:type="dcterms:W3CDTF">2021-06-25T12:38:00Z</dcterms:modified>
</cp:coreProperties>
</file>