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5C7CA6FC" w:rsidR="000F06EB" w:rsidRDefault="00D4614A" w:rsidP="000F06EB">
      <w:pPr>
        <w:pStyle w:val="Plattetekst"/>
        <w:rPr>
          <w:rFonts w:cstheme="minorHAnsi"/>
        </w:rPr>
      </w:pPr>
      <w:r>
        <w:rPr>
          <w:rFonts w:cstheme="minorHAnsi"/>
        </w:rPr>
        <w:t>2.</w:t>
      </w:r>
      <w:r w:rsidR="00516A85">
        <w:rPr>
          <w:rFonts w:cstheme="minorHAnsi"/>
        </w:rPr>
        <w:t>3</w:t>
      </w:r>
      <w:r w:rsidR="00CE7170">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1FC5C0A" w:rsidR="000F06EB" w:rsidRDefault="00CE7170" w:rsidP="000F06EB">
      <w:pPr>
        <w:pStyle w:val="Plattetekst"/>
        <w:rPr>
          <w:rFonts w:cstheme="minorHAnsi"/>
        </w:rPr>
      </w:pPr>
      <w:r>
        <w:rPr>
          <w:rFonts w:cstheme="minorHAnsi"/>
        </w:rPr>
        <w:t>19-01-2021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647C68F5" w:rsidR="004B751B" w:rsidRDefault="004B751B" w:rsidP="00536332">
      <w:pPr>
        <w:pStyle w:val="Plattetekst"/>
        <w:numPr>
          <w:ilvl w:val="0"/>
          <w:numId w:val="4"/>
        </w:numPr>
        <w:ind w:left="360"/>
        <w:rPr>
          <w:rFonts w:cstheme="minorHAnsi"/>
        </w:rPr>
      </w:pPr>
      <w:r w:rsidRPr="004B751B">
        <w:rPr>
          <w:rFonts w:cstheme="minorHAnsi"/>
        </w:rPr>
        <w:t>GIBIT</w:t>
      </w:r>
      <w:r w:rsidR="00425789">
        <w:rPr>
          <w:rFonts w:cstheme="minorHAnsi"/>
        </w:rPr>
        <w:t xml:space="preserve"> 2020</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E82F26">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E82F26">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E82F26">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E82F26">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57692A3C" w:rsidR="00F6583B" w:rsidRPr="00F6583B" w:rsidRDefault="00E82F26">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78861F67" w:rsidR="00F6583B" w:rsidRDefault="00E82F26">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E82F26">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E82F26">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E82F26">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38E9BFEC"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 xml:space="preserve">Bijlage 3: Relevante artikelen GIBIT </w:t>
          </w:r>
          <w:r w:rsidR="00C92BEE">
            <w:rPr>
              <w:rFonts w:asciiTheme="minorHAnsi" w:hAnsiTheme="minorHAnsi" w:cstheme="minorHAnsi"/>
              <w:sz w:val="20"/>
              <w:szCs w:val="20"/>
            </w:rPr>
            <w:t xml:space="preserve">2020 </w:t>
          </w:r>
          <w:r w:rsidRPr="006306A6">
            <w:rPr>
              <w:rFonts w:asciiTheme="minorHAnsi" w:hAnsiTheme="minorHAnsi" w:cstheme="minorHAnsi"/>
              <w:sz w:val="20"/>
              <w:szCs w:val="20"/>
            </w:rPr>
            <w:t>(alleen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26885951"/>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p>
    <w:p w14:paraId="4A6EB6D1" w14:textId="77777777" w:rsidR="00864332" w:rsidRDefault="00864332">
      <w:pPr>
        <w:rPr>
          <w:rFonts w:asciiTheme="minorHAnsi" w:hAnsiTheme="minorHAnsi" w:cstheme="minorHAnsi"/>
          <w:sz w:val="20"/>
          <w:szCs w:val="18"/>
        </w:rPr>
      </w:pPr>
      <w:r>
        <w:rPr>
          <w:rFonts w:cstheme="minorHAnsi"/>
        </w:rPr>
        <w:br w:type="page"/>
      </w:r>
    </w:p>
    <w:p w14:paraId="66DBE6F9" w14:textId="2A45D1F1" w:rsidR="008647B8" w:rsidRDefault="00AD51C7" w:rsidP="00D64523">
      <w:pPr>
        <w:pStyle w:val="Plattetekst"/>
        <w:rPr>
          <w:rFonts w:cstheme="minorHAnsi"/>
        </w:rPr>
      </w:pPr>
      <w:r>
        <w:rPr>
          <w:rFonts w:cstheme="minorHAnsi"/>
        </w:rPr>
        <w:lastRenderedPageBreak/>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26885953"/>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 xml:space="preserve">Als de verwerker </w:t>
      </w:r>
      <w:r w:rsidR="00C44043">
        <w:rPr>
          <w:rFonts w:cstheme="minorHAnsi"/>
        </w:rPr>
        <w:lastRenderedPageBreak/>
        <w:t>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502630E"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864332">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lastRenderedPageBreak/>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4265758E"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Pr>
          <w:rFonts w:cstheme="minorHAnsi"/>
        </w:rPr>
        <w:t xml:space="preserve">geeft onder andere een manier aan. Partijen kunnen er voor kiezen om deze </w:t>
      </w:r>
      <w:r w:rsidR="00FC2FF9">
        <w:rPr>
          <w:rFonts w:cstheme="minorHAnsi"/>
        </w:rPr>
        <w:t>exit-</w:t>
      </w:r>
      <w:r>
        <w:rPr>
          <w:rFonts w:cstheme="minorHAnsi"/>
        </w:rPr>
        <w:t>strategie te volgen.</w:t>
      </w:r>
    </w:p>
    <w:p w14:paraId="624C9A48" w14:textId="179EBE2B" w:rsidR="00D64523" w:rsidRPr="00D9012B" w:rsidRDefault="004C5C35" w:rsidP="00363301">
      <w:pPr>
        <w:pStyle w:val="Kop2"/>
      </w:pPr>
      <w:r>
        <w:rPr>
          <w:rFonts w:cstheme="minorHAnsi"/>
          <w:b w:val="0"/>
          <w:sz w:val="18"/>
        </w:rPr>
        <w:lastRenderedPageBreak/>
        <w:br/>
      </w:r>
      <w:bookmarkStart w:id="10" w:name="_Toc26885954"/>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Arbeidsgegevens</w:t>
            </w:r>
          </w:p>
        </w:tc>
        <w:tc>
          <w:tcPr>
            <w:tcW w:w="6237" w:type="dxa"/>
          </w:tcPr>
          <w:p w14:paraId="5F3B4490" w14:textId="7764990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Functie, werktijden</w:t>
            </w:r>
          </w:p>
        </w:tc>
      </w:tr>
      <w:tr w:rsidR="00BA3352" w14:paraId="2E3FB006" w14:textId="77777777" w:rsidTr="00C92BEE">
        <w:tc>
          <w:tcPr>
            <w:tcW w:w="2547" w:type="dxa"/>
          </w:tcPr>
          <w:p w14:paraId="5A2E4F97" w14:textId="3A484F2A"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Beeldmateriaal</w:t>
            </w:r>
          </w:p>
        </w:tc>
        <w:tc>
          <w:tcPr>
            <w:tcW w:w="6237" w:type="dxa"/>
          </w:tcPr>
          <w:p w14:paraId="3DB04479" w14:textId="4A12915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Videomateriaal, audiomateriaal</w:t>
            </w:r>
          </w:p>
        </w:tc>
      </w:tr>
      <w:tr w:rsidR="00BA3352" w14:paraId="7DCBFB30" w14:textId="77777777" w:rsidTr="00C92BEE">
        <w:tc>
          <w:tcPr>
            <w:tcW w:w="2547" w:type="dxa"/>
          </w:tcPr>
          <w:p w14:paraId="5C509664" w14:textId="23FD433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Contactgegevens</w:t>
            </w:r>
          </w:p>
        </w:tc>
        <w:tc>
          <w:tcPr>
            <w:tcW w:w="6237" w:type="dxa"/>
          </w:tcPr>
          <w:p w14:paraId="1AA66DB8" w14:textId="0C5DBBE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e-mailadres, telefoonnummer, adres</w:t>
            </w:r>
          </w:p>
        </w:tc>
      </w:tr>
      <w:tr w:rsidR="00BA3352" w14:paraId="4520F35F" w14:textId="77777777" w:rsidTr="00C92BEE">
        <w:tc>
          <w:tcPr>
            <w:tcW w:w="2547" w:type="dxa"/>
          </w:tcPr>
          <w:p w14:paraId="15706E5B" w14:textId="3F165EC8"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Identiteitsgegevens</w:t>
            </w:r>
          </w:p>
        </w:tc>
        <w:tc>
          <w:tcPr>
            <w:tcW w:w="6237" w:type="dxa"/>
          </w:tcPr>
          <w:p w14:paraId="15464DBC" w14:textId="2B6467A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Identificatienr., paspoortnr., BTW nummer ZZP-er</w:t>
            </w:r>
          </w:p>
        </w:tc>
      </w:tr>
      <w:tr w:rsidR="00BA3352" w14:paraId="5F315F73" w14:textId="77777777" w:rsidTr="00C92BEE">
        <w:tc>
          <w:tcPr>
            <w:tcW w:w="2547" w:type="dxa"/>
          </w:tcPr>
          <w:p w14:paraId="1C2567B1" w14:textId="4559554F"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Inloggegevens</w:t>
            </w:r>
          </w:p>
        </w:tc>
        <w:tc>
          <w:tcPr>
            <w:tcW w:w="6237" w:type="dxa"/>
          </w:tcPr>
          <w:p w14:paraId="6207C585" w14:textId="5850F8F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Gebruikersnaam, wachtwoord</w:t>
            </w:r>
          </w:p>
        </w:tc>
      </w:tr>
      <w:tr w:rsidR="00BA3352" w14:paraId="30CD8A6A" w14:textId="77777777" w:rsidTr="00C92BEE">
        <w:tc>
          <w:tcPr>
            <w:tcW w:w="2547" w:type="dxa"/>
          </w:tcPr>
          <w:p w14:paraId="04279A58" w14:textId="202BBB9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Internetgegevens</w:t>
            </w:r>
          </w:p>
        </w:tc>
        <w:tc>
          <w:tcPr>
            <w:tcW w:w="6237" w:type="dxa"/>
          </w:tcPr>
          <w:p w14:paraId="7E58D418" w14:textId="30C68D7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IP-adres, online surfgedrag, cookies</w:t>
            </w:r>
          </w:p>
        </w:tc>
      </w:tr>
      <w:tr w:rsidR="00BA3352" w14:paraId="24AC4A21" w14:textId="77777777" w:rsidTr="00C92BEE">
        <w:tc>
          <w:tcPr>
            <w:tcW w:w="2547" w:type="dxa"/>
          </w:tcPr>
          <w:p w14:paraId="5843DB59" w14:textId="7FCAA125"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Locatiegegevens</w:t>
            </w:r>
          </w:p>
        </w:tc>
        <w:tc>
          <w:tcPr>
            <w:tcW w:w="6237" w:type="dxa"/>
          </w:tcPr>
          <w:p w14:paraId="3E42D32D" w14:textId="2C501350"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Lengtegraad, breedtegraad</w:t>
            </w:r>
          </w:p>
        </w:tc>
      </w:tr>
      <w:tr w:rsidR="00BA3352" w14:paraId="54FDB524" w14:textId="77777777" w:rsidTr="00C92BEE">
        <w:tc>
          <w:tcPr>
            <w:tcW w:w="2547" w:type="dxa"/>
          </w:tcPr>
          <w:p w14:paraId="00A4933B" w14:textId="374EEE3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Persoonlijke gegevens</w:t>
            </w:r>
          </w:p>
        </w:tc>
        <w:tc>
          <w:tcPr>
            <w:tcW w:w="6237" w:type="dxa"/>
          </w:tcPr>
          <w:p w14:paraId="44B0FD99" w14:textId="37C861FC"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F15025" w:rsidRDefault="003336CA" w:rsidP="00F15025">
      <w:pPr>
        <w:widowControl/>
        <w:tabs>
          <w:tab w:val="left" w:pos="397"/>
        </w:tabs>
        <w:autoSpaceDE/>
        <w:autoSpaceDN/>
        <w:ind w:left="394" w:hanging="394"/>
        <w:rPr>
          <w:rFonts w:asciiTheme="minorHAnsi" w:eastAsia="Verdana" w:hAnsiTheme="minorHAnsi"/>
          <w:b/>
          <w:bCs/>
          <w:sz w:val="18"/>
          <w:szCs w:val="18"/>
        </w:rPr>
      </w:pPr>
      <w:r w:rsidRPr="00F15025">
        <w:rPr>
          <w:rFonts w:asciiTheme="minorHAnsi" w:eastAsia="Verdana" w:hAnsiTheme="minorHAnsi"/>
          <w:b/>
          <w:bCs/>
          <w:sz w:val="18"/>
          <w:szCs w:val="18"/>
        </w:rPr>
        <w:t>Doorgifte derde landen</w:t>
      </w:r>
    </w:p>
    <w:p w14:paraId="156DC7AF" w14:textId="042A4F6E" w:rsidR="003336CA" w:rsidRDefault="003336CA" w:rsidP="00CE7170">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lastRenderedPageBreak/>
        <w:t xml:space="preserve">Als persoonsgegevens </w:t>
      </w:r>
      <w:r w:rsidR="006051CC">
        <w:rPr>
          <w:rFonts w:asciiTheme="minorHAnsi" w:eastAsia="Verdana" w:hAnsiTheme="minorHAnsi"/>
          <w:sz w:val="18"/>
          <w:szCs w:val="18"/>
        </w:rPr>
        <w:t xml:space="preserve">worden doorgegeven naar (of toegankelijk zijn in) </w:t>
      </w:r>
      <w:r>
        <w:rPr>
          <w:rFonts w:asciiTheme="minorHAnsi" w:eastAsia="Verdana" w:hAnsiTheme="minorHAnsi"/>
          <w:sz w:val="18"/>
          <w:szCs w:val="18"/>
        </w:rPr>
        <w:t>een land buiten de EER</w:t>
      </w:r>
      <w:r w:rsidR="006051CC">
        <w:rPr>
          <w:rFonts w:asciiTheme="minorHAnsi" w:eastAsia="Verdana" w:hAnsiTheme="minorHAnsi"/>
          <w:sz w:val="18"/>
          <w:szCs w:val="18"/>
        </w:rPr>
        <w:t xml:space="preserve"> </w:t>
      </w:r>
      <w:r>
        <w:rPr>
          <w:rFonts w:asciiTheme="minorHAnsi" w:eastAsia="Verdana" w:hAnsiTheme="minorHAnsi"/>
          <w:sz w:val="18"/>
          <w:szCs w:val="18"/>
        </w:rPr>
        <w:t>moet dat hier worden aangegeven.</w:t>
      </w:r>
    </w:p>
    <w:p w14:paraId="69DAEE51" w14:textId="5F3EBD02" w:rsidR="00F15025" w:rsidRPr="00F15025" w:rsidRDefault="007C3716" w:rsidP="00F15025">
      <w:pPr>
        <w:widowControl/>
        <w:tabs>
          <w:tab w:val="left" w:pos="397"/>
        </w:tabs>
        <w:autoSpaceDE/>
        <w:autoSpaceDN/>
        <w:ind w:left="394" w:hanging="394"/>
        <w:rPr>
          <w:rFonts w:asciiTheme="minorHAnsi" w:eastAsia="Verdana" w:hAnsiTheme="minorHAnsi"/>
          <w:b/>
          <w:bCs/>
          <w:sz w:val="18"/>
          <w:szCs w:val="18"/>
        </w:rPr>
      </w:pPr>
      <w:r>
        <w:rPr>
          <w:rFonts w:asciiTheme="minorHAnsi" w:eastAsia="Verdana" w:hAnsiTheme="minorHAnsi"/>
          <w:b/>
          <w:bCs/>
          <w:sz w:val="18"/>
          <w:szCs w:val="18"/>
        </w:rPr>
        <w:t xml:space="preserve">Doorgifte-instrument </w:t>
      </w:r>
    </w:p>
    <w:p w14:paraId="57C6B1DA" w14:textId="77777777" w:rsidR="006051CC" w:rsidRDefault="00F15025"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w:t>
      </w:r>
      <w:r w:rsidR="006051CC">
        <w:rPr>
          <w:rFonts w:asciiTheme="minorHAnsi" w:eastAsia="Verdana" w:hAnsiTheme="minorHAnsi"/>
          <w:sz w:val="18"/>
          <w:szCs w:val="18"/>
        </w:rPr>
        <w:t xml:space="preserve">moet aangegeven worden welk doorgifte-instrument wordt gebruikt. De doorgifte-instrumenten zijn: </w:t>
      </w:r>
    </w:p>
    <w:p w14:paraId="0F2CDA92" w14:textId="3BE1A663" w:rsidR="006051CC" w:rsidRDefault="006051CC" w:rsidP="00CE7170">
      <w:pPr>
        <w:pStyle w:val="Lijstalinea"/>
        <w:widowControl/>
        <w:numPr>
          <w:ilvl w:val="0"/>
          <w:numId w:val="31"/>
        </w:numPr>
        <w:tabs>
          <w:tab w:val="left" w:pos="397"/>
        </w:tabs>
        <w:autoSpaceDE/>
        <w:autoSpaceDN/>
        <w:ind w:left="360"/>
        <w:rPr>
          <w:rFonts w:asciiTheme="minorHAnsi" w:eastAsia="Verdana" w:hAnsiTheme="minorHAnsi"/>
          <w:sz w:val="18"/>
          <w:szCs w:val="18"/>
        </w:rPr>
      </w:pPr>
      <w:r>
        <w:rPr>
          <w:rFonts w:asciiTheme="minorHAnsi" w:eastAsia="Verdana" w:hAnsiTheme="minorHAnsi"/>
          <w:sz w:val="18"/>
          <w:szCs w:val="18"/>
        </w:rPr>
        <w:t>Adequaatheidsbesluit</w:t>
      </w:r>
    </w:p>
    <w:p w14:paraId="5D6A8061" w14:textId="5B40B63D" w:rsidR="006051CC" w:rsidRPr="00CE7170" w:rsidRDefault="006051CC" w:rsidP="00CE7170">
      <w:pPr>
        <w:pStyle w:val="Lijstalinea"/>
        <w:numPr>
          <w:ilvl w:val="0"/>
          <w:numId w:val="31"/>
        </w:numPr>
        <w:tabs>
          <w:tab w:val="left" w:pos="397"/>
        </w:tabs>
        <w:ind w:left="360"/>
        <w:rPr>
          <w:rFonts w:asciiTheme="minorHAnsi" w:eastAsia="Verdana" w:hAnsiTheme="minorHAnsi"/>
          <w:sz w:val="18"/>
          <w:szCs w:val="18"/>
        </w:rPr>
      </w:pPr>
      <w:r w:rsidRPr="00CE7170">
        <w:rPr>
          <w:rFonts w:asciiTheme="minorHAnsi" w:eastAsia="Verdana" w:hAnsiTheme="minorHAnsi"/>
          <w:sz w:val="18"/>
          <w:szCs w:val="18"/>
        </w:rPr>
        <w:t>Specifieke uitzonderingen (art. 49).</w:t>
      </w:r>
      <w:r>
        <w:rPr>
          <w:rFonts w:asciiTheme="minorHAnsi" w:eastAsia="Verdana" w:hAnsiTheme="minorHAnsi"/>
          <w:sz w:val="18"/>
          <w:szCs w:val="18"/>
        </w:rPr>
        <w:t xml:space="preserve"> </w:t>
      </w:r>
    </w:p>
    <w:p w14:paraId="105961B3" w14:textId="5C9C1D6C" w:rsidR="006051CC" w:rsidRPr="00CE7170"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2D7FDD">
        <w:rPr>
          <w:rFonts w:asciiTheme="minorHAnsi" w:hAnsiTheme="minorHAnsi" w:cstheme="minorHAnsi"/>
          <w:sz w:val="18"/>
          <w:szCs w:val="18"/>
        </w:rPr>
        <w:t>Standaard bepalingen</w:t>
      </w:r>
      <w:r w:rsidRPr="00CE7170">
        <w:rPr>
          <w:rFonts w:asciiTheme="minorHAnsi" w:hAnsiTheme="minorHAnsi" w:cstheme="minorHAnsi"/>
          <w:sz w:val="18"/>
          <w:szCs w:val="18"/>
          <w:lang w:val="en-GB"/>
        </w:rPr>
        <w:t xml:space="preserve"> (standard contractual  clauses</w:t>
      </w:r>
      <w:r>
        <w:rPr>
          <w:rFonts w:asciiTheme="minorHAnsi" w:hAnsiTheme="minorHAnsi" w:cstheme="minorHAnsi"/>
          <w:sz w:val="18"/>
          <w:szCs w:val="18"/>
          <w:lang w:val="en-GB"/>
        </w:rPr>
        <w:t xml:space="preserve"> SCCs</w:t>
      </w:r>
      <w:r w:rsidRPr="00CE7170">
        <w:rPr>
          <w:rFonts w:asciiTheme="minorHAnsi" w:hAnsiTheme="minorHAnsi" w:cstheme="minorHAnsi"/>
          <w:sz w:val="18"/>
          <w:szCs w:val="18"/>
          <w:lang w:val="en-GB"/>
        </w:rPr>
        <w:t>);</w:t>
      </w:r>
    </w:p>
    <w:p w14:paraId="5005BAF6" w14:textId="20C0E502" w:rsidR="006051CC" w:rsidRPr="0040439B"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rPr>
      </w:pPr>
      <w:r>
        <w:rPr>
          <w:rFonts w:asciiTheme="minorHAnsi" w:hAnsiTheme="minorHAnsi" w:cstheme="minorHAnsi"/>
          <w:sz w:val="18"/>
          <w:szCs w:val="18"/>
        </w:rPr>
        <w:t>Bindende bedrijfsvoorschriften (</w:t>
      </w:r>
      <w:r w:rsidRPr="009A7FF0">
        <w:rPr>
          <w:rFonts w:asciiTheme="minorHAnsi" w:hAnsiTheme="minorHAnsi" w:cstheme="minorHAnsi"/>
          <w:sz w:val="18"/>
          <w:szCs w:val="18"/>
        </w:rPr>
        <w:t>binding corporate rules</w:t>
      </w:r>
      <w:r>
        <w:rPr>
          <w:rFonts w:asciiTheme="minorHAnsi" w:hAnsiTheme="minorHAnsi" w:cstheme="minorHAnsi"/>
          <w:sz w:val="18"/>
          <w:szCs w:val="18"/>
        </w:rPr>
        <w:t>, BCRs</w:t>
      </w:r>
      <w:r w:rsidRPr="009A7FF0">
        <w:rPr>
          <w:rFonts w:asciiTheme="minorHAnsi" w:hAnsiTheme="minorHAnsi" w:cstheme="minorHAnsi"/>
          <w:sz w:val="18"/>
          <w:szCs w:val="18"/>
        </w:rPr>
        <w:t>);</w:t>
      </w:r>
    </w:p>
    <w:p w14:paraId="06E24C48" w14:textId="77777777" w:rsidR="006051CC" w:rsidRPr="007551D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2D7FDD">
        <w:rPr>
          <w:rFonts w:asciiTheme="minorHAnsi" w:hAnsiTheme="minorHAnsi" w:cstheme="minorHAnsi"/>
          <w:sz w:val="18"/>
          <w:szCs w:val="18"/>
        </w:rPr>
        <w:t xml:space="preserve">Gedragsregels </w:t>
      </w:r>
      <w:r w:rsidRPr="007551DD">
        <w:rPr>
          <w:rFonts w:asciiTheme="minorHAnsi" w:hAnsiTheme="minorHAnsi" w:cstheme="minorHAnsi"/>
          <w:sz w:val="18"/>
          <w:szCs w:val="18"/>
          <w:lang w:val="en-GB"/>
        </w:rPr>
        <w:t>(codes of conduct;-certificationmechanisms);</w:t>
      </w:r>
    </w:p>
    <w:p w14:paraId="329522A0" w14:textId="77777777" w:rsidR="006051CC" w:rsidRPr="007551D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18"/>
          <w:szCs w:val="18"/>
          <w:lang w:val="en-GB"/>
        </w:rPr>
      </w:pPr>
      <w:r w:rsidRPr="007551DD">
        <w:rPr>
          <w:rFonts w:asciiTheme="minorHAnsi" w:hAnsiTheme="minorHAnsi" w:cstheme="minorHAnsi"/>
          <w:sz w:val="18"/>
          <w:szCs w:val="18"/>
          <w:lang w:val="en-GB"/>
        </w:rPr>
        <w:t xml:space="preserve">Ad </w:t>
      </w:r>
      <w:r w:rsidRPr="002D7FDD">
        <w:rPr>
          <w:rFonts w:asciiTheme="minorHAnsi" w:hAnsiTheme="minorHAnsi" w:cstheme="minorHAnsi"/>
          <w:sz w:val="18"/>
          <w:szCs w:val="18"/>
        </w:rPr>
        <w:t>hoc modelcontractbepalingen</w:t>
      </w:r>
      <w:r w:rsidRPr="007551DD">
        <w:rPr>
          <w:rFonts w:asciiTheme="minorHAnsi" w:hAnsiTheme="minorHAnsi" w:cstheme="minorHAnsi"/>
          <w:sz w:val="18"/>
          <w:szCs w:val="18"/>
          <w:lang w:val="en-GB"/>
        </w:rPr>
        <w:t xml:space="preserve"> (ad hoc contractual clauses).</w:t>
      </w:r>
    </w:p>
    <w:p w14:paraId="4941200D" w14:textId="77777777" w:rsidR="006051CC" w:rsidRDefault="006051CC" w:rsidP="0040439B">
      <w:pPr>
        <w:widowControl/>
        <w:tabs>
          <w:tab w:val="left" w:pos="397"/>
        </w:tabs>
        <w:autoSpaceDE/>
        <w:autoSpaceDN/>
        <w:rPr>
          <w:rFonts w:asciiTheme="minorHAnsi" w:eastAsia="Verdana" w:hAnsiTheme="minorHAnsi"/>
          <w:sz w:val="18"/>
          <w:szCs w:val="18"/>
        </w:rPr>
      </w:pPr>
    </w:p>
    <w:p w14:paraId="6961581D" w14:textId="6C219B36" w:rsidR="006051CC" w:rsidRDefault="006051CC"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V</w:t>
      </w:r>
      <w:r w:rsidR="00F15025">
        <w:rPr>
          <w:rFonts w:asciiTheme="minorHAnsi" w:eastAsia="Verdana" w:hAnsiTheme="minorHAnsi"/>
          <w:sz w:val="18"/>
          <w:szCs w:val="18"/>
        </w:rPr>
        <w:t xml:space="preserve">olgens de </w:t>
      </w:r>
      <w:r w:rsidR="009A7FF0">
        <w:rPr>
          <w:rFonts w:asciiTheme="minorHAnsi" w:eastAsia="Verdana" w:hAnsiTheme="minorHAnsi"/>
          <w:sz w:val="18"/>
          <w:szCs w:val="18"/>
        </w:rPr>
        <w:t xml:space="preserve">aanbevelingen </w:t>
      </w:r>
      <w:r w:rsidR="00F15025">
        <w:rPr>
          <w:rFonts w:asciiTheme="minorHAnsi" w:eastAsia="Verdana" w:hAnsiTheme="minorHAnsi"/>
          <w:sz w:val="18"/>
          <w:szCs w:val="18"/>
        </w:rPr>
        <w:t xml:space="preserve">van de EDPB </w:t>
      </w:r>
      <w:r w:rsidR="005F1791">
        <w:rPr>
          <w:rFonts w:asciiTheme="minorHAnsi" w:eastAsia="Verdana" w:hAnsiTheme="minorHAnsi"/>
          <w:sz w:val="18"/>
          <w:szCs w:val="18"/>
        </w:rPr>
        <w:t xml:space="preserve">n.a.v. de Schrems II uitspraak van het Hof van Justitie van de EU </w:t>
      </w:r>
      <w:r w:rsidR="004A2271">
        <w:rPr>
          <w:rFonts w:asciiTheme="minorHAnsi" w:eastAsia="Verdana" w:hAnsiTheme="minorHAnsi"/>
          <w:sz w:val="18"/>
          <w:szCs w:val="18"/>
        </w:rPr>
        <w:t>(</w:t>
      </w:r>
      <w:hyperlink r:id="rId26" w:history="1">
        <w:r w:rsidR="005F1791" w:rsidRPr="005F1791">
          <w:rPr>
            <w:rStyle w:val="Hyperlink"/>
            <w:rFonts w:asciiTheme="minorHAnsi" w:eastAsia="Verdana" w:hAnsiTheme="minorHAnsi"/>
            <w:sz w:val="18"/>
            <w:szCs w:val="18"/>
          </w:rPr>
          <w:t>Recommendations 01/2020, d.d. 10 november 2020</w:t>
        </w:r>
      </w:hyperlink>
      <w:r w:rsidR="004A2271">
        <w:rPr>
          <w:rFonts w:asciiTheme="minorHAnsi" w:eastAsia="Verdana" w:hAnsiTheme="minorHAnsi"/>
          <w:sz w:val="18"/>
          <w:szCs w:val="18"/>
        </w:rPr>
        <w:t xml:space="preserve">) </w:t>
      </w:r>
      <w:r>
        <w:rPr>
          <w:rFonts w:asciiTheme="minorHAnsi" w:eastAsia="Verdana" w:hAnsiTheme="minorHAnsi"/>
          <w:sz w:val="18"/>
          <w:szCs w:val="18"/>
        </w:rPr>
        <w:t>moeten aanvullende maatregelen genomen worden als gebruik wordt gemaakt van doorgifte-instrument 3 – 6</w:t>
      </w:r>
      <w:r w:rsidR="00F41ADE">
        <w:rPr>
          <w:rFonts w:asciiTheme="minorHAnsi" w:eastAsia="Verdana" w:hAnsiTheme="minorHAnsi"/>
          <w:sz w:val="18"/>
          <w:szCs w:val="18"/>
        </w:rPr>
        <w:t>.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bewerkstellig</w:t>
      </w:r>
      <w:r w:rsidR="00F41ADE">
        <w:rPr>
          <w:rFonts w:asciiTheme="minorHAnsi" w:eastAsia="Verdana" w:hAnsiTheme="minorHAnsi"/>
          <w:sz w:val="18"/>
          <w:szCs w:val="18"/>
        </w:rPr>
        <w:t>d</w:t>
      </w:r>
      <w:r w:rsidR="005F1791">
        <w:rPr>
          <w:rFonts w:asciiTheme="minorHAnsi" w:eastAsia="Verdana" w:hAnsiTheme="minorHAnsi"/>
          <w:sz w:val="18"/>
          <w:szCs w:val="18"/>
        </w:rPr>
        <w:t xml:space="preserve"> </w:t>
      </w:r>
      <w:r w:rsidR="000871EB">
        <w:rPr>
          <w:rFonts w:asciiTheme="minorHAnsi" w:eastAsia="Verdana" w:hAnsiTheme="minorHAnsi"/>
          <w:sz w:val="18"/>
          <w:szCs w:val="18"/>
        </w:rPr>
        <w:t>(</w:t>
      </w:r>
      <w:r w:rsidR="005F1791">
        <w:rPr>
          <w:rFonts w:asciiTheme="minorHAnsi" w:eastAsia="Verdana" w:hAnsiTheme="minorHAnsi"/>
          <w:sz w:val="18"/>
          <w:szCs w:val="18"/>
        </w:rPr>
        <w:t>z</w:t>
      </w:r>
      <w:r>
        <w:rPr>
          <w:rFonts w:asciiTheme="minorHAnsi" w:eastAsia="Verdana" w:hAnsiTheme="minorHAnsi"/>
          <w:sz w:val="18"/>
          <w:szCs w:val="18"/>
        </w:rPr>
        <w:t>ie Bijlage 2 van de EDPB aanbevelingen</w:t>
      </w:r>
      <w:r w:rsidR="005F1791">
        <w:rPr>
          <w:rFonts w:asciiTheme="minorHAnsi" w:eastAsia="Verdana" w:hAnsiTheme="minorHAnsi"/>
          <w:sz w:val="18"/>
          <w:szCs w:val="18"/>
        </w:rPr>
        <w:t>)</w:t>
      </w:r>
      <w:r>
        <w:rPr>
          <w:rFonts w:asciiTheme="minorHAnsi" w:eastAsia="Verdana" w:hAnsiTheme="minorHAnsi"/>
          <w:sz w:val="18"/>
          <w:szCs w:val="18"/>
        </w:rPr>
        <w:t xml:space="preserve">. </w:t>
      </w:r>
    </w:p>
    <w:p w14:paraId="0979468E" w14:textId="77777777" w:rsidR="005F1791" w:rsidRDefault="005F1791"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3AE8A11A"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7"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1" w:name="id1-3-2-2-2-2-16-1-3-1-2"/>
      <w:bookmarkEnd w:id="3"/>
      <w:bookmarkEnd w:id="31"/>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3A6D16F3"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sidR="00E0031D">
        <w:rPr>
          <w:rFonts w:ascii="Calibri" w:hAnsi="Calibri" w:cs="Calibri"/>
          <w:b/>
          <w:bCs/>
          <w:sz w:val="24"/>
          <w:szCs w:val="24"/>
        </w:rPr>
        <w:t xml:space="preserve">2020 </w:t>
      </w:r>
      <w:r w:rsidRPr="00E9310C">
        <w:rPr>
          <w:rFonts w:ascii="Calibri" w:hAnsi="Calibri" w:cs="Calibri"/>
          <w:b/>
          <w:bCs/>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2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8BF3C" w14:textId="77777777" w:rsidR="00E82F26" w:rsidRDefault="00E82F26">
      <w:r>
        <w:separator/>
      </w:r>
    </w:p>
  </w:endnote>
  <w:endnote w:type="continuationSeparator" w:id="0">
    <w:p w14:paraId="69BA7B3F" w14:textId="77777777" w:rsidR="00E82F26" w:rsidRDefault="00E8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615DC5" w:rsidRDefault="00615DC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615DC5" w:rsidRDefault="00615DC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615DC5" w:rsidRDefault="00615DC5">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615DC5" w:rsidRDefault="00615D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A5C60" w14:textId="77777777" w:rsidR="00E82F26" w:rsidRDefault="00E82F26">
      <w:r>
        <w:separator/>
      </w:r>
    </w:p>
  </w:footnote>
  <w:footnote w:type="continuationSeparator" w:id="0">
    <w:p w14:paraId="616C8780" w14:textId="77777777" w:rsidR="00E82F26" w:rsidRDefault="00E82F26">
      <w:r>
        <w:continuationSeparator/>
      </w:r>
    </w:p>
  </w:footnote>
  <w:footnote w:id="1">
    <w:p w14:paraId="1161EDB1" w14:textId="6CE259CE" w:rsidR="00615DC5" w:rsidRDefault="00615DC5">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615DC5" w:rsidRDefault="00615DC5">
    <w:pPr>
      <w:pStyle w:val="Koptekst"/>
    </w:pPr>
  </w:p>
  <w:p w14:paraId="04BBCF0F" w14:textId="0D96BCC2" w:rsidR="00615DC5" w:rsidRDefault="00615DC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15DC5" w:rsidRDefault="00615DC5">
    <w:pPr>
      <w:pStyle w:val="Koptekst"/>
    </w:pPr>
  </w:p>
  <w:p w14:paraId="777C8AA5" w14:textId="15EFA176" w:rsidR="00615DC5" w:rsidRDefault="00615DC5">
    <w:pPr>
      <w:pStyle w:val="Koptekst"/>
    </w:pPr>
  </w:p>
  <w:p w14:paraId="7FDFE43B" w14:textId="77777777" w:rsidR="00615DC5" w:rsidRDefault="00615DC5">
    <w:pPr>
      <w:pStyle w:val="Koptekst"/>
    </w:pPr>
  </w:p>
  <w:p w14:paraId="4B43BB38" w14:textId="77777777" w:rsidR="00615DC5" w:rsidRDefault="00615DC5">
    <w:pPr>
      <w:pStyle w:val="Koptekst"/>
    </w:pPr>
  </w:p>
  <w:p w14:paraId="3D4CF7DF" w14:textId="07700B66" w:rsidR="00615DC5" w:rsidRDefault="00615D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615DC5" w:rsidRDefault="00615DC5" w:rsidP="0095110B">
    <w:pPr>
      <w:pStyle w:val="Koptekst"/>
      <w:tabs>
        <w:tab w:val="clear" w:pos="4536"/>
        <w:tab w:val="clear" w:pos="9072"/>
        <w:tab w:val="left" w:pos="2475"/>
      </w:tabs>
    </w:pPr>
    <w:r>
      <w:tab/>
    </w:r>
  </w:p>
  <w:p w14:paraId="47052286" w14:textId="56DFB805" w:rsidR="00615DC5" w:rsidRDefault="00615DC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15DC5" w:rsidRDefault="00615DC5" w:rsidP="0095110B">
    <w:pPr>
      <w:pStyle w:val="Koptekst"/>
      <w:tabs>
        <w:tab w:val="clear" w:pos="4536"/>
        <w:tab w:val="clear" w:pos="9072"/>
        <w:tab w:val="left" w:pos="2475"/>
      </w:tabs>
    </w:pPr>
  </w:p>
  <w:p w14:paraId="45FCD76F" w14:textId="091353B8" w:rsidR="00615DC5" w:rsidRDefault="00615DC5" w:rsidP="0095110B">
    <w:pPr>
      <w:pStyle w:val="Koptekst"/>
      <w:tabs>
        <w:tab w:val="clear" w:pos="4536"/>
        <w:tab w:val="clear" w:pos="9072"/>
        <w:tab w:val="left" w:pos="2475"/>
      </w:tabs>
    </w:pPr>
  </w:p>
  <w:p w14:paraId="0FE1A04F" w14:textId="181012E5" w:rsidR="00615DC5" w:rsidRDefault="00615DC5" w:rsidP="0095110B">
    <w:pPr>
      <w:pStyle w:val="Koptekst"/>
      <w:tabs>
        <w:tab w:val="clear" w:pos="4536"/>
        <w:tab w:val="clear" w:pos="9072"/>
        <w:tab w:val="left" w:pos="2475"/>
      </w:tabs>
    </w:pPr>
  </w:p>
  <w:p w14:paraId="5DCFA827" w14:textId="7AFBD613" w:rsidR="00615DC5" w:rsidRDefault="00615DC5" w:rsidP="0095110B">
    <w:pPr>
      <w:pStyle w:val="Koptekst"/>
      <w:tabs>
        <w:tab w:val="clear" w:pos="4536"/>
        <w:tab w:val="clear" w:pos="9072"/>
        <w:tab w:val="left" w:pos="2475"/>
      </w:tabs>
    </w:pPr>
  </w:p>
  <w:p w14:paraId="0272B584" w14:textId="0AE74344" w:rsidR="00615DC5" w:rsidRDefault="00615DC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615DC5" w:rsidRDefault="00615DC5"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278"/>
  <w:removePersonalInformation/>
  <w:removeDateAndTime/>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D5BE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2F26"/>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edpb.europa.eu/sites/edpb/files/consultation/edpb_recommendations_202001_supplementarymeasurestransferstools_en.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hyperlink" Target="https://www.informatiebeveiligingsdienst.nl/nieuws/factsheet-assurance-gepubliceerd/"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7920</Words>
  <Characters>43561</Characters>
  <Application>Microsoft Office Word</Application>
  <DocSecurity>2</DocSecurity>
  <Lines>363</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2021-03-09T12:03:00Z</dcterms:created>
  <dcterms:modified xsi:type="dcterms:W3CDTF">2021-03-09T12:03:00Z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